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81" w:rsidRPr="00BC2981" w:rsidRDefault="00BC2981" w:rsidP="00BC2981">
      <w:pPr>
        <w:autoSpaceDE w:val="0"/>
        <w:autoSpaceDN w:val="0"/>
        <w:adjustRightInd w:val="0"/>
        <w:spacing w:line="276" w:lineRule="auto"/>
        <w:jc w:val="center"/>
        <w:rPr>
          <w:rFonts w:eastAsiaTheme="minorHAnsi"/>
          <w:b/>
          <w:sz w:val="24"/>
          <w:szCs w:val="24"/>
          <w:lang w:eastAsia="en-US"/>
        </w:rPr>
      </w:pPr>
      <w:r w:rsidRPr="00BC2981">
        <w:rPr>
          <w:rFonts w:eastAsiaTheme="minorHAnsi"/>
          <w:sz w:val="24"/>
          <w:szCs w:val="24"/>
          <w:lang w:eastAsia="en-US"/>
        </w:rPr>
        <w:t>«</w:t>
      </w:r>
      <w:r w:rsidRPr="00BC2981">
        <w:rPr>
          <w:rFonts w:eastAsiaTheme="minorHAnsi"/>
          <w:b/>
          <w:sz w:val="24"/>
          <w:szCs w:val="24"/>
          <w:lang w:eastAsia="en-US"/>
        </w:rPr>
        <w:t>Αιτωλική Φιλοξενία - Το σπίτι του τουρίστα Ιεράς Πόλεως Μεσολογγίου»</w:t>
      </w:r>
    </w:p>
    <w:p w:rsidR="00BC2981" w:rsidRPr="00FC5A2B" w:rsidRDefault="00BC2981" w:rsidP="00BC2981">
      <w:pPr>
        <w:autoSpaceDE w:val="0"/>
        <w:autoSpaceDN w:val="0"/>
        <w:adjustRightInd w:val="0"/>
        <w:spacing w:line="276" w:lineRule="auto"/>
        <w:jc w:val="center"/>
        <w:rPr>
          <w:rFonts w:eastAsiaTheme="minorHAnsi"/>
          <w:b/>
          <w:sz w:val="24"/>
          <w:szCs w:val="24"/>
          <w:lang w:eastAsia="en-US"/>
        </w:rPr>
      </w:pPr>
      <w:r w:rsidRPr="00BC2981">
        <w:rPr>
          <w:rFonts w:eastAsiaTheme="minorHAnsi"/>
          <w:b/>
          <w:sz w:val="24"/>
          <w:szCs w:val="24"/>
          <w:lang w:eastAsia="en-US"/>
        </w:rPr>
        <w:t>στον Άξονα Προτεραιότητας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w:t>
      </w:r>
    </w:p>
    <w:p w:rsidR="00FB1847" w:rsidRPr="00BC2981" w:rsidRDefault="00BC2981" w:rsidP="00BC2981">
      <w:pPr>
        <w:autoSpaceDE w:val="0"/>
        <w:autoSpaceDN w:val="0"/>
        <w:adjustRightInd w:val="0"/>
        <w:spacing w:line="276" w:lineRule="auto"/>
        <w:jc w:val="center"/>
        <w:rPr>
          <w:rFonts w:eastAsiaTheme="minorHAnsi"/>
          <w:b/>
          <w:sz w:val="24"/>
          <w:szCs w:val="24"/>
          <w:lang w:eastAsia="en-US"/>
        </w:rPr>
      </w:pPr>
      <w:r w:rsidRPr="00BC2981">
        <w:rPr>
          <w:rFonts w:eastAsiaTheme="minorHAnsi"/>
          <w:b/>
          <w:sz w:val="24"/>
          <w:szCs w:val="24"/>
          <w:lang w:eastAsia="en-US"/>
        </w:rPr>
        <w:t>του Ε.Π. «Δυτική Ελλάδα».</w:t>
      </w:r>
    </w:p>
    <w:p w:rsidR="00BC2981" w:rsidRPr="00BC2981" w:rsidRDefault="00BC2981" w:rsidP="00BC2981">
      <w:pPr>
        <w:autoSpaceDE w:val="0"/>
        <w:autoSpaceDN w:val="0"/>
        <w:adjustRightInd w:val="0"/>
        <w:spacing w:line="276" w:lineRule="auto"/>
        <w:ind w:left="-567" w:right="-483"/>
        <w:jc w:val="center"/>
        <w:rPr>
          <w:b/>
          <w:sz w:val="24"/>
          <w:szCs w:val="24"/>
        </w:rPr>
      </w:pPr>
    </w:p>
    <w:p w:rsidR="009D0D8A" w:rsidRPr="00BC2981" w:rsidRDefault="009D0D8A" w:rsidP="00BC2981">
      <w:pPr>
        <w:autoSpaceDE w:val="0"/>
        <w:autoSpaceDN w:val="0"/>
        <w:adjustRightInd w:val="0"/>
        <w:spacing w:line="276" w:lineRule="auto"/>
        <w:jc w:val="both"/>
        <w:rPr>
          <w:rFonts w:eastAsiaTheme="minorHAnsi"/>
          <w:sz w:val="24"/>
          <w:szCs w:val="24"/>
          <w:lang w:eastAsia="en-US"/>
        </w:rPr>
      </w:pPr>
      <w:r w:rsidRPr="00BC2981">
        <w:rPr>
          <w:sz w:val="24"/>
          <w:szCs w:val="24"/>
        </w:rPr>
        <w:t xml:space="preserve">Το Επιμελητήριο Αιτωλοακαρνανίας </w:t>
      </w:r>
      <w:r w:rsidRPr="00BC2981">
        <w:rPr>
          <w:b/>
          <w:sz w:val="24"/>
          <w:szCs w:val="24"/>
        </w:rPr>
        <w:t>(ΕΠΙΜ.ΑΙΤΩΛ,)</w:t>
      </w:r>
      <w:r w:rsidRPr="00BC2981">
        <w:rPr>
          <w:sz w:val="24"/>
          <w:szCs w:val="24"/>
        </w:rPr>
        <w:t xml:space="preserve"> </w:t>
      </w:r>
      <w:r w:rsidR="00ED1E1C" w:rsidRPr="00BC2981">
        <w:rPr>
          <w:sz w:val="24"/>
          <w:szCs w:val="24"/>
        </w:rPr>
        <w:t>ως</w:t>
      </w:r>
      <w:r w:rsidRPr="00BC2981">
        <w:rPr>
          <w:sz w:val="24"/>
          <w:szCs w:val="24"/>
        </w:rPr>
        <w:t xml:space="preserve"> εγκεκριμένος δικαιούχος</w:t>
      </w:r>
      <w:r w:rsidR="00ED1E1C" w:rsidRPr="00BC2981">
        <w:rPr>
          <w:sz w:val="24"/>
          <w:szCs w:val="24"/>
        </w:rPr>
        <w:t>,</w:t>
      </w:r>
      <w:r w:rsidRPr="00BC2981">
        <w:rPr>
          <w:sz w:val="24"/>
          <w:szCs w:val="24"/>
        </w:rPr>
        <w:t xml:space="preserve"> </w:t>
      </w:r>
      <w:r w:rsidR="00ED1E1C" w:rsidRPr="00BC2981">
        <w:rPr>
          <w:sz w:val="24"/>
          <w:szCs w:val="24"/>
        </w:rPr>
        <w:t xml:space="preserve">υλοποιεί </w:t>
      </w:r>
      <w:r w:rsidRPr="00BC2981">
        <w:rPr>
          <w:sz w:val="24"/>
          <w:szCs w:val="24"/>
        </w:rPr>
        <w:t>τη</w:t>
      </w:r>
      <w:r w:rsidR="00ED1E1C" w:rsidRPr="00BC2981">
        <w:rPr>
          <w:sz w:val="24"/>
          <w:szCs w:val="24"/>
        </w:rPr>
        <w:t>ν Πράξη</w:t>
      </w:r>
      <w:r w:rsidRPr="00BC2981">
        <w:rPr>
          <w:sz w:val="24"/>
          <w:szCs w:val="24"/>
        </w:rPr>
        <w:t xml:space="preserve"> με τίτλο </w:t>
      </w:r>
      <w:r w:rsidR="00BC2981" w:rsidRPr="00BC2981">
        <w:rPr>
          <w:rFonts w:eastAsiaTheme="minorHAnsi"/>
          <w:sz w:val="24"/>
          <w:szCs w:val="24"/>
          <w:lang w:eastAsia="en-US"/>
        </w:rPr>
        <w:t xml:space="preserve">«Αιτωλική Φιλοξενία - Το σπίτι του τουρίστα Ιεράς Πόλεως Μεσολογγίου» στον Άξονα Προτεραιότητας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 </w:t>
      </w:r>
      <w:r w:rsidR="004056A6" w:rsidRPr="00BC2981">
        <w:rPr>
          <w:rFonts w:eastAsiaTheme="minorHAnsi"/>
          <w:sz w:val="24"/>
          <w:szCs w:val="24"/>
          <w:lang w:eastAsia="en-US"/>
        </w:rPr>
        <w:t xml:space="preserve">με Κωδικό ΟΠΣ </w:t>
      </w:r>
      <w:r w:rsidR="00BC2981" w:rsidRPr="00BC2981">
        <w:rPr>
          <w:rFonts w:eastAsiaTheme="minorHAnsi"/>
          <w:b/>
          <w:bCs/>
          <w:sz w:val="24"/>
          <w:szCs w:val="24"/>
          <w:lang w:eastAsia="en-US"/>
        </w:rPr>
        <w:t>5041944</w:t>
      </w:r>
      <w:r w:rsidR="004056A6" w:rsidRPr="00BC2981">
        <w:rPr>
          <w:rFonts w:eastAsiaTheme="minorHAnsi"/>
          <w:sz w:val="24"/>
          <w:szCs w:val="24"/>
          <w:lang w:eastAsia="en-US"/>
        </w:rPr>
        <w:t xml:space="preserve">, </w:t>
      </w:r>
      <w:r w:rsidR="00ED1E1C" w:rsidRPr="00BC2981">
        <w:rPr>
          <w:rFonts w:eastAsiaTheme="minorHAnsi"/>
          <w:sz w:val="24"/>
          <w:szCs w:val="24"/>
          <w:lang w:eastAsia="en-US"/>
        </w:rPr>
        <w:t>του Ε.Π. «Δυτική Ελλάδα».</w:t>
      </w:r>
    </w:p>
    <w:p w:rsidR="00ED1E1C" w:rsidRPr="00BC2981" w:rsidRDefault="00ED1E1C" w:rsidP="00BC2981">
      <w:pPr>
        <w:autoSpaceDE w:val="0"/>
        <w:autoSpaceDN w:val="0"/>
        <w:adjustRightInd w:val="0"/>
        <w:spacing w:line="276" w:lineRule="auto"/>
        <w:jc w:val="both"/>
        <w:rPr>
          <w:sz w:val="24"/>
          <w:szCs w:val="24"/>
          <w:lang w:eastAsia="en-US"/>
        </w:rPr>
      </w:pPr>
    </w:p>
    <w:p w:rsidR="00FB1848" w:rsidRPr="00BC2981" w:rsidRDefault="009D0D8A" w:rsidP="00BC2981">
      <w:pPr>
        <w:pStyle w:val="21"/>
        <w:spacing w:line="276" w:lineRule="auto"/>
        <w:ind w:left="-567" w:right="-483" w:firstLine="567"/>
        <w:jc w:val="both"/>
        <w:rPr>
          <w:b/>
        </w:rPr>
      </w:pPr>
      <w:r w:rsidRPr="00BC2981">
        <w:rPr>
          <w:b/>
        </w:rPr>
        <w:t xml:space="preserve">ΦΥΣΙΚΟ ΑΝΤΙΚΕΙΜΕΝΟ ΤΟΥ ΥΠΟΕΡΓΟΥ </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 xml:space="preserve">Στο πλαίσιο της Πρόσκλησης Α/Α ΟΠΣ: 2713, για την υποβολή προτάσεων στο Ε.Π «Δυτική Ελλάδα», στον Άξονα Προτεραιότητας 01 «1 - «Ενίσχυση της ανταγωνιστικότητας και της εξωστρέφειας των επιχειρήσεων, μετάβαση στην ποιοτική επιχειρηματικότητα, με αιχμή την καινοτομία και αύξηση της εγχώριας προστιθέμενης αξίας», ο οποίος συγχρηματοδοτείται από το Ευρωπαϊκό Ταμείο Περιφερειακής Ανάπτυξης (ΕΤΠΑ) και έχει τίτλο «Ανάπτυξη ηλεκτρονικών υποδομών και υπηρεσιών στα πλαίσια στρατηγικών ΟΧΕ», το Επιμελητήριο Αιτωλοακαρνανίας ως Δικαιούχος του Έργου </w:t>
      </w:r>
      <w:r w:rsidR="00FC5A2B">
        <w:rPr>
          <w:sz w:val="24"/>
          <w:szCs w:val="24"/>
          <w:lang w:eastAsia="en-US"/>
        </w:rPr>
        <w:t>υλοποιεί</w:t>
      </w:r>
      <w:r w:rsidRPr="00BC2981">
        <w:rPr>
          <w:rFonts w:eastAsiaTheme="minorHAnsi"/>
          <w:sz w:val="24"/>
          <w:szCs w:val="24"/>
          <w:lang w:eastAsia="en-US"/>
        </w:rPr>
        <w:t xml:space="preserve"> πρόταση με τίτλο Πράξης «Αιτωλική Φιλοξενία – Το Σπίτι του Τουρίστα».</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 xml:space="preserve">Βασική στόχευση της πράξης είναι η υλοποίηση ψηφιακών υπηρεσιών ολοκλήρωσης θεματικών τουριστικών διαδρομών της περιοχής του Μεσολογγίου. Πιο συγκεκριμένα, στα πλαίσια του έργου θα αναπτυχθούν ψηφιακές υπηρεσίες διαμόρφωσης θεματικών τουριστικών διαδρομών στην περιοχή του Μεσολογγίου, οι οποίες θα </w:t>
      </w:r>
      <w:proofErr w:type="spellStart"/>
      <w:r w:rsidRPr="00BC2981">
        <w:rPr>
          <w:rFonts w:eastAsiaTheme="minorHAnsi"/>
          <w:sz w:val="24"/>
          <w:szCs w:val="24"/>
          <w:lang w:eastAsia="en-US"/>
        </w:rPr>
        <w:t>διασυνδέουν</w:t>
      </w:r>
      <w:proofErr w:type="spellEnd"/>
      <w:r w:rsidRPr="00BC2981">
        <w:rPr>
          <w:rFonts w:eastAsiaTheme="minorHAnsi"/>
          <w:sz w:val="24"/>
          <w:szCs w:val="24"/>
          <w:lang w:eastAsia="en-US"/>
        </w:rPr>
        <w:t xml:space="preserve"> τον επισκέπτη με το φυσικό περιβάλλον, τα τοπικά προϊόντα </w:t>
      </w:r>
      <w:proofErr w:type="spellStart"/>
      <w:r w:rsidRPr="00BC2981">
        <w:rPr>
          <w:rFonts w:eastAsiaTheme="minorHAnsi"/>
          <w:sz w:val="24"/>
          <w:szCs w:val="24"/>
          <w:lang w:eastAsia="en-US"/>
        </w:rPr>
        <w:t>αγροδιατροφής</w:t>
      </w:r>
      <w:proofErr w:type="spellEnd"/>
      <w:r w:rsidRPr="00BC2981">
        <w:rPr>
          <w:rFonts w:eastAsiaTheme="minorHAnsi"/>
          <w:sz w:val="24"/>
          <w:szCs w:val="24"/>
          <w:lang w:eastAsia="en-US"/>
        </w:rPr>
        <w:t xml:space="preserve">, την επιχειρηματικότητα των τοπικών προϊόντων και την άυλη ιστορική και πολιτισμική κληρονομιά της περιοχής. </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Στόχος είναι η ανάδειξη της περιοχής και η διαμόρφωση μιας ολοκληρωμένης βιωματικής εμπειρίας των επισκεπτών. Για το σκοπό αυτό θα διαμορφωθούν κατάλληλες ψηφιακές υπηρεσίες, που θα δίνουν τη δυνατότητα στις ομάδες στόχους (επισκέπτες, φορείς, επιχειρήσεις, τουριστικοί πράκτορες) να δημιουργούν και να διαχειρίζονται ψηφιακό περιεχόμενο και να αποκτούν πρόσβαση σε αυτό από διάφορα τεχνολογικά μέσα όπως Η/Υ, φορητές συσκευές (</w:t>
      </w:r>
      <w:proofErr w:type="spellStart"/>
      <w:r w:rsidRPr="00BC2981">
        <w:rPr>
          <w:rFonts w:eastAsiaTheme="minorHAnsi"/>
          <w:sz w:val="24"/>
          <w:szCs w:val="24"/>
          <w:lang w:eastAsia="en-US"/>
        </w:rPr>
        <w:t>tablets</w:t>
      </w:r>
      <w:proofErr w:type="spellEnd"/>
      <w:r w:rsidRPr="00BC2981">
        <w:rPr>
          <w:rFonts w:eastAsiaTheme="minorHAnsi"/>
          <w:sz w:val="24"/>
          <w:szCs w:val="24"/>
          <w:lang w:eastAsia="en-US"/>
        </w:rPr>
        <w:t xml:space="preserve">, </w:t>
      </w:r>
      <w:proofErr w:type="spellStart"/>
      <w:r w:rsidRPr="00BC2981">
        <w:rPr>
          <w:rFonts w:eastAsiaTheme="minorHAnsi"/>
          <w:sz w:val="24"/>
          <w:szCs w:val="24"/>
          <w:lang w:eastAsia="en-US"/>
        </w:rPr>
        <w:t>PDAs</w:t>
      </w:r>
      <w:proofErr w:type="spellEnd"/>
      <w:r w:rsidRPr="00BC2981">
        <w:rPr>
          <w:rFonts w:eastAsiaTheme="minorHAnsi"/>
          <w:sz w:val="24"/>
          <w:szCs w:val="24"/>
          <w:lang w:eastAsia="en-US"/>
        </w:rPr>
        <w:t>, κλπ.) και έξυπνα κινητά τηλέφωνα. Ο συνολικός προϋπολογισμός της</w:t>
      </w:r>
      <w:r w:rsidRPr="00FC5A2B">
        <w:rPr>
          <w:rFonts w:eastAsiaTheme="minorHAnsi"/>
          <w:sz w:val="24"/>
          <w:szCs w:val="24"/>
          <w:lang w:eastAsia="en-US"/>
        </w:rPr>
        <w:t xml:space="preserve"> </w:t>
      </w:r>
      <w:r w:rsidRPr="00BC2981">
        <w:rPr>
          <w:rFonts w:eastAsiaTheme="minorHAnsi"/>
          <w:sz w:val="24"/>
          <w:szCs w:val="24"/>
          <w:lang w:eastAsia="en-US"/>
        </w:rPr>
        <w:t>προτεινόμενης Πράξης είναι 300.000,00 €. Το σύνολο της Πράξης θα υλοποιηθεί σε 1 υποέργο.</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p>
    <w:p w:rsidR="00BC2981" w:rsidRPr="00FC5A2B" w:rsidRDefault="00BC2981" w:rsidP="00BC2981">
      <w:pPr>
        <w:autoSpaceDE w:val="0"/>
        <w:autoSpaceDN w:val="0"/>
        <w:adjustRightInd w:val="0"/>
        <w:spacing w:line="276" w:lineRule="auto"/>
        <w:jc w:val="both"/>
        <w:rPr>
          <w:rFonts w:eastAsiaTheme="minorHAnsi"/>
          <w:b/>
          <w:bCs/>
          <w:i/>
          <w:iCs/>
          <w:sz w:val="24"/>
          <w:szCs w:val="24"/>
          <w:lang w:eastAsia="en-US"/>
        </w:rPr>
      </w:pPr>
    </w:p>
    <w:p w:rsidR="00BC2981" w:rsidRPr="00FC5A2B" w:rsidRDefault="00BC2981" w:rsidP="00BC2981">
      <w:pPr>
        <w:autoSpaceDE w:val="0"/>
        <w:autoSpaceDN w:val="0"/>
        <w:adjustRightInd w:val="0"/>
        <w:spacing w:line="276" w:lineRule="auto"/>
        <w:jc w:val="both"/>
        <w:rPr>
          <w:rFonts w:eastAsiaTheme="minorHAnsi"/>
          <w:b/>
          <w:bCs/>
          <w:i/>
          <w:iCs/>
          <w:sz w:val="24"/>
          <w:szCs w:val="24"/>
          <w:lang w:eastAsia="en-US"/>
        </w:rPr>
      </w:pPr>
    </w:p>
    <w:p w:rsidR="00BC2981" w:rsidRPr="00FC5A2B" w:rsidRDefault="00BC2981" w:rsidP="00BC2981">
      <w:pPr>
        <w:autoSpaceDE w:val="0"/>
        <w:autoSpaceDN w:val="0"/>
        <w:adjustRightInd w:val="0"/>
        <w:spacing w:line="276" w:lineRule="auto"/>
        <w:jc w:val="both"/>
        <w:rPr>
          <w:rFonts w:eastAsiaTheme="minorHAnsi"/>
          <w:b/>
          <w:bCs/>
          <w:i/>
          <w:iCs/>
          <w:sz w:val="24"/>
          <w:szCs w:val="24"/>
          <w:lang w:eastAsia="en-US"/>
        </w:rPr>
      </w:pPr>
    </w:p>
    <w:p w:rsidR="00BC2981" w:rsidRPr="00BC2981" w:rsidRDefault="00BC2981" w:rsidP="00BC2981">
      <w:pPr>
        <w:autoSpaceDE w:val="0"/>
        <w:autoSpaceDN w:val="0"/>
        <w:adjustRightInd w:val="0"/>
        <w:spacing w:line="276" w:lineRule="auto"/>
        <w:jc w:val="both"/>
        <w:rPr>
          <w:rFonts w:eastAsiaTheme="minorHAnsi"/>
          <w:b/>
          <w:bCs/>
          <w:i/>
          <w:iCs/>
          <w:sz w:val="24"/>
          <w:szCs w:val="24"/>
          <w:lang w:eastAsia="en-US"/>
        </w:rPr>
      </w:pPr>
      <w:r w:rsidRPr="00BC2981">
        <w:rPr>
          <w:rFonts w:eastAsiaTheme="minorHAnsi"/>
          <w:b/>
          <w:bCs/>
          <w:i/>
          <w:iCs/>
          <w:sz w:val="24"/>
          <w:szCs w:val="24"/>
          <w:lang w:eastAsia="en-US"/>
        </w:rPr>
        <w:t>Δράση 1: Ψηφιακό Περιεχόμενο.</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 xml:space="preserve">Στο πλαίσιο της Πράξης θα πραγματοποιηθεί επικοινωνία και συνεργασία με ομάδες στόχους για τη συλλογή, ψηφιοποίηση και διαχείριση του προς προβολή περιεχομένου. Θα επιλεγούν τουλάχιστον 4 βασικές θεματικές διαδρομές σχετικές με το Φυσικό περιβάλλον (λιμνοθάλασσα, κλπ), τα Τοπικά Προϊόντα </w:t>
      </w:r>
      <w:proofErr w:type="spellStart"/>
      <w:r w:rsidRPr="00BC2981">
        <w:rPr>
          <w:rFonts w:eastAsiaTheme="minorHAnsi"/>
          <w:sz w:val="24"/>
          <w:szCs w:val="24"/>
          <w:lang w:eastAsia="en-US"/>
        </w:rPr>
        <w:t>αγροδιατροφής</w:t>
      </w:r>
      <w:proofErr w:type="spellEnd"/>
      <w:r w:rsidRPr="00BC2981">
        <w:rPr>
          <w:rFonts w:eastAsiaTheme="minorHAnsi"/>
          <w:sz w:val="24"/>
          <w:szCs w:val="24"/>
          <w:lang w:eastAsia="en-US"/>
        </w:rPr>
        <w:t>, την Επιχειρηματικότητα τοπικών προϊόντων και την Ιστορική και πολιτισμική κληρονομιά.</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p>
    <w:p w:rsidR="00BC2981" w:rsidRPr="00BC2981" w:rsidRDefault="00BC2981" w:rsidP="00BC2981">
      <w:pPr>
        <w:autoSpaceDE w:val="0"/>
        <w:autoSpaceDN w:val="0"/>
        <w:adjustRightInd w:val="0"/>
        <w:spacing w:line="276" w:lineRule="auto"/>
        <w:jc w:val="both"/>
        <w:rPr>
          <w:rFonts w:eastAsiaTheme="minorHAnsi"/>
          <w:b/>
          <w:bCs/>
          <w:i/>
          <w:iCs/>
          <w:sz w:val="24"/>
          <w:szCs w:val="24"/>
          <w:lang w:eastAsia="en-US"/>
        </w:rPr>
      </w:pPr>
      <w:r w:rsidRPr="00BC2981">
        <w:rPr>
          <w:rFonts w:eastAsiaTheme="minorHAnsi"/>
          <w:b/>
          <w:bCs/>
          <w:i/>
          <w:iCs/>
          <w:sz w:val="24"/>
          <w:szCs w:val="24"/>
          <w:lang w:eastAsia="en-US"/>
        </w:rPr>
        <w:t>Δράση 2: Λογισμικό</w:t>
      </w:r>
    </w:p>
    <w:p w:rsidR="00ED1E1C" w:rsidRPr="00C76190"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Στο πλαίσιο της Πράξης θα σχεδιασθεί και θα υλοποιηθεί λογισμικό για τη διαχείριση, διάθεση και προβολή του περιεχομένου στους τελικούς χρήστες. Στο πλαίσιο αυτό το λογισμικό θα παρέχει και κατάλληλες υπηρεσίες προς τις διάφορες ομάδες χρηστών (διαχειριστές εφαρμογών, διαχειριστές περιεχομένου, επιχειρήσεις, επισκέπτες, κλπ.)</w:t>
      </w:r>
      <w:r w:rsidR="00C76190" w:rsidRPr="00C76190">
        <w:rPr>
          <w:rFonts w:eastAsiaTheme="minorHAnsi"/>
          <w:sz w:val="24"/>
          <w:szCs w:val="24"/>
          <w:lang w:eastAsia="en-US"/>
        </w:rPr>
        <w:t xml:space="preserve">. </w:t>
      </w:r>
      <w:r w:rsidRPr="00BC2981">
        <w:rPr>
          <w:rFonts w:eastAsiaTheme="minorHAnsi"/>
          <w:sz w:val="24"/>
          <w:szCs w:val="24"/>
          <w:lang w:eastAsia="en-US"/>
        </w:rPr>
        <w:t>Οι ψηφιακές υπηρεσίες και το ψηφιακό περιεχόμενο θα είναι προσβάσιμο από τους τελικούς χρήστες είτε διαδικτυακά είτε τοπικά συνδεόμενοι με τους ασύρματους σταθμούς προβολής περιεχομένου.</w:t>
      </w:r>
    </w:p>
    <w:p w:rsidR="00BC2981" w:rsidRPr="00C76190" w:rsidRDefault="00BC2981" w:rsidP="00BC2981">
      <w:pPr>
        <w:autoSpaceDE w:val="0"/>
        <w:autoSpaceDN w:val="0"/>
        <w:adjustRightInd w:val="0"/>
        <w:spacing w:line="276" w:lineRule="auto"/>
        <w:jc w:val="both"/>
        <w:rPr>
          <w:rFonts w:eastAsiaTheme="minorHAnsi"/>
          <w:sz w:val="24"/>
          <w:szCs w:val="24"/>
          <w:lang w:eastAsia="en-US"/>
        </w:rPr>
      </w:pPr>
    </w:p>
    <w:p w:rsidR="00BC2981" w:rsidRPr="00BC2981" w:rsidRDefault="00BC2981" w:rsidP="00BC2981">
      <w:pPr>
        <w:autoSpaceDE w:val="0"/>
        <w:autoSpaceDN w:val="0"/>
        <w:adjustRightInd w:val="0"/>
        <w:spacing w:line="276" w:lineRule="auto"/>
        <w:jc w:val="both"/>
        <w:rPr>
          <w:rFonts w:eastAsiaTheme="minorHAnsi"/>
          <w:b/>
          <w:bCs/>
          <w:i/>
          <w:iCs/>
          <w:sz w:val="24"/>
          <w:szCs w:val="24"/>
          <w:lang w:eastAsia="en-US"/>
        </w:rPr>
      </w:pPr>
      <w:r w:rsidRPr="00BC2981">
        <w:rPr>
          <w:rFonts w:eastAsiaTheme="minorHAnsi"/>
          <w:b/>
          <w:bCs/>
          <w:i/>
          <w:iCs/>
          <w:sz w:val="24"/>
          <w:szCs w:val="24"/>
          <w:lang w:eastAsia="en-US"/>
        </w:rPr>
        <w:t xml:space="preserve">Δράση 3: Υλικό – </w:t>
      </w:r>
      <w:proofErr w:type="spellStart"/>
      <w:r w:rsidRPr="00BC2981">
        <w:rPr>
          <w:rFonts w:eastAsiaTheme="minorHAnsi"/>
          <w:b/>
          <w:bCs/>
          <w:i/>
          <w:iCs/>
          <w:sz w:val="24"/>
          <w:szCs w:val="24"/>
          <w:lang w:eastAsia="en-US"/>
        </w:rPr>
        <w:t>Hardware</w:t>
      </w:r>
      <w:proofErr w:type="spellEnd"/>
    </w:p>
    <w:p w:rsidR="00BC2981" w:rsidRPr="00FC5A2B" w:rsidRDefault="00BC2981" w:rsidP="00BC2981">
      <w:pPr>
        <w:autoSpaceDE w:val="0"/>
        <w:autoSpaceDN w:val="0"/>
        <w:adjustRightInd w:val="0"/>
        <w:spacing w:line="276" w:lineRule="auto"/>
        <w:jc w:val="both"/>
        <w:rPr>
          <w:rFonts w:eastAsiaTheme="minorHAnsi"/>
          <w:sz w:val="24"/>
          <w:szCs w:val="24"/>
          <w:lang w:eastAsia="en-US"/>
        </w:rPr>
      </w:pPr>
      <w:r w:rsidRPr="00BC2981">
        <w:rPr>
          <w:rFonts w:eastAsiaTheme="minorHAnsi"/>
          <w:sz w:val="24"/>
          <w:szCs w:val="24"/>
          <w:lang w:eastAsia="en-US"/>
        </w:rPr>
        <w:t xml:space="preserve">Στο πλαίσιο της Πράξης θα υπάρξει προμήθεια και εγκατάσταση υλικού - </w:t>
      </w:r>
      <w:proofErr w:type="spellStart"/>
      <w:r w:rsidRPr="00BC2981">
        <w:rPr>
          <w:rFonts w:eastAsiaTheme="minorHAnsi"/>
          <w:sz w:val="24"/>
          <w:szCs w:val="24"/>
          <w:lang w:eastAsia="en-US"/>
        </w:rPr>
        <w:t>hardware</w:t>
      </w:r>
      <w:proofErr w:type="spellEnd"/>
      <w:r w:rsidRPr="00BC2981">
        <w:rPr>
          <w:rFonts w:eastAsiaTheme="minorHAnsi"/>
          <w:sz w:val="24"/>
          <w:szCs w:val="24"/>
          <w:lang w:eastAsia="en-US"/>
        </w:rPr>
        <w:t xml:space="preserve"> για την άρτια και ολοκληρωμένη εγκατάσταση των υπηρεσιών και του περιεχομένου στην περιοχή παρέμβασης. Πιο συγκεκριμένα, στο υλικό θα ψηφιοποιηθεί περιεχόμενο και θα εγκατασταθούν οι διαδικτυακές υπηρεσίες (</w:t>
      </w:r>
      <w:proofErr w:type="spellStart"/>
      <w:r w:rsidRPr="00BC2981">
        <w:rPr>
          <w:rFonts w:eastAsiaTheme="minorHAnsi"/>
          <w:sz w:val="24"/>
          <w:szCs w:val="24"/>
          <w:lang w:eastAsia="en-US"/>
        </w:rPr>
        <w:t>servers</w:t>
      </w:r>
      <w:proofErr w:type="spellEnd"/>
      <w:r w:rsidRPr="00BC2981">
        <w:rPr>
          <w:rFonts w:eastAsiaTheme="minorHAnsi"/>
          <w:sz w:val="24"/>
          <w:szCs w:val="24"/>
          <w:lang w:eastAsia="en-US"/>
        </w:rPr>
        <w:t xml:space="preserve">, λογισμικό </w:t>
      </w:r>
      <w:proofErr w:type="spellStart"/>
      <w:r w:rsidRPr="00BC2981">
        <w:rPr>
          <w:rFonts w:eastAsiaTheme="minorHAnsi"/>
          <w:sz w:val="24"/>
          <w:szCs w:val="24"/>
          <w:lang w:eastAsia="en-US"/>
        </w:rPr>
        <w:t>servers</w:t>
      </w:r>
      <w:proofErr w:type="spellEnd"/>
      <w:r w:rsidRPr="00BC2981">
        <w:rPr>
          <w:rFonts w:eastAsiaTheme="minorHAnsi"/>
          <w:sz w:val="24"/>
          <w:szCs w:val="24"/>
          <w:lang w:eastAsia="en-US"/>
        </w:rPr>
        <w:t>, κλπ). Επίσης, θα εγκατασταθούν 8 ασύρματοι σταθμοί πληροφόρησης και θα πραγματοποιηθεί προμήθεια φορητού εξοπλισμού για βιντεοδιασκέψεις.</w:t>
      </w:r>
    </w:p>
    <w:p w:rsidR="00BC2981" w:rsidRPr="00FC5A2B" w:rsidRDefault="00BC2981" w:rsidP="00BC2981">
      <w:pPr>
        <w:autoSpaceDE w:val="0"/>
        <w:autoSpaceDN w:val="0"/>
        <w:adjustRightInd w:val="0"/>
        <w:spacing w:line="276" w:lineRule="auto"/>
        <w:jc w:val="both"/>
        <w:rPr>
          <w:rFonts w:eastAsiaTheme="minorHAnsi"/>
          <w:sz w:val="24"/>
          <w:szCs w:val="24"/>
          <w:lang w:eastAsia="en-US"/>
        </w:rPr>
      </w:pPr>
    </w:p>
    <w:p w:rsidR="00BC2981" w:rsidRPr="00BC2981" w:rsidRDefault="00BC2981" w:rsidP="00BC2981">
      <w:pPr>
        <w:autoSpaceDE w:val="0"/>
        <w:autoSpaceDN w:val="0"/>
        <w:adjustRightInd w:val="0"/>
        <w:spacing w:line="276" w:lineRule="auto"/>
        <w:jc w:val="both"/>
        <w:rPr>
          <w:rFonts w:eastAsiaTheme="minorHAnsi"/>
          <w:b/>
          <w:bCs/>
          <w:i/>
          <w:iCs/>
          <w:sz w:val="24"/>
          <w:szCs w:val="24"/>
          <w:lang w:eastAsia="en-US"/>
        </w:rPr>
      </w:pPr>
      <w:r w:rsidRPr="00BC2981">
        <w:rPr>
          <w:rFonts w:eastAsiaTheme="minorHAnsi"/>
          <w:b/>
          <w:bCs/>
          <w:i/>
          <w:iCs/>
          <w:sz w:val="24"/>
          <w:szCs w:val="24"/>
          <w:lang w:eastAsia="en-US"/>
        </w:rPr>
        <w:t>Δράση 4: Σεμινάρια</w:t>
      </w:r>
    </w:p>
    <w:p w:rsidR="00BC2981" w:rsidRPr="00BC2981" w:rsidRDefault="00BC2981" w:rsidP="00BC2981">
      <w:pPr>
        <w:autoSpaceDE w:val="0"/>
        <w:autoSpaceDN w:val="0"/>
        <w:adjustRightInd w:val="0"/>
        <w:spacing w:line="276" w:lineRule="auto"/>
        <w:jc w:val="both"/>
        <w:rPr>
          <w:sz w:val="24"/>
          <w:szCs w:val="24"/>
        </w:rPr>
      </w:pPr>
      <w:r w:rsidRPr="00BC2981">
        <w:rPr>
          <w:rFonts w:eastAsiaTheme="minorHAnsi"/>
          <w:sz w:val="24"/>
          <w:szCs w:val="24"/>
          <w:lang w:eastAsia="en-US"/>
        </w:rPr>
        <w:t>Στο πλαίσιο της Πράξης θα διοργανωθούν για κάθε ομάδα στόχο ειδικά σεμινάρια για την εκπαίδευση των μελών της κάθε ομάδας στόχου</w:t>
      </w:r>
      <w:r w:rsidR="00C76190" w:rsidRPr="00C76190">
        <w:rPr>
          <w:rFonts w:eastAsiaTheme="minorHAnsi"/>
          <w:sz w:val="24"/>
          <w:szCs w:val="24"/>
          <w:lang w:eastAsia="en-US"/>
        </w:rPr>
        <w:t xml:space="preserve"> </w:t>
      </w:r>
      <w:r w:rsidRPr="00BC2981">
        <w:rPr>
          <w:rFonts w:eastAsiaTheme="minorHAnsi"/>
          <w:sz w:val="24"/>
          <w:szCs w:val="24"/>
          <w:lang w:eastAsia="en-US"/>
        </w:rPr>
        <w:t>στις ιδιαίτερες απαιτήσεις και προδιαγραφές χρήσης των ψηφιακών υπηρεσιών.</w:t>
      </w:r>
    </w:p>
    <w:sectPr w:rsidR="00BC2981" w:rsidRPr="00BC2981" w:rsidSect="00ED1E1C">
      <w:headerReference w:type="default" r:id="rId7"/>
      <w:footerReference w:type="default" r:id="rId8"/>
      <w:pgSz w:w="11906" w:h="16838"/>
      <w:pgMar w:top="1440" w:right="1558" w:bottom="1440" w:left="1276" w:header="142" w:footer="3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80" w:rsidRDefault="00524A80" w:rsidP="00FB1847">
      <w:r>
        <w:separator/>
      </w:r>
    </w:p>
  </w:endnote>
  <w:endnote w:type="continuationSeparator" w:id="0">
    <w:p w:rsidR="00524A80" w:rsidRDefault="00524A80" w:rsidP="00FB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47" w:rsidRDefault="00FB1847">
    <w:pPr>
      <w:pStyle w:val="a6"/>
    </w:pPr>
    <w:r w:rsidRPr="00FB1847">
      <w:rPr>
        <w:noProof/>
      </w:rPr>
      <w:drawing>
        <wp:inline distT="0" distB="0" distL="0" distR="0">
          <wp:extent cx="5274310" cy="866358"/>
          <wp:effectExtent l="19050" t="0" r="2540" b="0"/>
          <wp:docPr id="3" name="Εικόνα 2" descr="C:\Users\grobolas\Desktop\Banner Προγράμματ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bolas\Desktop\Banner Προγράμματος.png"/>
                  <pic:cNvPicPr>
                    <a:picLocks noChangeAspect="1" noChangeArrowheads="1"/>
                  </pic:cNvPicPr>
                </pic:nvPicPr>
                <pic:blipFill>
                  <a:blip r:embed="rId1" cstate="print"/>
                  <a:srcRect/>
                  <a:stretch>
                    <a:fillRect/>
                  </a:stretch>
                </pic:blipFill>
                <pic:spPr bwMode="auto">
                  <a:xfrm>
                    <a:off x="0" y="0"/>
                    <a:ext cx="5274310" cy="8663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80" w:rsidRDefault="00524A80" w:rsidP="00FB1847">
      <w:r>
        <w:separator/>
      </w:r>
    </w:p>
  </w:footnote>
  <w:footnote w:type="continuationSeparator" w:id="0">
    <w:p w:rsidR="00524A80" w:rsidRDefault="00524A80" w:rsidP="00FB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bottom w:val="single" w:sz="4" w:space="0" w:color="auto"/>
      </w:tblBorders>
      <w:tblLook w:val="04A0"/>
    </w:tblPr>
    <w:tblGrid>
      <w:gridCol w:w="1927"/>
      <w:gridCol w:w="2459"/>
      <w:gridCol w:w="2722"/>
      <w:gridCol w:w="2180"/>
    </w:tblGrid>
    <w:tr w:rsidR="00ED1E1C" w:rsidRPr="00D47A64" w:rsidTr="002E3C11">
      <w:trPr>
        <w:jc w:val="center"/>
      </w:trPr>
      <w:tc>
        <w:tcPr>
          <w:tcW w:w="1927" w:type="dxa"/>
          <w:shd w:val="clear" w:color="auto" w:fill="auto"/>
          <w:vAlign w:val="center"/>
        </w:tcPr>
        <w:p w:rsidR="00ED1E1C" w:rsidRPr="00D47A64" w:rsidRDefault="00ED1E1C" w:rsidP="002E3C11">
          <w:pPr>
            <w:jc w:val="center"/>
            <w:rPr>
              <w:rFonts w:ascii="Calibri" w:eastAsia="Calibri" w:hAnsi="Calibri"/>
            </w:rPr>
          </w:pPr>
          <w:r w:rsidRPr="00D47A64">
            <w:rPr>
              <w:rFonts w:ascii="Calibri" w:eastAsia="Calibri" w:hAnsi="Calibri" w:cs="Arial"/>
              <w:noProof/>
              <w:sz w:val="24"/>
            </w:rPr>
            <w:drawing>
              <wp:inline distT="0" distB="0" distL="0" distR="0">
                <wp:extent cx="679450" cy="428625"/>
                <wp:effectExtent l="0" t="0" r="6350" b="9525"/>
                <wp:docPr id="699"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450" cy="428625"/>
                        </a:xfrm>
                        <a:prstGeom prst="rect">
                          <a:avLst/>
                        </a:prstGeom>
                        <a:noFill/>
                        <a:ln>
                          <a:noFill/>
                        </a:ln>
                      </pic:spPr>
                    </pic:pic>
                  </a:graphicData>
                </a:graphic>
              </wp:inline>
            </w:drawing>
          </w:r>
        </w:p>
        <w:p w:rsidR="00ED1E1C" w:rsidRPr="00091D37" w:rsidRDefault="00ED1E1C" w:rsidP="002E3C11">
          <w:pPr>
            <w:jc w:val="center"/>
            <w:rPr>
              <w:rFonts w:ascii="Tahoma" w:eastAsia="Calibri" w:hAnsi="Tahoma" w:cs="Tahoma"/>
              <w:color w:val="000000"/>
              <w:sz w:val="14"/>
              <w:szCs w:val="14"/>
            </w:rPr>
          </w:pPr>
          <w:r w:rsidRPr="00091D37">
            <w:rPr>
              <w:rFonts w:ascii="Tahoma" w:eastAsia="Calibri" w:hAnsi="Tahoma" w:cs="Tahoma"/>
              <w:color w:val="000000"/>
              <w:sz w:val="14"/>
              <w:szCs w:val="14"/>
            </w:rPr>
            <w:t>Ευρωπαϊκή Ένωση</w:t>
          </w:r>
        </w:p>
        <w:p w:rsidR="00ED1E1C" w:rsidRPr="00091D37" w:rsidRDefault="00ED1E1C" w:rsidP="002E3C11">
          <w:pPr>
            <w:jc w:val="center"/>
            <w:rPr>
              <w:rFonts w:ascii="Calibri" w:eastAsia="Calibri" w:hAnsi="Calibri"/>
            </w:rPr>
          </w:pPr>
          <w:r w:rsidRPr="00091D37">
            <w:rPr>
              <w:rFonts w:ascii="Tahoma" w:eastAsia="Calibri" w:hAnsi="Tahoma" w:cs="Tahoma"/>
              <w:color w:val="000000"/>
              <w:sz w:val="14"/>
              <w:szCs w:val="14"/>
            </w:rPr>
            <w:t>Ευρωπαϊκό Κοινωνικό Ταμείο</w:t>
          </w:r>
        </w:p>
      </w:tc>
      <w:tc>
        <w:tcPr>
          <w:tcW w:w="2459" w:type="dxa"/>
          <w:shd w:val="clear" w:color="auto" w:fill="auto"/>
          <w:vAlign w:val="center"/>
        </w:tcPr>
        <w:p w:rsidR="00ED1E1C" w:rsidRPr="00D47A64" w:rsidRDefault="00ED1E1C" w:rsidP="002E3C11">
          <w:pPr>
            <w:tabs>
              <w:tab w:val="center" w:pos="4153"/>
              <w:tab w:val="right" w:pos="8306"/>
            </w:tabs>
            <w:jc w:val="center"/>
            <w:rPr>
              <w:rFonts w:ascii="Calibri" w:eastAsia="Calibri" w:hAnsi="Calibri"/>
              <w:i/>
              <w:color w:val="7F7F7F"/>
              <w:sz w:val="18"/>
            </w:rPr>
          </w:pPr>
          <w:r>
            <w:rPr>
              <w:rFonts w:ascii="Calibri" w:eastAsia="Calibri" w:hAnsi="Calibri"/>
              <w:i/>
              <w:noProof/>
              <w:color w:val="7F7F7F"/>
              <w:sz w:val="18"/>
            </w:rPr>
            <w:drawing>
              <wp:inline distT="0" distB="0" distL="0" distR="0">
                <wp:extent cx="925712" cy="720000"/>
                <wp:effectExtent l="0" t="0" r="8255" b="4445"/>
                <wp:docPr id="700" name="Εικόνα 1" descr="C:\Users\grobolas\Desktop\ΕΜΒΛΗΜΑ ΕΠΙΜΕΛΗΤΗΡΙΟΥ_ΜΙΚ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bolas\Desktop\ΕΜΒΛΗΜΑ ΕΠΙΜΕΛΗΤΗΡΙΟΥ_ΜΙΚΡΟ.jpg"/>
                        <pic:cNvPicPr>
                          <a:picLocks noChangeAspect="1" noChangeArrowheads="1"/>
                        </pic:cNvPicPr>
                      </pic:nvPicPr>
                      <pic:blipFill>
                        <a:blip r:embed="rId2"/>
                        <a:srcRect/>
                        <a:stretch>
                          <a:fillRect/>
                        </a:stretch>
                      </pic:blipFill>
                      <pic:spPr bwMode="auto">
                        <a:xfrm>
                          <a:off x="0" y="0"/>
                          <a:ext cx="925712" cy="720000"/>
                        </a:xfrm>
                        <a:prstGeom prst="rect">
                          <a:avLst/>
                        </a:prstGeom>
                        <a:noFill/>
                        <a:ln w="9525">
                          <a:noFill/>
                          <a:miter lim="800000"/>
                          <a:headEnd/>
                          <a:tailEnd/>
                        </a:ln>
                      </pic:spPr>
                    </pic:pic>
                  </a:graphicData>
                </a:graphic>
              </wp:inline>
            </w:drawing>
          </w:r>
        </w:p>
      </w:tc>
      <w:tc>
        <w:tcPr>
          <w:tcW w:w="2722" w:type="dxa"/>
          <w:shd w:val="clear" w:color="auto" w:fill="auto"/>
          <w:vAlign w:val="center"/>
        </w:tcPr>
        <w:p w:rsidR="00ED1E1C" w:rsidRPr="00596E52" w:rsidRDefault="00ED1E1C" w:rsidP="002E3C11">
          <w:pPr>
            <w:tabs>
              <w:tab w:val="center" w:pos="4153"/>
              <w:tab w:val="right" w:pos="8306"/>
            </w:tabs>
            <w:jc w:val="center"/>
            <w:rPr>
              <w:rFonts w:ascii="Calibri" w:eastAsia="Calibri" w:hAnsi="Calibri"/>
              <w:b/>
              <w:i/>
              <w:noProof/>
              <w:color w:val="7F7F7F"/>
              <w:sz w:val="18"/>
            </w:rPr>
          </w:pPr>
          <w:r>
            <w:rPr>
              <w:noProof/>
            </w:rPr>
            <w:drawing>
              <wp:inline distT="0" distB="0" distL="0" distR="0">
                <wp:extent cx="1354286" cy="720000"/>
                <wp:effectExtent l="0" t="0" r="0" b="4445"/>
                <wp:docPr id="701" name="Εικόνα 2" descr="Tornos News - Ψηφιακές δράσεις για το τουρισμό από την Περιφέρει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os News - Ψηφιακές δράσεις για το τουρισμό από την Περιφέρεια ..."/>
                        <pic:cNvPicPr>
                          <a:picLocks noChangeAspect="1" noChangeArrowheads="1"/>
                        </pic:cNvPicPr>
                      </pic:nvPicPr>
                      <pic:blipFill>
                        <a:blip r:embed="rId3"/>
                        <a:srcRect/>
                        <a:stretch>
                          <a:fillRect/>
                        </a:stretch>
                      </pic:blipFill>
                      <pic:spPr bwMode="auto">
                        <a:xfrm>
                          <a:off x="0" y="0"/>
                          <a:ext cx="1354286" cy="720000"/>
                        </a:xfrm>
                        <a:prstGeom prst="rect">
                          <a:avLst/>
                        </a:prstGeom>
                        <a:noFill/>
                        <a:ln w="9525">
                          <a:noFill/>
                          <a:miter lim="800000"/>
                          <a:headEnd/>
                          <a:tailEnd/>
                        </a:ln>
                      </pic:spPr>
                    </pic:pic>
                  </a:graphicData>
                </a:graphic>
              </wp:inline>
            </w:drawing>
          </w:r>
          <w:r>
            <w:rPr>
              <w:rFonts w:ascii="Calibri" w:eastAsia="Calibri" w:hAnsi="Calibri"/>
              <w:b/>
              <w:i/>
              <w:noProof/>
              <w:color w:val="7F7F7F"/>
              <w:sz w:val="16"/>
              <w:szCs w:val="16"/>
              <w:highlight w:val="yellow"/>
            </w:rPr>
            <w:br/>
          </w:r>
          <w:r w:rsidRPr="00091D37">
            <w:rPr>
              <w:rFonts w:ascii="Calibri" w:eastAsia="Calibri" w:hAnsi="Calibri"/>
              <w:b/>
              <w:i/>
              <w:noProof/>
              <w:color w:val="7F7F7F"/>
              <w:sz w:val="16"/>
              <w:szCs w:val="16"/>
            </w:rPr>
            <w:t>ΕΠΙΧ. ΠΡΟΓΡΑΜΜΑ 2014 - 2020</w:t>
          </w:r>
        </w:p>
      </w:tc>
      <w:tc>
        <w:tcPr>
          <w:tcW w:w="2180" w:type="dxa"/>
          <w:shd w:val="clear" w:color="auto" w:fill="auto"/>
          <w:vAlign w:val="center"/>
        </w:tcPr>
        <w:p w:rsidR="00ED1E1C" w:rsidRPr="00D47A64" w:rsidRDefault="00ED1E1C" w:rsidP="002E3C11">
          <w:pPr>
            <w:jc w:val="center"/>
            <w:rPr>
              <w:rFonts w:ascii="Calibri" w:eastAsia="Calibri" w:hAnsi="Calibri"/>
            </w:rPr>
          </w:pPr>
          <w:r w:rsidRPr="00D47A64">
            <w:rPr>
              <w:rFonts w:ascii="Calibri" w:eastAsia="Calibri" w:hAnsi="Calibri" w:cs="Arial"/>
              <w:noProof/>
              <w:sz w:val="24"/>
            </w:rPr>
            <w:drawing>
              <wp:inline distT="0" distB="0" distL="0" distR="0">
                <wp:extent cx="884740" cy="612000"/>
                <wp:effectExtent l="0" t="0" r="0" b="0"/>
                <wp:docPr id="702"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4740" cy="612000"/>
                        </a:xfrm>
                        <a:prstGeom prst="rect">
                          <a:avLst/>
                        </a:prstGeom>
                        <a:noFill/>
                        <a:ln>
                          <a:noFill/>
                        </a:ln>
                      </pic:spPr>
                    </pic:pic>
                  </a:graphicData>
                </a:graphic>
              </wp:inline>
            </w:drawing>
          </w:r>
        </w:p>
      </w:tc>
    </w:tr>
    <w:tr w:rsidR="00ED1E1C" w:rsidRPr="00D47A64" w:rsidTr="002E3C11">
      <w:trPr>
        <w:jc w:val="center"/>
      </w:trPr>
      <w:tc>
        <w:tcPr>
          <w:tcW w:w="9288" w:type="dxa"/>
          <w:gridSpan w:val="4"/>
          <w:shd w:val="clear" w:color="auto" w:fill="auto"/>
          <w:vAlign w:val="center"/>
        </w:tcPr>
        <w:p w:rsidR="00ED1E1C" w:rsidRPr="00ED1E1C" w:rsidRDefault="00ED1E1C" w:rsidP="002E3C11">
          <w:pPr>
            <w:jc w:val="center"/>
            <w:rPr>
              <w:rFonts w:ascii="Calibri" w:eastAsia="Calibri" w:hAnsi="Calibri" w:cs="Arial"/>
              <w:noProof/>
              <w:sz w:val="24"/>
              <w:lang w:val="en-US"/>
            </w:rPr>
          </w:pPr>
          <w:r w:rsidRPr="00D47A64">
            <w:rPr>
              <w:rFonts w:ascii="Calibri" w:eastAsia="Calibri" w:hAnsi="Calibri"/>
              <w:i/>
              <w:noProof/>
              <w:color w:val="7F7F7F"/>
              <w:sz w:val="18"/>
            </w:rPr>
            <w:drawing>
              <wp:inline distT="0" distB="0" distL="0" distR="0">
                <wp:extent cx="2895600" cy="184150"/>
                <wp:effectExtent l="0" t="0" r="0" b="6350"/>
                <wp:docPr id="703"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0"/>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0" cy="184150"/>
                        </a:xfrm>
                        <a:prstGeom prst="rect">
                          <a:avLst/>
                        </a:prstGeom>
                        <a:noFill/>
                        <a:ln>
                          <a:noFill/>
                        </a:ln>
                      </pic:spPr>
                    </pic:pic>
                  </a:graphicData>
                </a:graphic>
              </wp:inline>
            </w:drawing>
          </w:r>
        </w:p>
      </w:tc>
    </w:tr>
  </w:tbl>
  <w:p w:rsidR="00FB1847" w:rsidRDefault="00FB1847" w:rsidP="00ED1E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D73"/>
    <w:multiLevelType w:val="hybridMultilevel"/>
    <w:tmpl w:val="8CA8A4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CB324AE"/>
    <w:multiLevelType w:val="hybridMultilevel"/>
    <w:tmpl w:val="9B9C205A"/>
    <w:lvl w:ilvl="0" w:tplc="FB848128">
      <w:start w:val="1"/>
      <w:numFmt w:val="bullet"/>
      <w:lvlText w:val=""/>
      <w:lvlJc w:val="left"/>
      <w:pPr>
        <w:ind w:left="720" w:hanging="360"/>
      </w:pPr>
      <w:rPr>
        <w:rFonts w:ascii="Wingdings" w:hAnsi="Wingdings" w:hint="default"/>
      </w:rPr>
    </w:lvl>
    <w:lvl w:ilvl="1" w:tplc="63FACDD6" w:tentative="1">
      <w:start w:val="1"/>
      <w:numFmt w:val="bullet"/>
      <w:lvlText w:val="o"/>
      <w:lvlJc w:val="left"/>
      <w:pPr>
        <w:ind w:left="1440" w:hanging="360"/>
      </w:pPr>
      <w:rPr>
        <w:rFonts w:ascii="Courier New" w:hAnsi="Courier New" w:cs="Courier New" w:hint="default"/>
      </w:rPr>
    </w:lvl>
    <w:lvl w:ilvl="2" w:tplc="41ACB658" w:tentative="1">
      <w:start w:val="1"/>
      <w:numFmt w:val="bullet"/>
      <w:lvlText w:val=""/>
      <w:lvlJc w:val="left"/>
      <w:pPr>
        <w:ind w:left="2160" w:hanging="360"/>
      </w:pPr>
      <w:rPr>
        <w:rFonts w:ascii="Wingdings" w:hAnsi="Wingdings" w:hint="default"/>
      </w:rPr>
    </w:lvl>
    <w:lvl w:ilvl="3" w:tplc="D4DA6DFC" w:tentative="1">
      <w:start w:val="1"/>
      <w:numFmt w:val="bullet"/>
      <w:lvlText w:val=""/>
      <w:lvlJc w:val="left"/>
      <w:pPr>
        <w:ind w:left="2880" w:hanging="360"/>
      </w:pPr>
      <w:rPr>
        <w:rFonts w:ascii="Symbol" w:hAnsi="Symbol" w:hint="default"/>
      </w:rPr>
    </w:lvl>
    <w:lvl w:ilvl="4" w:tplc="F2427CBE" w:tentative="1">
      <w:start w:val="1"/>
      <w:numFmt w:val="bullet"/>
      <w:lvlText w:val="o"/>
      <w:lvlJc w:val="left"/>
      <w:pPr>
        <w:ind w:left="3600" w:hanging="360"/>
      </w:pPr>
      <w:rPr>
        <w:rFonts w:ascii="Courier New" w:hAnsi="Courier New" w:cs="Courier New" w:hint="default"/>
      </w:rPr>
    </w:lvl>
    <w:lvl w:ilvl="5" w:tplc="27E28F42" w:tentative="1">
      <w:start w:val="1"/>
      <w:numFmt w:val="bullet"/>
      <w:lvlText w:val=""/>
      <w:lvlJc w:val="left"/>
      <w:pPr>
        <w:ind w:left="4320" w:hanging="360"/>
      </w:pPr>
      <w:rPr>
        <w:rFonts w:ascii="Wingdings" w:hAnsi="Wingdings" w:hint="default"/>
      </w:rPr>
    </w:lvl>
    <w:lvl w:ilvl="6" w:tplc="6B866A28" w:tentative="1">
      <w:start w:val="1"/>
      <w:numFmt w:val="bullet"/>
      <w:lvlText w:val=""/>
      <w:lvlJc w:val="left"/>
      <w:pPr>
        <w:ind w:left="5040" w:hanging="360"/>
      </w:pPr>
      <w:rPr>
        <w:rFonts w:ascii="Symbol" w:hAnsi="Symbol" w:hint="default"/>
      </w:rPr>
    </w:lvl>
    <w:lvl w:ilvl="7" w:tplc="1EC250A4" w:tentative="1">
      <w:start w:val="1"/>
      <w:numFmt w:val="bullet"/>
      <w:lvlText w:val="o"/>
      <w:lvlJc w:val="left"/>
      <w:pPr>
        <w:ind w:left="5760" w:hanging="360"/>
      </w:pPr>
      <w:rPr>
        <w:rFonts w:ascii="Courier New" w:hAnsi="Courier New" w:cs="Courier New" w:hint="default"/>
      </w:rPr>
    </w:lvl>
    <w:lvl w:ilvl="8" w:tplc="3BF24420" w:tentative="1">
      <w:start w:val="1"/>
      <w:numFmt w:val="bullet"/>
      <w:lvlText w:val=""/>
      <w:lvlJc w:val="left"/>
      <w:pPr>
        <w:ind w:left="6480" w:hanging="360"/>
      </w:pPr>
      <w:rPr>
        <w:rFonts w:ascii="Wingdings" w:hAnsi="Wingdings" w:hint="default"/>
      </w:rPr>
    </w:lvl>
  </w:abstractNum>
  <w:abstractNum w:abstractNumId="2">
    <w:nsid w:val="7FDB4091"/>
    <w:multiLevelType w:val="multilevel"/>
    <w:tmpl w:val="0408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9D0D8A"/>
    <w:rsid w:val="000148D0"/>
    <w:rsid w:val="00030A68"/>
    <w:rsid w:val="0003529F"/>
    <w:rsid w:val="002F7210"/>
    <w:rsid w:val="003178BD"/>
    <w:rsid w:val="00365962"/>
    <w:rsid w:val="004056A6"/>
    <w:rsid w:val="004E301D"/>
    <w:rsid w:val="00524A80"/>
    <w:rsid w:val="00526D77"/>
    <w:rsid w:val="00695B27"/>
    <w:rsid w:val="006B66D6"/>
    <w:rsid w:val="008A0B24"/>
    <w:rsid w:val="009D0D8A"/>
    <w:rsid w:val="00BC2981"/>
    <w:rsid w:val="00C76190"/>
    <w:rsid w:val="00CB0B2B"/>
    <w:rsid w:val="00DF131F"/>
    <w:rsid w:val="00ED1E1C"/>
    <w:rsid w:val="00FB1847"/>
    <w:rsid w:val="00FB1848"/>
    <w:rsid w:val="00FC5A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A"/>
    <w:pPr>
      <w:spacing w:after="0" w:line="240" w:lineRule="auto"/>
    </w:pPr>
    <w:rPr>
      <w:rFonts w:ascii="Times New Roman" w:eastAsia="Times New Roman" w:hAnsi="Times New Roman" w:cs="Times New Roman"/>
      <w:sz w:val="20"/>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FB1848"/>
    <w:pPr>
      <w:keepNext/>
      <w:pageBreakBefore/>
      <w:pBdr>
        <w:top w:val="none" w:sz="0" w:space="0" w:color="000000"/>
        <w:left w:val="none" w:sz="0" w:space="0" w:color="000000"/>
        <w:bottom w:val="single" w:sz="18" w:space="1" w:color="000080"/>
        <w:right w:val="none" w:sz="0" w:space="0" w:color="000000"/>
      </w:pBdr>
      <w:suppressAutoHyphens/>
      <w:spacing w:before="320" w:after="160"/>
      <w:ind w:left="432" w:hanging="432"/>
      <w:jc w:val="both"/>
      <w:outlineLvl w:val="0"/>
    </w:pPr>
    <w:rPr>
      <w:rFonts w:ascii="Calibri" w:hAnsi="Calibri" w:cs="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
    <w:basedOn w:val="a"/>
    <w:link w:val="Char"/>
    <w:uiPriority w:val="34"/>
    <w:qFormat/>
    <w:rsid w:val="009D0D8A"/>
    <w:pPr>
      <w:spacing w:before="100" w:beforeAutospacing="1"/>
      <w:ind w:left="720"/>
      <w:contextualSpacing/>
      <w:jc w:val="both"/>
    </w:pPr>
    <w:rPr>
      <w:rFonts w:ascii="Verdana" w:hAnsi="Verdana"/>
      <w:sz w:val="16"/>
      <w:szCs w:val="16"/>
    </w:rPr>
  </w:style>
  <w:style w:type="paragraph" w:customStyle="1" w:styleId="21">
    <w:name w:val="Σώμα κείμενου με εσοχή 21"/>
    <w:basedOn w:val="a"/>
    <w:rsid w:val="009D0D8A"/>
    <w:pPr>
      <w:suppressAutoHyphens/>
      <w:spacing w:after="120" w:line="480" w:lineRule="auto"/>
      <w:ind w:left="283"/>
    </w:pPr>
    <w:rPr>
      <w:sz w:val="24"/>
      <w:szCs w:val="24"/>
      <w:lang w:eastAsia="ar-SA"/>
    </w:rPr>
  </w:style>
  <w:style w:type="paragraph" w:styleId="a4">
    <w:name w:val="Balloon Text"/>
    <w:basedOn w:val="a"/>
    <w:link w:val="Char0"/>
    <w:uiPriority w:val="99"/>
    <w:semiHidden/>
    <w:unhideWhenUsed/>
    <w:rsid w:val="00FB1847"/>
    <w:rPr>
      <w:rFonts w:ascii="Tahoma" w:hAnsi="Tahoma" w:cs="Tahoma"/>
      <w:sz w:val="16"/>
      <w:szCs w:val="16"/>
    </w:rPr>
  </w:style>
  <w:style w:type="character" w:customStyle="1" w:styleId="Char0">
    <w:name w:val="Κείμενο πλαισίου Char"/>
    <w:basedOn w:val="a0"/>
    <w:link w:val="a4"/>
    <w:uiPriority w:val="99"/>
    <w:semiHidden/>
    <w:rsid w:val="00FB1847"/>
    <w:rPr>
      <w:rFonts w:ascii="Tahoma" w:eastAsia="Times New Roman" w:hAnsi="Tahoma" w:cs="Tahoma"/>
      <w:sz w:val="16"/>
      <w:szCs w:val="16"/>
      <w:lang w:eastAsia="el-GR"/>
    </w:rPr>
  </w:style>
  <w:style w:type="paragraph" w:styleId="a5">
    <w:name w:val="header"/>
    <w:basedOn w:val="a"/>
    <w:link w:val="Char1"/>
    <w:uiPriority w:val="99"/>
    <w:unhideWhenUsed/>
    <w:rsid w:val="00FB1847"/>
    <w:pPr>
      <w:tabs>
        <w:tab w:val="center" w:pos="4153"/>
        <w:tab w:val="right" w:pos="8306"/>
      </w:tabs>
    </w:pPr>
  </w:style>
  <w:style w:type="character" w:customStyle="1" w:styleId="Char1">
    <w:name w:val="Κεφαλίδα Char"/>
    <w:basedOn w:val="a0"/>
    <w:link w:val="a5"/>
    <w:uiPriority w:val="99"/>
    <w:rsid w:val="00FB1847"/>
    <w:rPr>
      <w:rFonts w:ascii="Times New Roman" w:eastAsia="Times New Roman" w:hAnsi="Times New Roman" w:cs="Times New Roman"/>
      <w:sz w:val="20"/>
      <w:szCs w:val="20"/>
      <w:lang w:eastAsia="el-GR"/>
    </w:rPr>
  </w:style>
  <w:style w:type="paragraph" w:styleId="a6">
    <w:name w:val="footer"/>
    <w:basedOn w:val="a"/>
    <w:link w:val="Char2"/>
    <w:uiPriority w:val="99"/>
    <w:semiHidden/>
    <w:unhideWhenUsed/>
    <w:rsid w:val="00FB1847"/>
    <w:pPr>
      <w:tabs>
        <w:tab w:val="center" w:pos="4153"/>
        <w:tab w:val="right" w:pos="8306"/>
      </w:tabs>
    </w:pPr>
  </w:style>
  <w:style w:type="character" w:customStyle="1" w:styleId="Char2">
    <w:name w:val="Υποσέλιδο Char"/>
    <w:basedOn w:val="a0"/>
    <w:link w:val="a6"/>
    <w:uiPriority w:val="99"/>
    <w:semiHidden/>
    <w:rsid w:val="00FB1847"/>
    <w:rPr>
      <w:rFonts w:ascii="Times New Roman" w:eastAsia="Times New Roman" w:hAnsi="Times New Roman" w:cs="Times New Roman"/>
      <w:sz w:val="20"/>
      <w:szCs w:val="20"/>
      <w:lang w:eastAsia="el-GR"/>
    </w:rPr>
  </w:style>
  <w:style w:type="paragraph" w:styleId="a7">
    <w:name w:val="No Spacing"/>
    <w:uiPriority w:val="1"/>
    <w:qFormat/>
    <w:rsid w:val="00ED1E1C"/>
    <w:pPr>
      <w:spacing w:after="0" w:line="240" w:lineRule="auto"/>
    </w:pPr>
    <w:rPr>
      <w:rFonts w:ascii="Times New Roman" w:eastAsia="Times New Roman" w:hAnsi="Times New Roman" w:cs="Times New Roman"/>
      <w:sz w:val="20"/>
      <w:szCs w:val="20"/>
      <w:lang w:eastAsia="el-GR"/>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FB1848"/>
    <w:rPr>
      <w:rFonts w:ascii="Calibri" w:eastAsia="Times New Roman" w:hAnsi="Calibri" w:cs="Arial"/>
      <w:b/>
      <w:bCs/>
      <w:color w:val="333399"/>
      <w:sz w:val="28"/>
      <w:szCs w:val="32"/>
      <w:lang w:val="en-US" w:eastAsia="zh-CN"/>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34"/>
    <w:locked/>
    <w:rsid w:val="00FB1848"/>
    <w:rPr>
      <w:rFonts w:ascii="Verdana" w:eastAsia="Times New Roman" w:hAnsi="Verdana"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divs>
    <w:div w:id="13245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648</Words>
  <Characters>3502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grobolas</dc:creator>
  <cp:keywords/>
  <dc:description/>
  <cp:lastModifiedBy>grobolas</cp:lastModifiedBy>
  <cp:revision>9</cp:revision>
  <dcterms:created xsi:type="dcterms:W3CDTF">2019-02-26T08:23:00Z</dcterms:created>
  <dcterms:modified xsi:type="dcterms:W3CDTF">2020-05-28T13:23:00Z</dcterms:modified>
</cp:coreProperties>
</file>