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06" w:rsidRPr="008066D2" w:rsidRDefault="006C5706" w:rsidP="00B77C96">
      <w:pPr>
        <w:pStyle w:val="ab"/>
        <w:tabs>
          <w:tab w:val="center" w:pos="4860"/>
        </w:tabs>
        <w:jc w:val="center"/>
        <w:rPr>
          <w:b/>
          <w:sz w:val="28"/>
          <w:u w:val="single"/>
        </w:rPr>
      </w:pPr>
      <w:r w:rsidRPr="008066D2">
        <w:rPr>
          <w:b/>
          <w:sz w:val="28"/>
          <w:szCs w:val="28"/>
          <w:u w:val="single"/>
        </w:rPr>
        <w:t>ΔΕΛΤΙΟ</w:t>
      </w:r>
    </w:p>
    <w:p w:rsidR="006C5706" w:rsidRDefault="006C5706" w:rsidP="006C5706">
      <w:pPr>
        <w:pStyle w:val="ab"/>
        <w:tabs>
          <w:tab w:val="center" w:pos="4860"/>
        </w:tabs>
        <w:jc w:val="center"/>
        <w:rPr>
          <w:b/>
          <w:color w:val="3366FF"/>
          <w:sz w:val="28"/>
        </w:rPr>
      </w:pPr>
      <w:r>
        <w:rPr>
          <w:b/>
          <w:color w:val="3366FF"/>
          <w:sz w:val="28"/>
        </w:rPr>
        <w:t>«</w:t>
      </w:r>
      <w:r w:rsidR="00754F91" w:rsidRPr="004B44F1">
        <w:rPr>
          <w:b/>
          <w:color w:val="3366FF"/>
          <w:sz w:val="28"/>
        </w:rPr>
        <w:t>ΟΙΚΟΝΟΜΙ</w:t>
      </w:r>
      <w:r w:rsidR="00754F91">
        <w:rPr>
          <w:b/>
          <w:color w:val="3366FF"/>
          <w:sz w:val="28"/>
        </w:rPr>
        <w:t xml:space="preserve">Α &amp; </w:t>
      </w:r>
      <w:r>
        <w:rPr>
          <w:b/>
          <w:color w:val="3366FF"/>
          <w:sz w:val="28"/>
        </w:rPr>
        <w:t>ΕΜΠΟΡΙΟ</w:t>
      </w:r>
      <w:r w:rsidRPr="004B44F1">
        <w:rPr>
          <w:b/>
          <w:color w:val="3366FF"/>
          <w:sz w:val="28"/>
        </w:rPr>
        <w:t xml:space="preserve"> </w:t>
      </w:r>
      <w:r>
        <w:rPr>
          <w:b/>
          <w:color w:val="3366FF"/>
          <w:sz w:val="28"/>
        </w:rPr>
        <w:t>ΣΤΗΝ ΟΥΓΓΑΡΙΑ»</w:t>
      </w:r>
    </w:p>
    <w:p w:rsidR="006C5706" w:rsidRPr="008E6707" w:rsidRDefault="006C5706" w:rsidP="006C5706">
      <w:pPr>
        <w:jc w:val="center"/>
        <w:rPr>
          <w:rFonts w:ascii="Arial" w:hAnsi="Arial" w:cs="Arial"/>
          <w:lang w:val="en-US"/>
        </w:rPr>
      </w:pPr>
      <w:r w:rsidRPr="009078A4">
        <w:rPr>
          <w:rFonts w:ascii="Arial" w:hAnsi="Arial" w:cs="Arial"/>
          <w:u w:val="single"/>
        </w:rPr>
        <w:t xml:space="preserve">τεύχος </w:t>
      </w:r>
      <w:r>
        <w:rPr>
          <w:rFonts w:ascii="Arial" w:hAnsi="Arial" w:cs="Arial"/>
          <w:u w:val="single"/>
        </w:rPr>
        <w:t>Νο.</w:t>
      </w:r>
      <w:r w:rsidR="001B1282">
        <w:rPr>
          <w:rFonts w:ascii="Arial" w:hAnsi="Arial" w:cs="Arial"/>
          <w:u w:val="single"/>
        </w:rPr>
        <w:t>2</w:t>
      </w:r>
    </w:p>
    <w:p w:rsidR="006C5706" w:rsidRPr="008066D2" w:rsidRDefault="001E0B03" w:rsidP="006C57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B1282">
        <w:rPr>
          <w:rFonts w:ascii="Arial" w:hAnsi="Arial" w:cs="Arial"/>
        </w:rPr>
        <w:t>Φεβρ</w:t>
      </w:r>
      <w:r w:rsidR="00FF4C95">
        <w:rPr>
          <w:rFonts w:ascii="Arial" w:hAnsi="Arial" w:cs="Arial"/>
        </w:rPr>
        <w:t>ουά</w:t>
      </w:r>
      <w:r w:rsidR="008E6707">
        <w:rPr>
          <w:rFonts w:ascii="Arial" w:hAnsi="Arial" w:cs="Arial"/>
        </w:rPr>
        <w:t>ριος</w:t>
      </w:r>
      <w:r w:rsidR="00FF4C95">
        <w:rPr>
          <w:rFonts w:ascii="Arial" w:hAnsi="Arial" w:cs="Arial"/>
        </w:rPr>
        <w:t xml:space="preserve"> 2018</w:t>
      </w:r>
      <w:r w:rsidR="006C5706" w:rsidRPr="008066D2">
        <w:rPr>
          <w:rFonts w:ascii="Arial" w:hAnsi="Arial" w:cs="Arial"/>
        </w:rPr>
        <w:t>)</w:t>
      </w:r>
    </w:p>
    <w:p w:rsidR="006C5706" w:rsidRDefault="006C5706" w:rsidP="006C5706">
      <w:pPr>
        <w:jc w:val="center"/>
        <w:rPr>
          <w:rFonts w:ascii="Arial" w:hAnsi="Arial" w:cs="Arial"/>
          <w:b/>
          <w:color w:val="3366FF"/>
          <w:sz w:val="16"/>
          <w:szCs w:val="16"/>
        </w:rPr>
      </w:pPr>
    </w:p>
    <w:p w:rsidR="00875D7B" w:rsidRPr="00064195" w:rsidRDefault="00875D7B" w:rsidP="006C5706">
      <w:pPr>
        <w:jc w:val="center"/>
        <w:rPr>
          <w:rFonts w:ascii="Arial" w:hAnsi="Arial" w:cs="Arial"/>
          <w:b/>
          <w:color w:val="3366FF"/>
          <w:sz w:val="16"/>
          <w:szCs w:val="16"/>
        </w:rPr>
      </w:pPr>
    </w:p>
    <w:p w:rsidR="006C5706" w:rsidRPr="004B44F1" w:rsidRDefault="006C5706" w:rsidP="006C5706">
      <w:pPr>
        <w:jc w:val="center"/>
        <w:rPr>
          <w:rFonts w:ascii="Arial" w:hAnsi="Arial" w:cs="Arial"/>
          <w:b/>
          <w:color w:val="3366FF"/>
          <w:sz w:val="22"/>
        </w:rPr>
      </w:pPr>
    </w:p>
    <w:p w:rsidR="006C5706" w:rsidRPr="006C5706" w:rsidRDefault="006C5706" w:rsidP="006C5706">
      <w:pPr>
        <w:pStyle w:val="4"/>
        <w:rPr>
          <w:color w:val="3366FF"/>
          <w:sz w:val="28"/>
          <w:szCs w:val="28"/>
          <w:lang w:val="el-GR"/>
        </w:rPr>
      </w:pPr>
      <w:r w:rsidRPr="006C5706">
        <w:rPr>
          <w:color w:val="3366FF"/>
          <w:sz w:val="28"/>
          <w:szCs w:val="28"/>
          <w:lang w:val="el-GR"/>
        </w:rPr>
        <w:t xml:space="preserve">Ι. </w:t>
      </w:r>
      <w:r w:rsidRPr="006C5706">
        <w:rPr>
          <w:color w:val="3366FF"/>
          <w:sz w:val="28"/>
          <w:szCs w:val="28"/>
          <w:lang w:val="el-GR"/>
        </w:rPr>
        <w:tab/>
      </w:r>
      <w:r w:rsidRPr="006C5706">
        <w:rPr>
          <w:color w:val="3366FF"/>
          <w:sz w:val="28"/>
          <w:szCs w:val="28"/>
          <w:u w:val="single"/>
          <w:lang w:val="el-GR"/>
        </w:rPr>
        <w:t>Η οικονομία της Ουγγαρίας</w:t>
      </w:r>
      <w:r w:rsidRPr="006C5706">
        <w:rPr>
          <w:color w:val="3366FF"/>
          <w:sz w:val="28"/>
          <w:szCs w:val="28"/>
          <w:lang w:val="el-GR"/>
        </w:rPr>
        <w:t xml:space="preserve"> </w:t>
      </w:r>
    </w:p>
    <w:p w:rsidR="00A60B81" w:rsidRDefault="00A60B81" w:rsidP="00A60B81">
      <w:pPr>
        <w:pStyle w:val="ac"/>
        <w:ind w:left="1440" w:hanging="450"/>
      </w:pPr>
    </w:p>
    <w:p w:rsidR="00453685" w:rsidRPr="00453685" w:rsidRDefault="00D415F6" w:rsidP="00453685">
      <w:pPr>
        <w:pStyle w:val="ac"/>
        <w:rPr>
          <w:color w:val="000000"/>
        </w:rPr>
      </w:pPr>
      <w:r w:rsidRPr="0049166E">
        <w:rPr>
          <w:color w:val="000000"/>
        </w:rPr>
        <w:t>-</w:t>
      </w:r>
      <w:r w:rsidR="00453685">
        <w:rPr>
          <w:color w:val="000000"/>
        </w:rPr>
        <w:t xml:space="preserve"> </w:t>
      </w:r>
      <w:r w:rsidR="00453685" w:rsidRPr="00453685">
        <w:rPr>
          <w:color w:val="000000"/>
        </w:rPr>
        <w:t>Υποχώρηση του εθνικού νομίσματος της Ουγγαρίας</w:t>
      </w:r>
    </w:p>
    <w:p w:rsidR="0049166E" w:rsidRDefault="0049166E" w:rsidP="002A4ECB">
      <w:pPr>
        <w:ind w:firstLine="720"/>
        <w:rPr>
          <w:color w:val="000000"/>
        </w:rPr>
      </w:pPr>
      <w:r w:rsidRPr="00453685">
        <w:rPr>
          <w:color w:val="000000"/>
        </w:rPr>
        <w:t xml:space="preserve">- </w:t>
      </w:r>
      <w:r w:rsidR="00453685" w:rsidRPr="00453685">
        <w:rPr>
          <w:color w:val="000000"/>
        </w:rPr>
        <w:t>Μείωση του πληθωρισμού τον Ιανουάριο</w:t>
      </w:r>
    </w:p>
    <w:p w:rsidR="00453685" w:rsidRDefault="00453685" w:rsidP="002A4ECB">
      <w:pPr>
        <w:ind w:firstLine="720"/>
        <w:rPr>
          <w:color w:val="000000"/>
        </w:rPr>
      </w:pPr>
      <w:r w:rsidRPr="00453685">
        <w:rPr>
          <w:color w:val="000000"/>
        </w:rPr>
        <w:t>- Αύξηση του ΑΕΠ</w:t>
      </w:r>
    </w:p>
    <w:p w:rsidR="00BD6B5E" w:rsidRPr="00BD6B5E" w:rsidRDefault="00BD6B5E" w:rsidP="00BD6B5E">
      <w:pPr>
        <w:ind w:firstLine="720"/>
        <w:rPr>
          <w:color w:val="000000"/>
        </w:rPr>
      </w:pPr>
      <w:r>
        <w:rPr>
          <w:color w:val="000000"/>
        </w:rPr>
        <w:t xml:space="preserve">- </w:t>
      </w:r>
      <w:r w:rsidRPr="00BD6B5E">
        <w:rPr>
          <w:color w:val="000000"/>
        </w:rPr>
        <w:t>Αύξηση του δημοσίου χρέους – νέος υπολογισμός</w:t>
      </w:r>
    </w:p>
    <w:p w:rsidR="00D40531" w:rsidRPr="00D40531" w:rsidRDefault="00D40531" w:rsidP="00D40531">
      <w:pPr>
        <w:ind w:firstLine="720"/>
        <w:rPr>
          <w:color w:val="000000"/>
        </w:rPr>
      </w:pPr>
      <w:r>
        <w:rPr>
          <w:color w:val="000000"/>
        </w:rPr>
        <w:t>-</w:t>
      </w:r>
      <w:r w:rsidRPr="00D40531">
        <w:rPr>
          <w:color w:val="000000"/>
        </w:rPr>
        <w:t xml:space="preserve"> Σταθερή η αξιολόγηση του οίκου Standard &amp; Poor's για την Ουγγαρία </w:t>
      </w:r>
    </w:p>
    <w:p w:rsidR="00BD6B5E" w:rsidRPr="00453685" w:rsidRDefault="00BD6B5E" w:rsidP="002A4ECB">
      <w:pPr>
        <w:ind w:firstLine="720"/>
        <w:rPr>
          <w:color w:val="000000"/>
        </w:rPr>
      </w:pPr>
    </w:p>
    <w:p w:rsidR="008251B3" w:rsidRPr="001C1FDE" w:rsidRDefault="008251B3" w:rsidP="006C5706">
      <w:pPr>
        <w:pStyle w:val="ac"/>
        <w:ind w:left="1440"/>
        <w:jc w:val="both"/>
        <w:rPr>
          <w:b/>
          <w:color w:val="3366FF"/>
          <w:sz w:val="20"/>
          <w:szCs w:val="20"/>
        </w:rPr>
      </w:pPr>
    </w:p>
    <w:p w:rsidR="006C5706" w:rsidRDefault="006C5706" w:rsidP="006C5706">
      <w:pPr>
        <w:pStyle w:val="4"/>
        <w:rPr>
          <w:color w:val="3366FF"/>
          <w:sz w:val="28"/>
          <w:szCs w:val="28"/>
          <w:u w:val="single"/>
          <w:lang w:val="el-GR"/>
        </w:rPr>
      </w:pPr>
      <w:r w:rsidRPr="0078315A">
        <w:rPr>
          <w:color w:val="3366FF"/>
          <w:sz w:val="28"/>
          <w:szCs w:val="28"/>
          <w:lang w:val="el-GR"/>
        </w:rPr>
        <w:t>ΙΙ.</w:t>
      </w:r>
      <w:r w:rsidRPr="0078315A">
        <w:rPr>
          <w:color w:val="3366FF"/>
          <w:sz w:val="28"/>
          <w:szCs w:val="28"/>
          <w:lang w:val="el-GR"/>
        </w:rPr>
        <w:tab/>
      </w:r>
      <w:r w:rsidRPr="0078315A">
        <w:rPr>
          <w:color w:val="3366FF"/>
          <w:sz w:val="28"/>
          <w:szCs w:val="28"/>
          <w:u w:val="single"/>
          <w:lang w:val="el-GR"/>
        </w:rPr>
        <w:t>Επιχειρηματικές – Εμπορικές Ειδήσεις</w:t>
      </w:r>
    </w:p>
    <w:p w:rsidR="0003629F" w:rsidRPr="0003629F" w:rsidRDefault="0003629F" w:rsidP="0003629F"/>
    <w:p w:rsidR="0003629F" w:rsidRDefault="00AB4AFE" w:rsidP="008251B3">
      <w:pPr>
        <w:pStyle w:val="ac"/>
        <w:rPr>
          <w:b/>
          <w:color w:val="3366FF"/>
        </w:rPr>
      </w:pPr>
      <w:r>
        <w:rPr>
          <w:b/>
          <w:color w:val="3366FF"/>
        </w:rPr>
        <w:t xml:space="preserve">Α. </w:t>
      </w:r>
      <w:r w:rsidR="0003629F" w:rsidRPr="00A0273E">
        <w:rPr>
          <w:b/>
          <w:color w:val="3366FF"/>
        </w:rPr>
        <w:t>Γενικές Ειδήσεις</w:t>
      </w:r>
    </w:p>
    <w:p w:rsidR="007800DD" w:rsidRPr="00B7468D" w:rsidRDefault="007800DD" w:rsidP="00BD6B5E">
      <w:pPr>
        <w:ind w:firstLine="720"/>
        <w:rPr>
          <w:color w:val="000000"/>
        </w:rPr>
      </w:pPr>
      <w:r w:rsidRPr="00B7468D">
        <w:rPr>
          <w:color w:val="000000"/>
        </w:rPr>
        <w:t>-</w:t>
      </w:r>
      <w:r w:rsidR="00B7468D" w:rsidRPr="00B7468D">
        <w:rPr>
          <w:color w:val="000000"/>
        </w:rPr>
        <w:t xml:space="preserve"> </w:t>
      </w:r>
      <w:r w:rsidR="00BD6B5E" w:rsidRPr="00BD6B5E">
        <w:rPr>
          <w:color w:val="000000"/>
        </w:rPr>
        <w:t>Ρεκόρ προσέλκυσης επενδύσεων το 2017</w:t>
      </w:r>
    </w:p>
    <w:p w:rsidR="00BD6B5E" w:rsidRPr="000F35A7" w:rsidRDefault="00B7468D" w:rsidP="00BD6B5E">
      <w:pPr>
        <w:ind w:firstLine="720"/>
        <w:rPr>
          <w:color w:val="000000"/>
        </w:rPr>
      </w:pPr>
      <w:r>
        <w:rPr>
          <w:color w:val="000000"/>
        </w:rPr>
        <w:t xml:space="preserve">- </w:t>
      </w:r>
      <w:r w:rsidR="00BD6B5E" w:rsidRPr="00BD6B5E">
        <w:rPr>
          <w:color w:val="000000"/>
        </w:rPr>
        <w:t>Σημαντική άνοδος του τουρισμού στην Ουγγαρία</w:t>
      </w:r>
    </w:p>
    <w:p w:rsidR="00B867C5" w:rsidRPr="00BD6B5E" w:rsidRDefault="00BD6B5E" w:rsidP="002A4ECB">
      <w:pPr>
        <w:pStyle w:val="ac"/>
        <w:rPr>
          <w:color w:val="000000"/>
        </w:rPr>
      </w:pPr>
      <w:r w:rsidRPr="00BD6B5E">
        <w:rPr>
          <w:color w:val="000000"/>
        </w:rPr>
        <w:t>- Αύξηση των ουγγρικών  εξαγωγών το 2017</w:t>
      </w:r>
    </w:p>
    <w:p w:rsidR="00BD6B5E" w:rsidRPr="00BD6B5E" w:rsidRDefault="00BD6B5E" w:rsidP="00BD6B5E">
      <w:pPr>
        <w:ind w:left="720"/>
        <w:jc w:val="both"/>
        <w:rPr>
          <w:color w:val="000000"/>
        </w:rPr>
      </w:pPr>
      <w:r w:rsidRPr="00BD6B5E">
        <w:rPr>
          <w:color w:val="000000"/>
        </w:rPr>
        <w:t>- Αύξηση των μισθών</w:t>
      </w:r>
    </w:p>
    <w:p w:rsidR="00B7468D" w:rsidRDefault="00B7468D" w:rsidP="00E15564">
      <w:pPr>
        <w:pStyle w:val="ac"/>
        <w:rPr>
          <w:color w:val="000000"/>
        </w:rPr>
      </w:pPr>
    </w:p>
    <w:p w:rsidR="0003629F" w:rsidRPr="007800DD" w:rsidRDefault="00AB4AFE" w:rsidP="00E15564">
      <w:pPr>
        <w:pStyle w:val="ac"/>
        <w:rPr>
          <w:b/>
          <w:color w:val="3366FF"/>
        </w:rPr>
      </w:pPr>
      <w:r>
        <w:rPr>
          <w:b/>
          <w:color w:val="3366FF"/>
        </w:rPr>
        <w:t>Β</w:t>
      </w:r>
      <w:r w:rsidRPr="007800DD">
        <w:rPr>
          <w:b/>
          <w:color w:val="3366FF"/>
        </w:rPr>
        <w:t xml:space="preserve">. </w:t>
      </w:r>
      <w:r w:rsidR="0003629F" w:rsidRPr="00A0273E">
        <w:rPr>
          <w:b/>
          <w:color w:val="3366FF"/>
        </w:rPr>
        <w:t>Διεθνείς</w:t>
      </w:r>
      <w:r w:rsidR="0003629F" w:rsidRPr="007800DD">
        <w:rPr>
          <w:b/>
          <w:color w:val="3366FF"/>
        </w:rPr>
        <w:t xml:space="preserve"> </w:t>
      </w:r>
      <w:r w:rsidR="0003629F" w:rsidRPr="00A0273E">
        <w:rPr>
          <w:b/>
          <w:color w:val="3366FF"/>
        </w:rPr>
        <w:t>Συμφωνίες</w:t>
      </w:r>
      <w:r w:rsidR="0003629F" w:rsidRPr="007800DD">
        <w:rPr>
          <w:b/>
          <w:color w:val="3366FF"/>
        </w:rPr>
        <w:t xml:space="preserve"> – </w:t>
      </w:r>
      <w:r w:rsidR="0003629F" w:rsidRPr="00A0273E">
        <w:rPr>
          <w:b/>
          <w:color w:val="3366FF"/>
        </w:rPr>
        <w:t>Συνεργασίες</w:t>
      </w:r>
      <w:r w:rsidR="0003629F" w:rsidRPr="007800DD">
        <w:rPr>
          <w:b/>
          <w:color w:val="3366FF"/>
        </w:rPr>
        <w:t xml:space="preserve"> – </w:t>
      </w:r>
      <w:r w:rsidR="0003629F" w:rsidRPr="00A0273E">
        <w:rPr>
          <w:b/>
          <w:color w:val="3366FF"/>
        </w:rPr>
        <w:t>Διαγωνισμοί</w:t>
      </w:r>
      <w:r w:rsidR="0003629F" w:rsidRPr="007800DD">
        <w:rPr>
          <w:b/>
          <w:color w:val="3366FF"/>
        </w:rPr>
        <w:t xml:space="preserve"> </w:t>
      </w:r>
    </w:p>
    <w:p w:rsidR="00A9714F" w:rsidRDefault="00BD6B5E" w:rsidP="00BD6B5E">
      <w:pPr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D6B5E">
        <w:rPr>
          <w:color w:val="000000"/>
        </w:rPr>
        <w:t>Η Auchan ανοίγει νέο κατάστημα</w:t>
      </w:r>
    </w:p>
    <w:p w:rsidR="00BD6B5E" w:rsidRDefault="00BD6B5E" w:rsidP="00BD6B5E">
      <w:pPr>
        <w:ind w:left="720"/>
        <w:jc w:val="both"/>
      </w:pPr>
      <w:r w:rsidRPr="00BD6B5E">
        <w:rPr>
          <w:color w:val="000000"/>
        </w:rPr>
        <w:t xml:space="preserve">- Συμφωνία Ουγγαρίας-Σερβίας-Βουλγαρίας με την </w:t>
      </w:r>
      <w:r w:rsidRPr="00BD6B5E">
        <w:t>Gazprom</w:t>
      </w:r>
    </w:p>
    <w:p w:rsidR="00BD6B5E" w:rsidRPr="00BD6B5E" w:rsidRDefault="007B26FB" w:rsidP="00BD6B5E">
      <w:pPr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7B26FB">
        <w:rPr>
          <w:color w:val="000000"/>
        </w:rPr>
        <w:t>Μείωση της εξάρτησης από το ρωσικό φυσικό αέριο επιδιώκει η Ουγγαρία</w:t>
      </w:r>
    </w:p>
    <w:p w:rsidR="00BD6B5E" w:rsidRDefault="001B4CA0" w:rsidP="00BD6B5E">
      <w:pPr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1B4CA0">
        <w:rPr>
          <w:color w:val="000000"/>
        </w:rPr>
        <w:t>Επιφυλάξεις Ουγγαρίας για Εμπορική Συμφωνία Ε.Ε.-Mercosur</w:t>
      </w:r>
    </w:p>
    <w:p w:rsidR="004F105F" w:rsidRDefault="004F105F" w:rsidP="00BD6B5E">
      <w:pPr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4F105F">
        <w:rPr>
          <w:color w:val="000000"/>
        </w:rPr>
        <w:t>Νέο ερευνητικό κέντρο της Hyundai Electric</w:t>
      </w:r>
    </w:p>
    <w:p w:rsidR="00BD6B5E" w:rsidRPr="00BD6B5E" w:rsidRDefault="00BD6B5E" w:rsidP="00BD6B5E">
      <w:pPr>
        <w:ind w:left="720"/>
        <w:jc w:val="both"/>
        <w:rPr>
          <w:color w:val="000000"/>
        </w:rPr>
      </w:pPr>
    </w:p>
    <w:p w:rsidR="008E6707" w:rsidRPr="000E60A1" w:rsidRDefault="008E6707" w:rsidP="008E6707">
      <w:pPr>
        <w:pStyle w:val="4"/>
        <w:tabs>
          <w:tab w:val="num" w:pos="2880"/>
        </w:tabs>
        <w:rPr>
          <w:color w:val="3366FF"/>
          <w:sz w:val="28"/>
          <w:szCs w:val="28"/>
          <w:lang w:val="el-GR"/>
        </w:rPr>
      </w:pPr>
      <w:r w:rsidRPr="000E60A1">
        <w:rPr>
          <w:color w:val="3366FF"/>
          <w:sz w:val="28"/>
          <w:szCs w:val="28"/>
          <w:lang w:val="el-GR"/>
        </w:rPr>
        <w:t xml:space="preserve">ΙΙΙ.     </w:t>
      </w:r>
      <w:r w:rsidRPr="000E60A1">
        <w:rPr>
          <w:color w:val="3366FF"/>
          <w:sz w:val="28"/>
          <w:szCs w:val="28"/>
          <w:u w:val="single"/>
          <w:lang w:val="el-GR"/>
        </w:rPr>
        <w:t>Διεθνείς Εκθέσεις</w:t>
      </w:r>
    </w:p>
    <w:p w:rsidR="00406160" w:rsidRDefault="00406160" w:rsidP="006C5706">
      <w:pPr>
        <w:rPr>
          <w:b/>
          <w:color w:val="3366FF"/>
          <w:sz w:val="20"/>
          <w:szCs w:val="20"/>
        </w:rPr>
      </w:pPr>
    </w:p>
    <w:p w:rsidR="00EA4CAE" w:rsidRPr="00406160" w:rsidRDefault="00EA4CAE" w:rsidP="006C5706">
      <w:pPr>
        <w:rPr>
          <w:b/>
          <w:color w:val="3366FF"/>
          <w:sz w:val="20"/>
          <w:szCs w:val="20"/>
        </w:rPr>
      </w:pPr>
    </w:p>
    <w:p w:rsidR="006C5706" w:rsidRPr="00064195" w:rsidRDefault="006C5706" w:rsidP="006C5706">
      <w:pPr>
        <w:rPr>
          <w:b/>
          <w:sz w:val="20"/>
          <w:szCs w:val="20"/>
        </w:rPr>
      </w:pPr>
    </w:p>
    <w:p w:rsidR="006C5706" w:rsidRDefault="00B77C96" w:rsidP="006C5706">
      <w:pPr>
        <w:jc w:val="center"/>
      </w:pPr>
      <w:r>
        <w:rPr>
          <w:noProof/>
        </w:rPr>
        <w:drawing>
          <wp:inline distT="0" distB="0" distL="0" distR="0">
            <wp:extent cx="4410075" cy="28003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D7B" w:rsidRDefault="00875D7B" w:rsidP="006C5706">
      <w:pPr>
        <w:jc w:val="center"/>
      </w:pPr>
    </w:p>
    <w:p w:rsidR="006C5706" w:rsidRDefault="006C5706" w:rsidP="006C5706">
      <w:pPr>
        <w:jc w:val="center"/>
      </w:pPr>
      <w:r>
        <w:t>(Σύνταξη – Επιμέλεια : ΓΕΩΡΓΙΟΣ ΕΠ. ΤΟΣΟΥΝΗΣ, Σύμβουλος ΟΕΥ</w:t>
      </w:r>
      <w:r w:rsidRPr="00CC66A4">
        <w:t xml:space="preserve"> </w:t>
      </w:r>
      <w:r>
        <w:t>Α΄)</w:t>
      </w:r>
    </w:p>
    <w:p w:rsidR="002173DB" w:rsidRDefault="002173DB" w:rsidP="00C75756">
      <w:pPr>
        <w:pStyle w:val="a5"/>
        <w:tabs>
          <w:tab w:val="clear" w:pos="4320"/>
          <w:tab w:val="clear" w:pos="8640"/>
        </w:tabs>
        <w:jc w:val="center"/>
        <w:rPr>
          <w:rFonts w:ascii="Arial" w:eastAsia="MS Mincho" w:hAnsi="Arial"/>
          <w:b/>
          <w:bCs/>
          <w:szCs w:val="20"/>
        </w:rPr>
      </w:pPr>
    </w:p>
    <w:p w:rsidR="006C5706" w:rsidRPr="00C75756" w:rsidRDefault="005B0C48" w:rsidP="00C75756">
      <w:pPr>
        <w:pStyle w:val="a5"/>
        <w:tabs>
          <w:tab w:val="clear" w:pos="4320"/>
          <w:tab w:val="clear" w:pos="8640"/>
        </w:tabs>
        <w:jc w:val="center"/>
        <w:rPr>
          <w:rFonts w:ascii="Arial" w:eastAsia="MS Mincho" w:hAnsi="Arial"/>
          <w:b/>
          <w:bCs/>
          <w:szCs w:val="20"/>
          <w:lang w:val="en-US"/>
        </w:rPr>
      </w:pPr>
      <w:r>
        <w:rPr>
          <w:rFonts w:ascii="Arial" w:eastAsia="MS Mincho" w:hAnsi="Arial"/>
          <w:b/>
          <w:bCs/>
          <w:szCs w:val="20"/>
        </w:rPr>
        <w:t xml:space="preserve"> </w:t>
      </w:r>
      <w:r w:rsidR="006C5706" w:rsidRPr="00C75756">
        <w:rPr>
          <w:rFonts w:ascii="Arial" w:eastAsia="MS Mincho" w:hAnsi="Arial"/>
          <w:b/>
          <w:bCs/>
          <w:szCs w:val="20"/>
          <w:lang w:val="en-US"/>
        </w:rPr>
        <w:t>I</w:t>
      </w:r>
    </w:p>
    <w:p w:rsidR="006C5706" w:rsidRPr="00C75756" w:rsidRDefault="006C5706" w:rsidP="00C75756">
      <w:pPr>
        <w:pStyle w:val="a5"/>
        <w:tabs>
          <w:tab w:val="clear" w:pos="4320"/>
          <w:tab w:val="clear" w:pos="8640"/>
        </w:tabs>
        <w:jc w:val="center"/>
        <w:rPr>
          <w:rFonts w:ascii="Arial" w:eastAsia="MS Mincho" w:hAnsi="Arial"/>
          <w:b/>
          <w:bCs/>
          <w:szCs w:val="20"/>
          <w:lang w:val="en-US"/>
        </w:rPr>
      </w:pPr>
      <w:r w:rsidRPr="00C75756">
        <w:rPr>
          <w:rFonts w:ascii="Arial" w:eastAsia="MS Mincho" w:hAnsi="Arial"/>
          <w:b/>
          <w:bCs/>
          <w:szCs w:val="20"/>
          <w:lang w:val="en-US"/>
        </w:rPr>
        <w:t>Η Οικονομία της Ουγγαρίας</w:t>
      </w:r>
    </w:p>
    <w:p w:rsidR="006C5706" w:rsidRDefault="006C5706" w:rsidP="006C5706">
      <w:pPr>
        <w:jc w:val="both"/>
        <w:rPr>
          <w:rFonts w:ascii="Arial" w:hAnsi="Arial"/>
          <w:szCs w:val="20"/>
          <w:u w:val="single"/>
        </w:rPr>
      </w:pPr>
    </w:p>
    <w:p w:rsidR="00816D51" w:rsidRDefault="00816D51" w:rsidP="0003629F">
      <w:pPr>
        <w:rPr>
          <w:b/>
        </w:rPr>
      </w:pPr>
    </w:p>
    <w:p w:rsidR="00CC1D69" w:rsidRDefault="00CC1D69" w:rsidP="00CC1D69">
      <w:pPr>
        <w:numPr>
          <w:ilvl w:val="0"/>
          <w:numId w:val="37"/>
        </w:numPr>
        <w:ind w:left="0" w:firstLine="0"/>
        <w:jc w:val="both"/>
      </w:pPr>
      <w:r w:rsidRPr="00CC1D69">
        <w:rPr>
          <w:color w:val="000000"/>
          <w:u w:val="single"/>
        </w:rPr>
        <w:t>Υποχώρηση του εθνικού νομίσματος της Ουγγαρίας</w:t>
      </w:r>
    </w:p>
    <w:p w:rsidR="00CC1D69" w:rsidRDefault="00EF1DDF" w:rsidP="00CC1D69">
      <w:pPr>
        <w:jc w:val="both"/>
      </w:pPr>
      <w:r>
        <w:t>Το πρώτο δεκαήμερο Φεβρουαρίου, ε</w:t>
      </w:r>
      <w:r w:rsidR="00CC1D69">
        <w:t>ξαιτίας του αρνητικού κλίματος στις παγκόσμιες χρηματαγορές, τ</w:t>
      </w:r>
      <w:r w:rsidR="00CC1D69" w:rsidRPr="00CC1D69">
        <w:t xml:space="preserve">ο </w:t>
      </w:r>
      <w:r w:rsidR="00CC1D69">
        <w:t>Φιορίνι Ουγγαρίας (</w:t>
      </w:r>
      <w:r w:rsidR="00CC1D69">
        <w:rPr>
          <w:color w:val="000000"/>
          <w:lang w:val="en-US"/>
        </w:rPr>
        <w:t>HUF</w:t>
      </w:r>
      <w:r w:rsidR="00CC1D69">
        <w:t>)</w:t>
      </w:r>
      <w:r w:rsidR="00CC1D69" w:rsidRPr="00CC1D69">
        <w:t xml:space="preserve"> υποχώρησε στο χαμηλότερο επίπεδο για φέτος </w:t>
      </w:r>
      <w:r w:rsidR="00CC1D69">
        <w:t xml:space="preserve">έναντι του ευρώ, με </w:t>
      </w:r>
      <w:r>
        <w:t xml:space="preserve">τις μεταξύ τους </w:t>
      </w:r>
      <w:r w:rsidR="00CC1D69">
        <w:t xml:space="preserve">συναλλαγές να πραγματοποιούνται </w:t>
      </w:r>
      <w:r>
        <w:t xml:space="preserve">με ισοτιμία </w:t>
      </w:r>
      <w:r>
        <w:rPr>
          <w:rFonts w:ascii="Calibri" w:hAnsi="Calibri" w:cs="Calibri"/>
        </w:rPr>
        <w:t>€</w:t>
      </w:r>
      <w:r>
        <w:t>1 =</w:t>
      </w:r>
      <w:r w:rsidR="00CC1D69" w:rsidRPr="00CC1D69">
        <w:t xml:space="preserve"> 312</w:t>
      </w:r>
      <w:r w:rsidRPr="00EF1DDF">
        <w:rPr>
          <w:color w:val="000000"/>
        </w:rPr>
        <w:t xml:space="preserve"> </w:t>
      </w:r>
      <w:r>
        <w:rPr>
          <w:color w:val="000000"/>
          <w:lang w:val="en-US"/>
        </w:rPr>
        <w:t>HUF</w:t>
      </w:r>
      <w:r>
        <w:rPr>
          <w:color w:val="000000"/>
        </w:rPr>
        <w:t>.</w:t>
      </w:r>
      <w:r w:rsidR="00CC1D69" w:rsidRPr="00CC1D69">
        <w:t xml:space="preserve"> </w:t>
      </w:r>
    </w:p>
    <w:p w:rsidR="00A71A70" w:rsidRPr="00CC1D69" w:rsidRDefault="00A71A70" w:rsidP="00CC1D69">
      <w:pPr>
        <w:jc w:val="both"/>
      </w:pPr>
    </w:p>
    <w:p w:rsidR="009C4508" w:rsidRPr="009C4508" w:rsidRDefault="009C4508" w:rsidP="009C4508">
      <w:pPr>
        <w:numPr>
          <w:ilvl w:val="0"/>
          <w:numId w:val="37"/>
        </w:numPr>
        <w:ind w:left="0" w:firstLine="0"/>
        <w:jc w:val="both"/>
        <w:rPr>
          <w:color w:val="000000"/>
          <w:u w:val="single"/>
        </w:rPr>
      </w:pPr>
      <w:r w:rsidRPr="009C4508">
        <w:rPr>
          <w:color w:val="000000"/>
          <w:u w:val="single"/>
        </w:rPr>
        <w:t>Μείωση του πληθωρισμού τον Ιανουάριο</w:t>
      </w:r>
    </w:p>
    <w:p w:rsidR="009C4508" w:rsidRPr="009C4508" w:rsidRDefault="009C4508" w:rsidP="009C4508">
      <w:pPr>
        <w:jc w:val="both"/>
      </w:pPr>
      <w:r w:rsidRPr="009C4508">
        <w:t xml:space="preserve">Σύμφωνα με </w:t>
      </w:r>
      <w:r w:rsidR="00575778">
        <w:t>στοιχεία της</w:t>
      </w:r>
      <w:r w:rsidRPr="009C4508">
        <w:t xml:space="preserve"> Στατιστική</w:t>
      </w:r>
      <w:r w:rsidR="00575778">
        <w:t>ς</w:t>
      </w:r>
      <w:r w:rsidRPr="009C4508">
        <w:t xml:space="preserve"> Υπηρεσία</w:t>
      </w:r>
      <w:r w:rsidR="00575778">
        <w:t>ς Ουγγαρίας,</w:t>
      </w:r>
      <w:r w:rsidRPr="009C4508">
        <w:t xml:space="preserve"> ο πληθωρισμός διαμορφώθηκε στο 2.1% σε ετήσια βάση τον Ιανουάριο, </w:t>
      </w:r>
      <w:r w:rsidR="00575778">
        <w:t xml:space="preserve">ωθούμενος </w:t>
      </w:r>
      <w:r w:rsidRPr="009C4508">
        <w:t>από τις υψηλότερες τιμές τροφίμων, σε σχέση με το 2.4% του Δεκ</w:t>
      </w:r>
      <w:r w:rsidR="00575778">
        <w:t>εμβρίου 2017</w:t>
      </w:r>
      <w:r w:rsidRPr="009C4508">
        <w:t xml:space="preserve">. Οι </w:t>
      </w:r>
      <w:r w:rsidR="00575778">
        <w:t xml:space="preserve">τιμές καταναλωτή τον Ιανουάριο 2018 </w:t>
      </w:r>
      <w:r w:rsidRPr="009C4508">
        <w:t xml:space="preserve">αυξήθηκαν κατά 0.3% </w:t>
      </w:r>
      <w:r w:rsidR="00575778">
        <w:t xml:space="preserve">σε σχέση με τον </w:t>
      </w:r>
      <w:r w:rsidRPr="009C4508">
        <w:t xml:space="preserve">Δεκέμβριο </w:t>
      </w:r>
      <w:r w:rsidR="00575778">
        <w:t>2017</w:t>
      </w:r>
      <w:r w:rsidRPr="009C4508">
        <w:t xml:space="preserve">. </w:t>
      </w:r>
      <w:r w:rsidR="00575778">
        <w:t xml:space="preserve">Σύμφωνα με αναλυτές, ο πληθωρισμός θα παραμείνει σε σχετικά χαμηλά επίπεδα κατά τους πρώτους μήνες του 2018, αφού δεν αναμένονται σημαντικές αυξήσεις στις τιμές των καυσίμων. Στη συνέχεια αναμένεται να  </w:t>
      </w:r>
      <w:r w:rsidRPr="009C4508">
        <w:t xml:space="preserve">προσεγγίσει προσωρινά το 3% και στο τέλος του χρόνου </w:t>
      </w:r>
      <w:r w:rsidR="00575778">
        <w:t>ν</w:t>
      </w:r>
      <w:r w:rsidRPr="009C4508">
        <w:t xml:space="preserve">α </w:t>
      </w:r>
      <w:r w:rsidR="00575778">
        <w:t>υποχωρήσει στο 2,6%.</w:t>
      </w:r>
    </w:p>
    <w:p w:rsidR="009C4508" w:rsidRPr="009C4508" w:rsidRDefault="009C4508" w:rsidP="009C4508">
      <w:pPr>
        <w:autoSpaceDE w:val="0"/>
        <w:autoSpaceDN w:val="0"/>
        <w:adjustRightInd w:val="0"/>
        <w:jc w:val="both"/>
        <w:rPr>
          <w:color w:val="000000"/>
          <w:sz w:val="32"/>
          <w:szCs w:val="32"/>
          <w:lang w:val="en-US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68"/>
        <w:gridCol w:w="2520"/>
        <w:gridCol w:w="2395"/>
      </w:tblGrid>
      <w:tr w:rsidR="009C4508" w:rsidRPr="00575778" w:rsidTr="00A4184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80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575778" w:rsidP="00530FF9">
            <w:pPr>
              <w:jc w:val="center"/>
            </w:pPr>
            <w:r w:rsidRPr="00575778">
              <w:t>Διαμόρφωση πληθωρισμού – Ιανουάριος 2018</w:t>
            </w:r>
          </w:p>
        </w:tc>
      </w:tr>
      <w:tr w:rsidR="00530FF9" w:rsidRPr="00ED65C8" w:rsidTr="00530FF9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FF9" w:rsidRPr="00575778" w:rsidRDefault="00530FF9" w:rsidP="00530FF9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FF9" w:rsidRPr="00575778" w:rsidRDefault="00530FF9" w:rsidP="00530FF9">
            <w:pPr>
              <w:jc w:val="center"/>
            </w:pPr>
            <w:r>
              <w:t>Ετήσια βάση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FF9" w:rsidRPr="00575778" w:rsidRDefault="00530FF9" w:rsidP="00530FF9">
            <w:pPr>
              <w:jc w:val="center"/>
            </w:pPr>
            <w:r>
              <w:t>Μηνιαία βάση</w:t>
            </w:r>
          </w:p>
        </w:tc>
      </w:tr>
      <w:tr w:rsidR="009C4508" w:rsidRPr="00ED65C8" w:rsidTr="00530FF9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530FF9" w:rsidP="00575778">
            <w:pPr>
              <w:jc w:val="both"/>
            </w:pPr>
            <w:r>
              <w:t>Τρόφιμα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4.4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1.5 </w:t>
            </w:r>
          </w:p>
        </w:tc>
      </w:tr>
      <w:tr w:rsidR="009C4508" w:rsidRPr="00ED65C8" w:rsidTr="00530FF9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530FF9" w:rsidP="00575778">
            <w:pPr>
              <w:jc w:val="both"/>
            </w:pPr>
            <w:r>
              <w:t>Οινοπνευματώδη - Καπνός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6.5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0.6 </w:t>
            </w:r>
          </w:p>
        </w:tc>
      </w:tr>
      <w:tr w:rsidR="009C4508" w:rsidRPr="00ED65C8" w:rsidTr="00530FF9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530FF9" w:rsidP="00575778">
            <w:pPr>
              <w:jc w:val="both"/>
            </w:pPr>
            <w:r>
              <w:t>Ρουχισμός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0.2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-2.9 </w:t>
            </w:r>
          </w:p>
        </w:tc>
      </w:tr>
      <w:tr w:rsidR="009C4508" w:rsidRPr="00ED65C8" w:rsidTr="00530FF9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30FF9" w:rsidRDefault="00530FF9" w:rsidP="00575778">
            <w:pPr>
              <w:jc w:val="both"/>
            </w:pPr>
            <w:r>
              <w:t>Διαρκή καταναλωτικά αγαθά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-0.5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0.0 </w:t>
            </w:r>
          </w:p>
        </w:tc>
      </w:tr>
      <w:tr w:rsidR="009C4508" w:rsidRPr="00ED65C8" w:rsidTr="00530FF9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530FF9" w:rsidP="00575778">
            <w:pPr>
              <w:jc w:val="both"/>
            </w:pPr>
            <w:r>
              <w:t xml:space="preserve">Ενέργεια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1.6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0.1 </w:t>
            </w:r>
          </w:p>
        </w:tc>
      </w:tr>
      <w:tr w:rsidR="009C4508" w:rsidRPr="00ED65C8" w:rsidTr="00530FF9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530FF9" w:rsidP="00575778">
            <w:pPr>
              <w:jc w:val="both"/>
            </w:pPr>
            <w:r>
              <w:t>Άλλα αγαθά - Καύσιμα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-0.1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0.8 </w:t>
            </w:r>
          </w:p>
        </w:tc>
      </w:tr>
      <w:tr w:rsidR="009C4508" w:rsidRPr="00ED65C8" w:rsidTr="00530FF9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530FF9" w:rsidP="00575778">
            <w:pPr>
              <w:jc w:val="both"/>
            </w:pPr>
            <w:r>
              <w:t>Υπηρεσίες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0.8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-0.5 </w:t>
            </w:r>
          </w:p>
        </w:tc>
      </w:tr>
      <w:tr w:rsidR="009C4508" w:rsidRPr="00ED65C8" w:rsidTr="00530FF9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530FF9" w:rsidP="00575778">
            <w:pPr>
              <w:jc w:val="both"/>
            </w:pPr>
            <w:r>
              <w:t>Σύνολο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2.1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0.3 </w:t>
            </w:r>
          </w:p>
        </w:tc>
      </w:tr>
      <w:tr w:rsidR="009C4508" w:rsidRPr="00ED65C8" w:rsidTr="00530FF9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A71A70" w:rsidP="00575778">
            <w:pPr>
              <w:jc w:val="both"/>
            </w:pPr>
            <w:r>
              <w:t>Δομικός πληθωρισμός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2.5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08" w:rsidRPr="00575778" w:rsidRDefault="009C4508" w:rsidP="00575778">
            <w:pPr>
              <w:jc w:val="right"/>
            </w:pPr>
            <w:r w:rsidRPr="00575778">
              <w:t xml:space="preserve">0.0 </w:t>
            </w:r>
          </w:p>
        </w:tc>
      </w:tr>
    </w:tbl>
    <w:p w:rsidR="009C4508" w:rsidRDefault="009C4508" w:rsidP="009C4508">
      <w:pPr>
        <w:spacing w:line="360" w:lineRule="auto"/>
        <w:ind w:left="360"/>
        <w:jc w:val="both"/>
        <w:rPr>
          <w:color w:val="000000"/>
          <w:sz w:val="32"/>
          <w:szCs w:val="32"/>
        </w:rPr>
      </w:pPr>
    </w:p>
    <w:p w:rsidR="006C69AC" w:rsidRPr="006C69AC" w:rsidRDefault="00306B4C" w:rsidP="006C69AC">
      <w:pPr>
        <w:numPr>
          <w:ilvl w:val="0"/>
          <w:numId w:val="37"/>
        </w:numPr>
        <w:ind w:left="0" w:firstLine="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Αύξηση του </w:t>
      </w:r>
      <w:r w:rsidR="006C69AC" w:rsidRPr="006C69AC">
        <w:rPr>
          <w:color w:val="000000"/>
          <w:u w:val="single"/>
        </w:rPr>
        <w:t xml:space="preserve">ΑΕΠ </w:t>
      </w:r>
    </w:p>
    <w:p w:rsidR="006C69AC" w:rsidRPr="00CA2085" w:rsidRDefault="006C69AC" w:rsidP="00CA2085">
      <w:pPr>
        <w:jc w:val="both"/>
        <w:rPr>
          <w:color w:val="000000"/>
          <w:sz w:val="32"/>
          <w:szCs w:val="32"/>
        </w:rPr>
      </w:pPr>
      <w:r w:rsidRPr="00306B4C">
        <w:t xml:space="preserve">Σύμφωνα με </w:t>
      </w:r>
      <w:r w:rsidR="006170BE">
        <w:t>πρόσφατα στοιχεία της</w:t>
      </w:r>
      <w:r w:rsidRPr="00306B4C">
        <w:t xml:space="preserve"> Στατιστική</w:t>
      </w:r>
      <w:r w:rsidR="006170BE">
        <w:t>ς</w:t>
      </w:r>
      <w:r w:rsidRPr="00306B4C">
        <w:t xml:space="preserve"> Υπηρεσία</w:t>
      </w:r>
      <w:r w:rsidR="006170BE">
        <w:t>ς της Ουγγαρίας,</w:t>
      </w:r>
      <w:r w:rsidRPr="00306B4C">
        <w:t xml:space="preserve"> </w:t>
      </w:r>
      <w:r w:rsidR="006170BE">
        <w:t>το ΑΕΠ της χώρας</w:t>
      </w:r>
      <w:r w:rsidR="006170BE" w:rsidRPr="006170BE">
        <w:t xml:space="preserve"> </w:t>
      </w:r>
      <w:r w:rsidR="006170BE">
        <w:t xml:space="preserve">κατά </w:t>
      </w:r>
      <w:r w:rsidR="006170BE" w:rsidRPr="00306B4C">
        <w:t xml:space="preserve">το </w:t>
      </w:r>
      <w:r w:rsidR="006170BE">
        <w:t>δ΄</w:t>
      </w:r>
      <w:r w:rsidR="006170BE" w:rsidRPr="00306B4C">
        <w:t xml:space="preserve"> τρίμηνο </w:t>
      </w:r>
      <w:r w:rsidR="006170BE">
        <w:t xml:space="preserve">2017, σε ετήσια βάση, διαμορφώθηκε στο 4.4%. Εάν ληφθούν υπόψη τα εποχικά προσαρμοσμένα στοιχεία, ο ρυθμός ανάπτυξης υπολογίζεται στο </w:t>
      </w:r>
      <w:r w:rsidRPr="00306B4C">
        <w:t xml:space="preserve">4.8%. </w:t>
      </w:r>
      <w:r w:rsidR="00CA2085">
        <w:t xml:space="preserve">Πάντως, για το σύνολο του 2017, το ΑΕΠ της χώρας αυξήθηκε με ρυθμό 4% (ή 4,2%  </w:t>
      </w:r>
      <w:r w:rsidR="00CA2085" w:rsidRPr="00306B4C">
        <w:t>με εποχικά προσαρμοσμένα στοιχεία</w:t>
      </w:r>
      <w:r w:rsidRPr="00CA2085">
        <w:rPr>
          <w:color w:val="000000"/>
          <w:sz w:val="32"/>
          <w:szCs w:val="32"/>
        </w:rPr>
        <w:t xml:space="preserve"> </w:t>
      </w:r>
    </w:p>
    <w:p w:rsidR="006C69AC" w:rsidRPr="00CA2085" w:rsidRDefault="006C69AC" w:rsidP="006C69AC">
      <w:pPr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</w:p>
    <w:p w:rsidR="000D274B" w:rsidRPr="000D274B" w:rsidRDefault="00BD6B5E" w:rsidP="000D274B">
      <w:pPr>
        <w:numPr>
          <w:ilvl w:val="0"/>
          <w:numId w:val="37"/>
        </w:numPr>
        <w:ind w:left="0" w:firstLine="0"/>
        <w:jc w:val="both"/>
        <w:rPr>
          <w:color w:val="000000"/>
          <w:u w:val="single"/>
        </w:rPr>
      </w:pPr>
      <w:r>
        <w:rPr>
          <w:color w:val="000000"/>
          <w:u w:val="single"/>
        </w:rPr>
        <w:t>Αύξηση του δημοσίου χρέους – νέος υπολογισμός</w:t>
      </w:r>
    </w:p>
    <w:p w:rsidR="000D274B" w:rsidRDefault="000D274B" w:rsidP="000D274B">
      <w:pPr>
        <w:jc w:val="both"/>
      </w:pPr>
      <w:r>
        <w:t xml:space="preserve">Σύμφωνα με ανακοίνωση της </w:t>
      </w:r>
      <w:r w:rsidRPr="00DE2F95">
        <w:t>Κεντρική</w:t>
      </w:r>
      <w:r>
        <w:t>ς</w:t>
      </w:r>
      <w:r w:rsidRPr="00DE2F95">
        <w:t xml:space="preserve"> Τράπεζα</w:t>
      </w:r>
      <w:r>
        <w:t>ς</w:t>
      </w:r>
      <w:r w:rsidRPr="00DE2F95">
        <w:t xml:space="preserve"> της Ουγγαρίας</w:t>
      </w:r>
      <w:r>
        <w:t>,</w:t>
      </w:r>
      <w:r w:rsidRPr="00DE2F95">
        <w:t xml:space="preserve"> το δημόσιο χρέος </w:t>
      </w:r>
      <w:r>
        <w:t xml:space="preserve">της χώρας για το 2017 μειώθηκε </w:t>
      </w:r>
      <w:r w:rsidRPr="00DE2F95">
        <w:t xml:space="preserve">στα </w:t>
      </w:r>
      <w:r>
        <w:rPr>
          <w:color w:val="000000"/>
          <w:lang w:val="en-US"/>
        </w:rPr>
        <w:t>HUF</w:t>
      </w:r>
      <w:r w:rsidRPr="00DE2F95">
        <w:t xml:space="preserve"> </w:t>
      </w:r>
      <w:r>
        <w:t>27,</w:t>
      </w:r>
      <w:r w:rsidRPr="00DE2F95">
        <w:t>359 τρις</w:t>
      </w:r>
      <w:r w:rsidRPr="000D274B">
        <w:rPr>
          <w:color w:val="000000"/>
        </w:rPr>
        <w:t xml:space="preserve"> </w:t>
      </w:r>
      <w:r>
        <w:rPr>
          <w:color w:val="000000"/>
        </w:rPr>
        <w:t>(</w:t>
      </w:r>
      <w:r w:rsidRPr="00DE2F95">
        <w:t>72.1% του ΑΕΠ</w:t>
      </w:r>
      <w:r>
        <w:t>)</w:t>
      </w:r>
      <w:r w:rsidR="00110958">
        <w:t>, σε επίπεδα χαμηλότερα του 2016 (</w:t>
      </w:r>
      <w:r w:rsidRPr="00DE2F95">
        <w:t>73.9%</w:t>
      </w:r>
      <w:r w:rsidR="00110958">
        <w:t xml:space="preserve"> του ΑΕΠ)</w:t>
      </w:r>
      <w:r w:rsidRPr="00DE2F95">
        <w:t xml:space="preserve">. </w:t>
      </w:r>
      <w:r w:rsidR="00110958">
        <w:t>Εντούτοις, εάν συνυπολογισθούν τα χρέη της κρατικής Τράπεζας Εισαγωγών Εξαγωγών (</w:t>
      </w:r>
      <w:r w:rsidRPr="00DE2F95">
        <w:t>Eximbank</w:t>
      </w:r>
      <w:r w:rsidR="00110958">
        <w:t>)</w:t>
      </w:r>
      <w:r w:rsidRPr="00DE2F95">
        <w:t xml:space="preserve"> -όπως απαιτείται από την μεθοδολογία της Eurostat</w:t>
      </w:r>
      <w:r w:rsidR="00110958">
        <w:t xml:space="preserve">- τότε η αναλογία δημόσιου χρέους προς ΑΕΠ αγγίζει το </w:t>
      </w:r>
      <w:r w:rsidRPr="00DE2F95">
        <w:t>74%.</w:t>
      </w:r>
    </w:p>
    <w:p w:rsidR="001B4CA0" w:rsidRDefault="001B4CA0" w:rsidP="000D274B">
      <w:pPr>
        <w:jc w:val="both"/>
      </w:pPr>
    </w:p>
    <w:p w:rsidR="001B4CA0" w:rsidRPr="00D40531" w:rsidRDefault="001B4CA0" w:rsidP="00D40531">
      <w:pPr>
        <w:numPr>
          <w:ilvl w:val="0"/>
          <w:numId w:val="37"/>
        </w:numPr>
        <w:ind w:left="0" w:firstLine="0"/>
        <w:jc w:val="both"/>
        <w:rPr>
          <w:color w:val="000000"/>
          <w:u w:val="single"/>
        </w:rPr>
      </w:pPr>
      <w:r w:rsidRPr="00D40531">
        <w:rPr>
          <w:color w:val="000000"/>
          <w:u w:val="single"/>
        </w:rPr>
        <w:t xml:space="preserve">Σταθερή η αξιολόγηση του οίκου Standard &amp; Poor's για την Ουγγαρία </w:t>
      </w:r>
    </w:p>
    <w:p w:rsidR="001B4CA0" w:rsidRPr="001B4CA0" w:rsidRDefault="001B4CA0" w:rsidP="001B4CA0">
      <w:pPr>
        <w:pStyle w:val="-HTML"/>
        <w:ind w:right="7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E2F95">
        <w:rPr>
          <w:rFonts w:ascii="Times New Roman" w:hAnsi="Times New Roman" w:cs="Times New Roman"/>
          <w:sz w:val="24"/>
          <w:szCs w:val="24"/>
          <w:lang w:val="el-GR"/>
        </w:rPr>
        <w:t xml:space="preserve">Ο </w:t>
      </w:r>
      <w:r>
        <w:rPr>
          <w:rFonts w:ascii="Times New Roman" w:hAnsi="Times New Roman" w:cs="Times New Roman"/>
          <w:sz w:val="24"/>
          <w:szCs w:val="24"/>
          <w:lang w:val="el-GR"/>
        </w:rPr>
        <w:t>οίκος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t xml:space="preserve"> αξιολόγησης Standard &amp; Poor's (S&amp;P) επιβεβαίωσε την πιστοληπτική ικανότητα της Ουγγαρίας στην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κατηγορία 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t>BBB-</w:t>
      </w:r>
      <w:r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t>A-3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όπως εξάλλου ανέμεναν και οι περισσότεροι αναλυτές. 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t xml:space="preserve"> Η S&amp;P ανέφερε ότι </w:t>
      </w:r>
      <w:r>
        <w:rPr>
          <w:rFonts w:ascii="Times New Roman" w:hAnsi="Times New Roman" w:cs="Times New Roman"/>
          <w:sz w:val="24"/>
          <w:szCs w:val="24"/>
          <w:lang w:val="el-GR"/>
        </w:rPr>
        <w:t>η αξιολόγησή της για την Ουγγαρία,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t xml:space="preserve"> αντανακλά τις ισχυρές οικονομικές 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προοπτικές της χώρας και την συνεχή βελτίωση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που επιδεικνύει ο 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t>τραπεζικό</w:t>
      </w:r>
      <w:r>
        <w:rPr>
          <w:rFonts w:ascii="Times New Roman" w:hAnsi="Times New Roman" w:cs="Times New Roman"/>
          <w:sz w:val="24"/>
          <w:szCs w:val="24"/>
          <w:lang w:val="el-GR"/>
        </w:rPr>
        <w:t>ς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t xml:space="preserve"> τομέα</w:t>
      </w:r>
      <w:r>
        <w:rPr>
          <w:rFonts w:ascii="Times New Roman" w:hAnsi="Times New Roman" w:cs="Times New Roman"/>
          <w:sz w:val="24"/>
          <w:szCs w:val="24"/>
          <w:lang w:val="el-GR"/>
        </w:rPr>
        <w:t>ς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t>. Στην ανάλυση της, η S &amp; P προβ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λέπει ρυθμό οικονομικής ανάπτυξης 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t>3,5%</w:t>
      </w:r>
      <w:r w:rsidR="00D40531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40531">
        <w:rPr>
          <w:rFonts w:ascii="Times New Roman" w:hAnsi="Times New Roman" w:cs="Times New Roman"/>
          <w:sz w:val="24"/>
          <w:szCs w:val="24"/>
          <w:lang w:val="el-GR"/>
        </w:rPr>
        <w:t xml:space="preserve">τιμή 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t xml:space="preserve">υψηλότερη από την μακροπρόθεσμη δυνητική ανάπτυξη της χώρας. </w:t>
      </w:r>
      <w:r w:rsidR="00D40531">
        <w:rPr>
          <w:rFonts w:ascii="Times New Roman" w:hAnsi="Times New Roman" w:cs="Times New Roman"/>
          <w:sz w:val="24"/>
          <w:szCs w:val="24"/>
          <w:lang w:val="el-GR"/>
        </w:rPr>
        <w:t xml:space="preserve">Ο ρυθμός 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t>οικονομική</w:t>
      </w:r>
      <w:r w:rsidR="00D40531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t xml:space="preserve"> ανάπτυξη</w:t>
      </w:r>
      <w:r w:rsidR="00D40531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Pr="00DE2F95">
        <w:rPr>
          <w:rFonts w:ascii="Times New Roman" w:hAnsi="Times New Roman" w:cs="Times New Roman"/>
          <w:sz w:val="24"/>
          <w:szCs w:val="24"/>
          <w:lang w:val="el-GR"/>
        </w:rPr>
        <w:t xml:space="preserve"> της Ουγγαρίας προβλέπεται να επιβραδυνθεί στο 2,5% ή χαμηλότερα το 2019-2021, λόγω διαρθρωτικών προκλήσεων. </w:t>
      </w:r>
    </w:p>
    <w:p w:rsidR="001B4CA0" w:rsidRPr="00DE2F95" w:rsidRDefault="001B4CA0" w:rsidP="001B4CA0">
      <w:pPr>
        <w:pStyle w:val="-HTML"/>
        <w:ind w:right="73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1B4CA0" w:rsidRDefault="001B4CA0" w:rsidP="000D274B">
      <w:pPr>
        <w:jc w:val="both"/>
      </w:pPr>
    </w:p>
    <w:p w:rsidR="00043C7C" w:rsidRPr="000D274B" w:rsidRDefault="00043C7C" w:rsidP="00043C7C">
      <w:pPr>
        <w:rPr>
          <w:lang w:val="en-US"/>
        </w:rPr>
      </w:pPr>
    </w:p>
    <w:p w:rsidR="00064195" w:rsidRPr="000D274B" w:rsidRDefault="00064195" w:rsidP="00C75756">
      <w:pPr>
        <w:pStyle w:val="a5"/>
        <w:tabs>
          <w:tab w:val="clear" w:pos="4320"/>
          <w:tab w:val="clear" w:pos="8640"/>
        </w:tabs>
        <w:jc w:val="center"/>
        <w:rPr>
          <w:rFonts w:ascii="Arial" w:eastAsia="MS Mincho" w:hAnsi="Arial"/>
          <w:b/>
          <w:bCs/>
          <w:szCs w:val="20"/>
          <w:lang w:val="en-US"/>
        </w:rPr>
      </w:pPr>
    </w:p>
    <w:p w:rsidR="006C5706" w:rsidRPr="00C75756" w:rsidRDefault="006C5706" w:rsidP="00C75756">
      <w:pPr>
        <w:pStyle w:val="a5"/>
        <w:tabs>
          <w:tab w:val="clear" w:pos="4320"/>
          <w:tab w:val="clear" w:pos="8640"/>
        </w:tabs>
        <w:jc w:val="center"/>
        <w:rPr>
          <w:rFonts w:ascii="Arial" w:eastAsia="MS Mincho" w:hAnsi="Arial"/>
          <w:b/>
          <w:bCs/>
          <w:szCs w:val="20"/>
          <w:lang w:val="en-US"/>
        </w:rPr>
      </w:pPr>
      <w:r w:rsidRPr="00C75756">
        <w:rPr>
          <w:rFonts w:ascii="Arial" w:eastAsia="MS Mincho" w:hAnsi="Arial"/>
          <w:b/>
          <w:bCs/>
          <w:szCs w:val="20"/>
          <w:lang w:val="en-US"/>
        </w:rPr>
        <w:t>IΙ</w:t>
      </w:r>
    </w:p>
    <w:p w:rsidR="006C5706" w:rsidRPr="00C75756" w:rsidRDefault="006C5706" w:rsidP="00C75756">
      <w:pPr>
        <w:pStyle w:val="a5"/>
        <w:tabs>
          <w:tab w:val="clear" w:pos="4320"/>
          <w:tab w:val="clear" w:pos="8640"/>
        </w:tabs>
        <w:jc w:val="center"/>
        <w:rPr>
          <w:rFonts w:ascii="Arial" w:eastAsia="MS Mincho" w:hAnsi="Arial"/>
          <w:b/>
          <w:bCs/>
          <w:szCs w:val="20"/>
          <w:lang w:val="en-US"/>
        </w:rPr>
      </w:pPr>
      <w:r w:rsidRPr="00C75756">
        <w:rPr>
          <w:rFonts w:ascii="Arial" w:eastAsia="MS Mincho" w:hAnsi="Arial"/>
          <w:b/>
          <w:bCs/>
          <w:szCs w:val="20"/>
          <w:lang w:val="en-US"/>
        </w:rPr>
        <w:t>Επιχειρηματικές – Εμπορικές Ειδήσεις</w:t>
      </w:r>
    </w:p>
    <w:p w:rsidR="006C5706" w:rsidRDefault="006C5706" w:rsidP="00C75756">
      <w:pPr>
        <w:pStyle w:val="a5"/>
        <w:tabs>
          <w:tab w:val="clear" w:pos="4320"/>
          <w:tab w:val="clear" w:pos="8640"/>
        </w:tabs>
        <w:jc w:val="center"/>
        <w:rPr>
          <w:rFonts w:ascii="Arial" w:eastAsia="MS Mincho" w:hAnsi="Arial"/>
          <w:b/>
          <w:bCs/>
          <w:szCs w:val="20"/>
        </w:rPr>
      </w:pPr>
    </w:p>
    <w:p w:rsidR="002173DB" w:rsidRPr="002173DB" w:rsidRDefault="002173DB" w:rsidP="00C75756">
      <w:pPr>
        <w:pStyle w:val="a5"/>
        <w:tabs>
          <w:tab w:val="clear" w:pos="4320"/>
          <w:tab w:val="clear" w:pos="8640"/>
        </w:tabs>
        <w:jc w:val="center"/>
        <w:rPr>
          <w:rFonts w:ascii="Arial" w:eastAsia="MS Mincho" w:hAnsi="Arial"/>
          <w:b/>
          <w:bCs/>
          <w:szCs w:val="20"/>
        </w:rPr>
      </w:pPr>
    </w:p>
    <w:p w:rsidR="00AB4AFE" w:rsidRPr="00AB4AFE" w:rsidRDefault="00AB4AFE" w:rsidP="00AB4AFE">
      <w:pPr>
        <w:rPr>
          <w:b/>
          <w:lang w:val="en-US"/>
        </w:rPr>
      </w:pPr>
      <w:r w:rsidRPr="00AB4AFE">
        <w:rPr>
          <w:b/>
          <w:lang w:val="en-US"/>
        </w:rPr>
        <w:t>Α. Γενικές Ειδήσεις</w:t>
      </w:r>
    </w:p>
    <w:p w:rsidR="00AB4AFE" w:rsidRPr="00AB4AFE" w:rsidRDefault="00AB4AFE" w:rsidP="00AB4AFE">
      <w:pPr>
        <w:rPr>
          <w:lang w:val="en-US"/>
        </w:rPr>
      </w:pPr>
    </w:p>
    <w:p w:rsidR="007419D7" w:rsidRDefault="007419D7" w:rsidP="00E15564">
      <w:pPr>
        <w:jc w:val="both"/>
        <w:rPr>
          <w:color w:val="000000"/>
        </w:rPr>
      </w:pPr>
    </w:p>
    <w:p w:rsidR="002A4ECB" w:rsidRPr="00B73ACA" w:rsidRDefault="002A4ECB" w:rsidP="00B73ACA">
      <w:pPr>
        <w:numPr>
          <w:ilvl w:val="0"/>
          <w:numId w:val="31"/>
        </w:numPr>
        <w:ind w:hanging="720"/>
        <w:jc w:val="both"/>
        <w:rPr>
          <w:color w:val="000000"/>
          <w:u w:val="single"/>
        </w:rPr>
      </w:pPr>
      <w:r w:rsidRPr="002A4ECB">
        <w:rPr>
          <w:color w:val="000000"/>
          <w:u w:val="single"/>
        </w:rPr>
        <w:t xml:space="preserve">Ρεκόρ </w:t>
      </w:r>
      <w:r w:rsidR="00B73ACA">
        <w:rPr>
          <w:color w:val="000000"/>
          <w:u w:val="single"/>
        </w:rPr>
        <w:t xml:space="preserve">προσέλκυσης </w:t>
      </w:r>
      <w:r w:rsidRPr="002A4ECB">
        <w:rPr>
          <w:color w:val="000000"/>
          <w:u w:val="single"/>
        </w:rPr>
        <w:t xml:space="preserve">επενδύσεων το 2017  </w:t>
      </w:r>
    </w:p>
    <w:p w:rsidR="002A4ECB" w:rsidRPr="002A4ECB" w:rsidRDefault="002A4ECB" w:rsidP="002A4ECB">
      <w:pPr>
        <w:jc w:val="both"/>
        <w:rPr>
          <w:color w:val="000000"/>
        </w:rPr>
      </w:pPr>
      <w:r>
        <w:rPr>
          <w:color w:val="000000"/>
        </w:rPr>
        <w:t>Σύμφωνα με δήλωση του Ούγγρου Υ</w:t>
      </w:r>
      <w:r w:rsidRPr="002A4ECB">
        <w:rPr>
          <w:color w:val="000000"/>
        </w:rPr>
        <w:t>πουργ</w:t>
      </w:r>
      <w:r>
        <w:rPr>
          <w:color w:val="000000"/>
        </w:rPr>
        <w:t xml:space="preserve">ού </w:t>
      </w:r>
      <w:r w:rsidRPr="002A4ECB">
        <w:rPr>
          <w:color w:val="000000"/>
        </w:rPr>
        <w:t xml:space="preserve">Εξωτερικών </w:t>
      </w:r>
      <w:r>
        <w:rPr>
          <w:color w:val="000000"/>
        </w:rPr>
        <w:t>&amp;</w:t>
      </w:r>
      <w:r w:rsidRPr="002A4ECB">
        <w:rPr>
          <w:color w:val="000000"/>
        </w:rPr>
        <w:t>Εμπορίου</w:t>
      </w:r>
      <w:r>
        <w:rPr>
          <w:color w:val="000000"/>
        </w:rPr>
        <w:t>,</w:t>
      </w:r>
      <w:r w:rsidRPr="002A4ECB">
        <w:rPr>
          <w:color w:val="000000"/>
        </w:rPr>
        <w:t xml:space="preserve"> </w:t>
      </w:r>
      <w:r>
        <w:rPr>
          <w:color w:val="000000"/>
        </w:rPr>
        <w:t xml:space="preserve">κ. </w:t>
      </w:r>
      <w:r w:rsidRPr="002A4ECB">
        <w:rPr>
          <w:color w:val="000000"/>
        </w:rPr>
        <w:t>Péter Szijjártó</w:t>
      </w:r>
      <w:r>
        <w:rPr>
          <w:color w:val="000000"/>
        </w:rPr>
        <w:t>,</w:t>
      </w:r>
      <w:r w:rsidRPr="002A4ECB">
        <w:rPr>
          <w:color w:val="000000"/>
        </w:rPr>
        <w:t xml:space="preserve"> </w:t>
      </w:r>
      <w:r>
        <w:rPr>
          <w:color w:val="000000"/>
        </w:rPr>
        <w:t xml:space="preserve">τα επενδυτικά κίνητρα που θέσπισε η κυβέρνηση είχαν ως αποτέλεσμα </w:t>
      </w:r>
      <w:r w:rsidR="00B73ACA">
        <w:rPr>
          <w:color w:val="000000"/>
        </w:rPr>
        <w:t xml:space="preserve">την προσέλκυση ξένων κεφαλαιακών επενδύσεων </w:t>
      </w:r>
      <w:r w:rsidR="00B73ACA" w:rsidRPr="002A4ECB">
        <w:rPr>
          <w:color w:val="000000"/>
        </w:rPr>
        <w:t xml:space="preserve">ύψους </w:t>
      </w:r>
      <w:r w:rsidR="00B73ACA">
        <w:rPr>
          <w:rFonts w:ascii="Calibri" w:hAnsi="Calibri" w:cs="Calibri"/>
          <w:color w:val="000000"/>
        </w:rPr>
        <w:t>€</w:t>
      </w:r>
      <w:r w:rsidR="00B73ACA" w:rsidRPr="002A4ECB">
        <w:rPr>
          <w:color w:val="000000"/>
        </w:rPr>
        <w:t>3,5 δις</w:t>
      </w:r>
      <w:r w:rsidR="00B73ACA">
        <w:rPr>
          <w:color w:val="000000"/>
        </w:rPr>
        <w:t xml:space="preserve"> εντός του</w:t>
      </w:r>
      <w:r w:rsidRPr="002A4ECB">
        <w:rPr>
          <w:color w:val="000000"/>
        </w:rPr>
        <w:t xml:space="preserve"> 2017</w:t>
      </w:r>
      <w:r w:rsidR="00B73ACA">
        <w:rPr>
          <w:color w:val="000000"/>
        </w:rPr>
        <w:t xml:space="preserve">. Πιο αναλυτικά, υλοποιήθηκαν 96 </w:t>
      </w:r>
      <w:r w:rsidRPr="002A4ECB">
        <w:rPr>
          <w:color w:val="000000"/>
        </w:rPr>
        <w:t xml:space="preserve"> επενδυτικά </w:t>
      </w:r>
      <w:r w:rsidR="00B73ACA">
        <w:rPr>
          <w:color w:val="000000"/>
        </w:rPr>
        <w:t xml:space="preserve">(αριθμός </w:t>
      </w:r>
      <w:r w:rsidRPr="002A4ECB">
        <w:rPr>
          <w:color w:val="000000"/>
        </w:rPr>
        <w:t>ρεκόρ</w:t>
      </w:r>
      <w:r w:rsidR="00B73ACA">
        <w:rPr>
          <w:color w:val="000000"/>
        </w:rPr>
        <w:t xml:space="preserve"> για την Ουγγαρία)</w:t>
      </w:r>
      <w:r w:rsidRPr="002A4ECB">
        <w:rPr>
          <w:color w:val="000000"/>
        </w:rPr>
        <w:t xml:space="preserve"> </w:t>
      </w:r>
      <w:r w:rsidR="00B73ACA">
        <w:rPr>
          <w:color w:val="000000"/>
        </w:rPr>
        <w:t xml:space="preserve">που δημιούργησαν </w:t>
      </w:r>
      <w:r w:rsidRPr="002A4ECB">
        <w:rPr>
          <w:color w:val="000000"/>
        </w:rPr>
        <w:t>περισσότερες από 17.000 νέες θέσεις εργασίας</w:t>
      </w:r>
      <w:r w:rsidR="00B73ACA">
        <w:rPr>
          <w:color w:val="000000"/>
        </w:rPr>
        <w:t>,</w:t>
      </w:r>
      <w:r w:rsidRPr="002A4ECB">
        <w:rPr>
          <w:color w:val="000000"/>
        </w:rPr>
        <w:t xml:space="preserve"> με μέσο μηνιαίο μισθό 304.000 </w:t>
      </w:r>
      <w:r w:rsidR="00772CC1">
        <w:rPr>
          <w:color w:val="000000"/>
          <w:lang w:val="en-US"/>
        </w:rPr>
        <w:t>HUF</w:t>
      </w:r>
      <w:r w:rsidRPr="002A4ECB">
        <w:rPr>
          <w:color w:val="000000"/>
        </w:rPr>
        <w:t xml:space="preserve"> (~967 Ευρώ)</w:t>
      </w:r>
      <w:r w:rsidR="00B73ACA">
        <w:rPr>
          <w:color w:val="000000"/>
        </w:rPr>
        <w:t>. Οι περισσότερες επενδύσεις προήλθαν από την Γερμανία (29 έργα) και ακολουθούν ΗΠΑ (10 έργα), Ινδία (4 έργα),</w:t>
      </w:r>
      <w:r w:rsidRPr="002A4ECB">
        <w:rPr>
          <w:color w:val="000000"/>
        </w:rPr>
        <w:t xml:space="preserve"> Κίνα</w:t>
      </w:r>
      <w:r w:rsidR="00B73ACA">
        <w:rPr>
          <w:color w:val="000000"/>
        </w:rPr>
        <w:t xml:space="preserve"> (3 έργα) </w:t>
      </w:r>
      <w:r w:rsidRPr="002A4ECB">
        <w:rPr>
          <w:color w:val="000000"/>
        </w:rPr>
        <w:t>Νότια Κορέα</w:t>
      </w:r>
      <w:r w:rsidR="00B73ACA">
        <w:rPr>
          <w:color w:val="000000"/>
        </w:rPr>
        <w:t xml:space="preserve"> (3 έργα),</w:t>
      </w:r>
      <w:r w:rsidRPr="002A4ECB">
        <w:rPr>
          <w:color w:val="000000"/>
        </w:rPr>
        <w:t xml:space="preserve"> Ιαπωνία</w:t>
      </w:r>
      <w:r w:rsidR="00B73ACA">
        <w:rPr>
          <w:color w:val="000000"/>
        </w:rPr>
        <w:t xml:space="preserve"> (3 έργα) και </w:t>
      </w:r>
      <w:r w:rsidRPr="002A4ECB">
        <w:rPr>
          <w:color w:val="000000"/>
        </w:rPr>
        <w:t>Τουρκία</w:t>
      </w:r>
      <w:r w:rsidR="00B73ACA">
        <w:rPr>
          <w:color w:val="000000"/>
        </w:rPr>
        <w:t xml:space="preserve"> (2 έργα). Σημειώνεται ότι 18 επενδυτικά έργα υλοποιήθηκαν από ουγγρικές επιχειρήσεις</w:t>
      </w:r>
      <w:r w:rsidRPr="002A4ECB">
        <w:rPr>
          <w:color w:val="000000"/>
        </w:rPr>
        <w:t>.</w:t>
      </w:r>
    </w:p>
    <w:p w:rsidR="00857D0F" w:rsidRDefault="00857D0F" w:rsidP="00857D0F">
      <w:pPr>
        <w:jc w:val="both"/>
      </w:pPr>
    </w:p>
    <w:p w:rsidR="000F35A7" w:rsidRPr="000F35A7" w:rsidRDefault="000F35A7" w:rsidP="000F35A7">
      <w:pPr>
        <w:numPr>
          <w:ilvl w:val="0"/>
          <w:numId w:val="31"/>
        </w:numPr>
        <w:ind w:hanging="720"/>
        <w:jc w:val="both"/>
        <w:rPr>
          <w:color w:val="000000"/>
        </w:rPr>
      </w:pPr>
      <w:r w:rsidRPr="000F35A7">
        <w:rPr>
          <w:color w:val="000000"/>
          <w:u w:val="single"/>
        </w:rPr>
        <w:t xml:space="preserve">Σημαντική </w:t>
      </w:r>
      <w:r>
        <w:rPr>
          <w:color w:val="000000"/>
          <w:u w:val="single"/>
        </w:rPr>
        <w:t>άνοδος</w:t>
      </w:r>
      <w:r w:rsidRPr="000F35A7">
        <w:rPr>
          <w:color w:val="000000"/>
          <w:u w:val="single"/>
        </w:rPr>
        <w:t xml:space="preserve"> του τουρισμού στην Ουγγαρία</w:t>
      </w:r>
    </w:p>
    <w:p w:rsidR="00133343" w:rsidRDefault="000F35A7" w:rsidP="00133343">
      <w:pPr>
        <w:jc w:val="both"/>
        <w:rPr>
          <w:color w:val="000000"/>
        </w:rPr>
      </w:pPr>
      <w:r>
        <w:rPr>
          <w:color w:val="000000"/>
        </w:rPr>
        <w:t>Σύμφωνα με στοιχεία της Στατιστικής Υπηρεσίας της Ουγγαρίας, ο</w:t>
      </w:r>
      <w:r w:rsidRPr="000F35A7">
        <w:rPr>
          <w:color w:val="000000"/>
        </w:rPr>
        <w:t xml:space="preserve"> αριθμός των διανυκτερεύσεων σε ουγγρικά καταλύματα το 2017 </w:t>
      </w:r>
      <w:r>
        <w:rPr>
          <w:color w:val="000000"/>
        </w:rPr>
        <w:t xml:space="preserve">άγγιξε τα </w:t>
      </w:r>
      <w:r w:rsidRPr="000F35A7">
        <w:rPr>
          <w:color w:val="000000"/>
        </w:rPr>
        <w:t xml:space="preserve">29,5 εκ. </w:t>
      </w:r>
      <w:r>
        <w:rPr>
          <w:color w:val="000000"/>
        </w:rPr>
        <w:t>Σε σχέση με το 2016, ο</w:t>
      </w:r>
      <w:r w:rsidRPr="000F35A7">
        <w:rPr>
          <w:color w:val="000000"/>
        </w:rPr>
        <w:t xml:space="preserve">ι διανυκτερεύσεις </w:t>
      </w:r>
      <w:r>
        <w:rPr>
          <w:color w:val="000000"/>
        </w:rPr>
        <w:t xml:space="preserve">ξένων επισκεπτών </w:t>
      </w:r>
      <w:r w:rsidRPr="000F35A7">
        <w:rPr>
          <w:color w:val="000000"/>
        </w:rPr>
        <w:t xml:space="preserve">αυξήθηκαν κατά 7.9% </w:t>
      </w:r>
      <w:r w:rsidR="00772CC1">
        <w:rPr>
          <w:color w:val="000000"/>
        </w:rPr>
        <w:t xml:space="preserve">αγγίζοντας τα </w:t>
      </w:r>
      <w:r w:rsidRPr="000F35A7">
        <w:rPr>
          <w:color w:val="000000"/>
        </w:rPr>
        <w:t xml:space="preserve">14.9 εκ. και οι διανυκτερεύσεις </w:t>
      </w:r>
      <w:r w:rsidR="00772CC1">
        <w:rPr>
          <w:color w:val="000000"/>
        </w:rPr>
        <w:t xml:space="preserve">Ούγγρων </w:t>
      </w:r>
      <w:r w:rsidRPr="000F35A7">
        <w:rPr>
          <w:color w:val="000000"/>
        </w:rPr>
        <w:t xml:space="preserve">αυξήθηκαν κατά 5.6% </w:t>
      </w:r>
      <w:r w:rsidR="00772CC1">
        <w:rPr>
          <w:color w:val="000000"/>
        </w:rPr>
        <w:t>(</w:t>
      </w:r>
      <w:r w:rsidRPr="000F35A7">
        <w:rPr>
          <w:color w:val="000000"/>
        </w:rPr>
        <w:t>14.6 εκ.</w:t>
      </w:r>
      <w:r w:rsidR="00772CC1">
        <w:rPr>
          <w:color w:val="000000"/>
        </w:rPr>
        <w:t>)</w:t>
      </w:r>
      <w:r w:rsidRPr="000F35A7">
        <w:rPr>
          <w:color w:val="000000"/>
        </w:rPr>
        <w:t xml:space="preserve">. </w:t>
      </w:r>
      <w:r w:rsidR="00772CC1">
        <w:rPr>
          <w:color w:val="000000"/>
        </w:rPr>
        <w:t>Ειδικά για την Βουδαπέστη, ο</w:t>
      </w:r>
      <w:r w:rsidRPr="000F35A7">
        <w:rPr>
          <w:color w:val="000000"/>
        </w:rPr>
        <w:t>ι διανυκτερεύσεις ξεπέρασαν τα 10 εκ.</w:t>
      </w:r>
      <w:r w:rsidR="00772CC1">
        <w:rPr>
          <w:color w:val="000000"/>
        </w:rPr>
        <w:t xml:space="preserve">, κυρίως λόγω της διεξαγωγής του </w:t>
      </w:r>
      <w:r w:rsidRPr="000F35A7">
        <w:rPr>
          <w:color w:val="000000"/>
        </w:rPr>
        <w:t xml:space="preserve">Παγκόσμιου Πρωταθλήματος </w:t>
      </w:r>
      <w:r w:rsidR="00772CC1">
        <w:rPr>
          <w:color w:val="000000"/>
        </w:rPr>
        <w:t xml:space="preserve">Υγρού Στίβου, αλλά και της διοργάνωσης του ετήσιου </w:t>
      </w:r>
      <w:r w:rsidRPr="000F35A7">
        <w:rPr>
          <w:color w:val="000000"/>
        </w:rPr>
        <w:t xml:space="preserve">Φεστιβάλ Sziget. </w:t>
      </w:r>
      <w:r w:rsidR="00772CC1">
        <w:rPr>
          <w:color w:val="000000"/>
        </w:rPr>
        <w:t xml:space="preserve">Αξίζει να σημειωθεί ότι το ποσοστό πληρότητας των καταλυμάτων </w:t>
      </w:r>
      <w:r w:rsidRPr="000F35A7">
        <w:rPr>
          <w:color w:val="000000"/>
        </w:rPr>
        <w:t>αυξήθηκ</w:t>
      </w:r>
      <w:r w:rsidR="00772CC1">
        <w:rPr>
          <w:color w:val="000000"/>
        </w:rPr>
        <w:t>ε</w:t>
      </w:r>
      <w:r w:rsidRPr="000F35A7">
        <w:rPr>
          <w:color w:val="000000"/>
        </w:rPr>
        <w:t xml:space="preserve"> από 56.2% το 2016 σε 59.6% το 2017</w:t>
      </w:r>
      <w:r w:rsidR="00772CC1">
        <w:rPr>
          <w:color w:val="000000"/>
        </w:rPr>
        <w:t xml:space="preserve">, ενώ αυξήθηκαν επίσης </w:t>
      </w:r>
      <w:r w:rsidR="00772CC1" w:rsidRPr="000F35A7">
        <w:rPr>
          <w:color w:val="000000"/>
        </w:rPr>
        <w:t xml:space="preserve">κατά 16% </w:t>
      </w:r>
      <w:r w:rsidR="00772CC1">
        <w:rPr>
          <w:color w:val="000000"/>
        </w:rPr>
        <w:t xml:space="preserve">και </w:t>
      </w:r>
      <w:r w:rsidRPr="000F35A7">
        <w:rPr>
          <w:color w:val="000000"/>
        </w:rPr>
        <w:t xml:space="preserve">τα μεικτά έσοδα </w:t>
      </w:r>
      <w:r w:rsidR="00772CC1">
        <w:rPr>
          <w:color w:val="000000"/>
        </w:rPr>
        <w:t xml:space="preserve">που άγγιξαν τα </w:t>
      </w:r>
      <w:r w:rsidRPr="000F35A7">
        <w:rPr>
          <w:color w:val="000000"/>
        </w:rPr>
        <w:t xml:space="preserve">466 δις </w:t>
      </w:r>
      <w:r w:rsidR="00772CC1">
        <w:rPr>
          <w:color w:val="000000"/>
          <w:lang w:val="en-US"/>
        </w:rPr>
        <w:t>HUF</w:t>
      </w:r>
      <w:r w:rsidRPr="000F35A7">
        <w:rPr>
          <w:color w:val="000000"/>
        </w:rPr>
        <w:t xml:space="preserve">. </w:t>
      </w:r>
      <w:r w:rsidR="00133343">
        <w:rPr>
          <w:color w:val="000000"/>
        </w:rPr>
        <w:t xml:space="preserve">Πιο αναλυτικά, </w:t>
      </w:r>
      <w:r w:rsidR="00DD004E">
        <w:rPr>
          <w:color w:val="000000"/>
        </w:rPr>
        <w:t>ο ρυθμός προσέλευσης ε</w:t>
      </w:r>
      <w:r w:rsidR="0069219B">
        <w:rPr>
          <w:color w:val="000000"/>
        </w:rPr>
        <w:t>πισκ</w:t>
      </w:r>
      <w:r w:rsidR="00DD004E">
        <w:rPr>
          <w:color w:val="000000"/>
        </w:rPr>
        <w:t xml:space="preserve">επτών </w:t>
      </w:r>
      <w:r w:rsidR="0069219B">
        <w:rPr>
          <w:color w:val="000000"/>
        </w:rPr>
        <w:t>από την Γερμανία (η μεγαλύτερη αγορά για την Ουγγαρία) αυξηθήκ</w:t>
      </w:r>
      <w:r w:rsidR="00FD59D6">
        <w:rPr>
          <w:color w:val="000000"/>
        </w:rPr>
        <w:t>ε</w:t>
      </w:r>
      <w:r w:rsidR="0069219B">
        <w:rPr>
          <w:color w:val="000000"/>
        </w:rPr>
        <w:t xml:space="preserve"> κατά  8%, όμως </w:t>
      </w:r>
      <w:r w:rsidR="00FD59D6">
        <w:rPr>
          <w:color w:val="000000"/>
        </w:rPr>
        <w:t xml:space="preserve">οι </w:t>
      </w:r>
      <w:r w:rsidR="0069219B">
        <w:rPr>
          <w:color w:val="000000"/>
        </w:rPr>
        <w:t>μεγαλ</w:t>
      </w:r>
      <w:r w:rsidR="00FD59D6">
        <w:rPr>
          <w:color w:val="000000"/>
        </w:rPr>
        <w:t xml:space="preserve">ύτεροι ετήσιοι ρυθμοί προσέλευσης </w:t>
      </w:r>
      <w:r w:rsidR="003010C8">
        <w:rPr>
          <w:color w:val="000000"/>
        </w:rPr>
        <w:t xml:space="preserve"> </w:t>
      </w:r>
      <w:r w:rsidR="00753DD3">
        <w:rPr>
          <w:color w:val="000000"/>
        </w:rPr>
        <w:t>σημειώθηκ</w:t>
      </w:r>
      <w:r w:rsidR="00FD59D6">
        <w:rPr>
          <w:color w:val="000000"/>
        </w:rPr>
        <w:t>αν</w:t>
      </w:r>
      <w:r w:rsidR="00753DD3">
        <w:rPr>
          <w:color w:val="000000"/>
        </w:rPr>
        <w:t xml:space="preserve"> από την Ρωσία (25%)</w:t>
      </w:r>
      <w:r w:rsidR="00FD59D6">
        <w:rPr>
          <w:color w:val="000000"/>
        </w:rPr>
        <w:t xml:space="preserve"> και τις ΗΠΑ (15%). Το 2017 ο συνολικός αριθμός ατόμων που επισκέφθηκαν την Ουγγαρία αυξήθηκε κατά 6,1% σε σχέση με το 2016.</w:t>
      </w:r>
    </w:p>
    <w:p w:rsidR="00133343" w:rsidRDefault="00133343" w:rsidP="00133343">
      <w:pPr>
        <w:jc w:val="both"/>
        <w:rPr>
          <w:color w:val="000000"/>
        </w:rPr>
      </w:pPr>
    </w:p>
    <w:p w:rsidR="00D97B5D" w:rsidRPr="00D97B5D" w:rsidRDefault="00BD6B5E" w:rsidP="00D97B5D">
      <w:pPr>
        <w:numPr>
          <w:ilvl w:val="0"/>
          <w:numId w:val="31"/>
        </w:numPr>
        <w:ind w:hanging="720"/>
        <w:jc w:val="both"/>
        <w:rPr>
          <w:color w:val="000000"/>
          <w:u w:val="single"/>
        </w:rPr>
      </w:pPr>
      <w:r>
        <w:rPr>
          <w:color w:val="000000"/>
          <w:u w:val="single"/>
        </w:rPr>
        <w:t>Αύξηση των ουγγρικών  εξαγωγών το 2017</w:t>
      </w:r>
    </w:p>
    <w:p w:rsidR="00D97B5D" w:rsidRDefault="00D97B5D" w:rsidP="00D97B5D">
      <w:pPr>
        <w:jc w:val="both"/>
        <w:rPr>
          <w:color w:val="000000"/>
        </w:rPr>
      </w:pPr>
      <w:r w:rsidRPr="00D97B5D">
        <w:rPr>
          <w:color w:val="000000"/>
        </w:rPr>
        <w:t xml:space="preserve">Σύμφωνα με την Στατιστική Υπηρεσία </w:t>
      </w:r>
      <w:r>
        <w:rPr>
          <w:color w:val="000000"/>
        </w:rPr>
        <w:t xml:space="preserve">της Ουγγαρίας, η αξία των εξαγωγών της χώρας το 2017, ξεπέρασε για πρώτη φορά τα </w:t>
      </w:r>
      <w:r w:rsidRPr="00D97B5D">
        <w:rPr>
          <w:color w:val="000000"/>
        </w:rPr>
        <w:t>€</w:t>
      </w:r>
      <w:r>
        <w:rPr>
          <w:color w:val="000000"/>
        </w:rPr>
        <w:t>100 δις</w:t>
      </w:r>
      <w:r w:rsidRPr="00D97B5D">
        <w:rPr>
          <w:color w:val="000000"/>
        </w:rPr>
        <w:t xml:space="preserve">, </w:t>
      </w:r>
      <w:r>
        <w:rPr>
          <w:color w:val="000000"/>
        </w:rPr>
        <w:t xml:space="preserve">αγγίζοντας σχεδόν τα </w:t>
      </w:r>
      <w:r w:rsidRPr="00D97B5D">
        <w:rPr>
          <w:color w:val="000000"/>
        </w:rPr>
        <w:t>€</w:t>
      </w:r>
      <w:r>
        <w:rPr>
          <w:color w:val="000000"/>
        </w:rPr>
        <w:t xml:space="preserve">101 δις και </w:t>
      </w:r>
      <w:r w:rsidRPr="00D97B5D">
        <w:rPr>
          <w:color w:val="000000"/>
        </w:rPr>
        <w:t xml:space="preserve">σημειώνοντας </w:t>
      </w:r>
      <w:r>
        <w:rPr>
          <w:color w:val="000000"/>
        </w:rPr>
        <w:t xml:space="preserve">αύξηση </w:t>
      </w:r>
      <w:r w:rsidRPr="00D97B5D">
        <w:rPr>
          <w:color w:val="000000"/>
        </w:rPr>
        <w:t>8.4%</w:t>
      </w:r>
      <w:r>
        <w:rPr>
          <w:color w:val="000000"/>
        </w:rPr>
        <w:t xml:space="preserve"> σε σχέση με το 2016</w:t>
      </w:r>
      <w:r w:rsidRPr="00D97B5D">
        <w:rPr>
          <w:color w:val="000000"/>
        </w:rPr>
        <w:t>.</w:t>
      </w:r>
      <w:r>
        <w:rPr>
          <w:color w:val="000000"/>
        </w:rPr>
        <w:t xml:space="preserve"> Παράλληλα, την ίδια περίοδο, μεγαλύτερη αύξηση (11,4%)</w:t>
      </w:r>
      <w:r w:rsidRPr="00D97B5D">
        <w:rPr>
          <w:color w:val="000000"/>
        </w:rPr>
        <w:t xml:space="preserve"> </w:t>
      </w:r>
      <w:r>
        <w:rPr>
          <w:color w:val="000000"/>
        </w:rPr>
        <w:t xml:space="preserve">σημείωσαν οι εισαγωγές, με αποτέλεσμα το εμπορικό πλεόνασμα της χώρας να μειωθεί στα </w:t>
      </w:r>
      <w:r w:rsidR="006954C0">
        <w:rPr>
          <w:rFonts w:ascii="Calibri" w:hAnsi="Calibri" w:cs="Calibri"/>
          <w:color w:val="000000"/>
        </w:rPr>
        <w:t>€</w:t>
      </w:r>
      <w:r>
        <w:rPr>
          <w:color w:val="000000"/>
        </w:rPr>
        <w:t>8,2 δις (</w:t>
      </w:r>
      <w:r w:rsidR="006954C0">
        <w:rPr>
          <w:rFonts w:ascii="Calibri" w:hAnsi="Calibri" w:cs="Calibri"/>
          <w:color w:val="000000"/>
        </w:rPr>
        <w:t>€</w:t>
      </w:r>
      <w:r>
        <w:rPr>
          <w:color w:val="000000"/>
        </w:rPr>
        <w:t>9,7 δις για το 2016).</w:t>
      </w:r>
      <w:r w:rsidR="006954C0">
        <w:rPr>
          <w:color w:val="000000"/>
        </w:rPr>
        <w:t xml:space="preserve"> Πράγματι, σύμφωνα με τα στοιχεία της </w:t>
      </w:r>
      <w:r w:rsidR="006954C0" w:rsidRPr="00D97B5D">
        <w:rPr>
          <w:color w:val="000000"/>
        </w:rPr>
        <w:t>Στατιστική</w:t>
      </w:r>
      <w:r w:rsidR="006954C0">
        <w:rPr>
          <w:color w:val="000000"/>
        </w:rPr>
        <w:t>ς</w:t>
      </w:r>
      <w:r w:rsidR="006954C0" w:rsidRPr="00D97B5D">
        <w:rPr>
          <w:color w:val="000000"/>
        </w:rPr>
        <w:t xml:space="preserve"> Υπηρεσία</w:t>
      </w:r>
      <w:r w:rsidR="006954C0">
        <w:rPr>
          <w:color w:val="000000"/>
        </w:rPr>
        <w:t xml:space="preserve">ς, στους 10 από τους 12 μήνες του 2017, οι εισαγωγές αυξήθηκαν με ταχύτερο ρυθμό από τις εξαγωγές, κυρίως εξαιτίας της αύξησης της κατανάλωσης και των επενδύσεων. Σύμφωνα με αναλυτές, η τάση αυτή θα συνεχιστεί και το 2018. </w:t>
      </w:r>
    </w:p>
    <w:p w:rsidR="006954C0" w:rsidRDefault="006954C0" w:rsidP="00D97B5D">
      <w:pPr>
        <w:jc w:val="both"/>
        <w:rPr>
          <w:color w:val="000000"/>
        </w:rPr>
      </w:pPr>
    </w:p>
    <w:p w:rsidR="003F0C18" w:rsidRPr="003F0C18" w:rsidRDefault="00BD6B5E" w:rsidP="003F0C18">
      <w:pPr>
        <w:numPr>
          <w:ilvl w:val="0"/>
          <w:numId w:val="31"/>
        </w:numPr>
        <w:ind w:hanging="720"/>
        <w:jc w:val="both"/>
        <w:rPr>
          <w:color w:val="000000"/>
          <w:u w:val="single"/>
        </w:rPr>
      </w:pPr>
      <w:r>
        <w:rPr>
          <w:color w:val="000000"/>
          <w:u w:val="single"/>
        </w:rPr>
        <w:t>Αύξηση των μισθών</w:t>
      </w:r>
    </w:p>
    <w:p w:rsidR="003F0C18" w:rsidRPr="003F0C18" w:rsidRDefault="003F0C18" w:rsidP="003F0C18">
      <w:pPr>
        <w:pStyle w:val="Default"/>
        <w:jc w:val="both"/>
        <w:rPr>
          <w:rFonts w:ascii="Times New Roman" w:eastAsia="Times New Roman" w:hAnsi="Times New Roman" w:cs="Times New Roman"/>
          <w:lang w:val="el-GR" w:eastAsia="el-GR"/>
        </w:rPr>
      </w:pPr>
      <w:r w:rsidRPr="003F0C18">
        <w:rPr>
          <w:rFonts w:ascii="Times New Roman" w:eastAsia="Times New Roman" w:hAnsi="Times New Roman" w:cs="Times New Roman"/>
          <w:lang w:val="el-GR" w:eastAsia="el-GR"/>
        </w:rPr>
        <w:t>Τον Δεκέμβριο 2017, ο μέσος ακαθάριστος μισθός διαμορφώθηκε στα 327.713 HUF (~1.047 ‎</w:t>
      </w:r>
      <w:hyperlink r:id="rId9" w:history="1">
        <w:r w:rsidRPr="003F0C18">
          <w:rPr>
            <w:rFonts w:ascii="Times New Roman" w:eastAsia="Times New Roman" w:hAnsi="Times New Roman" w:cs="Times New Roman"/>
            <w:lang w:val="el-GR" w:eastAsia="el-GR"/>
          </w:rPr>
          <w:t>€</w:t>
        </w:r>
      </w:hyperlink>
      <w:r w:rsidRPr="003F0C18">
        <w:rPr>
          <w:rFonts w:ascii="Times New Roman" w:eastAsia="Times New Roman" w:hAnsi="Times New Roman" w:cs="Times New Roman"/>
          <w:lang w:val="el-GR" w:eastAsia="el-GR"/>
        </w:rPr>
        <w:t xml:space="preserve">), αυξημένος κατά 13.5% σε σχέση με τον Δεκέμβριο 2016. Το ίδιο χρονικό διάστημα, επίσης </w:t>
      </w:r>
      <w:r w:rsidRPr="003F0C18">
        <w:rPr>
          <w:rFonts w:ascii="Times New Roman" w:eastAsia="Times New Roman" w:hAnsi="Times New Roman" w:cs="Times New Roman"/>
          <w:lang w:val="el-GR" w:eastAsia="el-GR"/>
        </w:rPr>
        <w:lastRenderedPageBreak/>
        <w:t xml:space="preserve">αυξημένος κατά 13.5% εμφανίζεται και ο μέσος καθαρός μισθός (217.900 HUF, περίπου 700 </w:t>
      </w:r>
      <w:hyperlink r:id="rId10" w:history="1">
        <w:r w:rsidRPr="003F0C18">
          <w:rPr>
            <w:rFonts w:ascii="Times New Roman" w:eastAsia="Times New Roman" w:hAnsi="Times New Roman" w:cs="Times New Roman"/>
            <w:lang w:val="el-GR" w:eastAsia="el-GR"/>
          </w:rPr>
          <w:t>€</w:t>
        </w:r>
      </w:hyperlink>
      <w:r w:rsidRPr="003F0C18">
        <w:rPr>
          <w:rFonts w:ascii="Times New Roman" w:eastAsia="Times New Roman" w:hAnsi="Times New Roman" w:cs="Times New Roman"/>
          <w:lang w:val="el-GR" w:eastAsia="el-GR"/>
        </w:rPr>
        <w:t xml:space="preserve">). Για το σύνολο του έτους 2017, ο μέσος μηνιαίος ακαθάριστος μισθός ανήλθε στα 297.000 HUF (~954 </w:t>
      </w:r>
      <w:hyperlink r:id="rId11" w:history="1">
        <w:r w:rsidRPr="003F0C18">
          <w:rPr>
            <w:rFonts w:ascii="Times New Roman" w:eastAsia="Times New Roman" w:hAnsi="Times New Roman" w:cs="Times New Roman"/>
            <w:lang w:val="el-GR" w:eastAsia="el-GR"/>
          </w:rPr>
          <w:t>€</w:t>
        </w:r>
      </w:hyperlink>
      <w:r w:rsidRPr="003F0C18">
        <w:rPr>
          <w:rFonts w:ascii="Times New Roman" w:eastAsia="Times New Roman" w:hAnsi="Times New Roman" w:cs="Times New Roman"/>
          <w:lang w:val="el-GR" w:eastAsia="el-GR"/>
        </w:rPr>
        <w:t xml:space="preserve">), αυξημένος κατά 12.9% σε σχέση με το 2016. </w:t>
      </w:r>
    </w:p>
    <w:tbl>
      <w:tblPr>
        <w:tblpPr w:leftFromText="180" w:rightFromText="180" w:vertAnchor="text" w:horzAnchor="margin" w:tblpY="150"/>
        <w:tblW w:w="93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265"/>
        <w:gridCol w:w="1561"/>
        <w:gridCol w:w="1563"/>
      </w:tblGrid>
      <w:tr w:rsidR="003F0C18" w:rsidRPr="00DE2F95" w:rsidTr="00A4184F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3F0C18">
            <w:pPr>
              <w:autoSpaceDE w:val="0"/>
              <w:autoSpaceDN w:val="0"/>
              <w:adjustRightInd w:val="0"/>
              <w:jc w:val="center"/>
            </w:pPr>
            <w:r>
              <w:t>Μέσος καθαρός μισθός 2017</w:t>
            </w:r>
          </w:p>
        </w:tc>
      </w:tr>
      <w:tr w:rsidR="003F0C18" w:rsidRPr="00DE2F95" w:rsidTr="00A4184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both"/>
            </w:pPr>
            <w:r>
              <w:t>Τομέας οικονομίας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lang w:val="en-US"/>
              </w:rPr>
              <w:t>HUF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center"/>
            </w:pPr>
            <w:r w:rsidRPr="00DE2F95">
              <w:t xml:space="preserve">% </w:t>
            </w:r>
          </w:p>
        </w:tc>
      </w:tr>
      <w:tr w:rsidR="003F0C18" w:rsidRPr="00DE2F95" w:rsidTr="00A4184F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both"/>
            </w:pPr>
            <w:r>
              <w:t>Ιδιωτικός Τομέας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right"/>
            </w:pPr>
            <w:r w:rsidRPr="00DE2F95">
              <w:t xml:space="preserve">205,500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right"/>
            </w:pPr>
            <w:r w:rsidRPr="00DE2F95">
              <w:t xml:space="preserve">11.6 </w:t>
            </w:r>
          </w:p>
        </w:tc>
      </w:tr>
      <w:tr w:rsidR="003F0C18" w:rsidRPr="00DE2F95" w:rsidTr="00A4184F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both"/>
            </w:pPr>
            <w:r>
              <w:t>Δημόσιος Τομέας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right"/>
            </w:pPr>
            <w:r w:rsidRPr="00DE2F95">
              <w:t xml:space="preserve">183,000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right"/>
            </w:pPr>
            <w:r w:rsidRPr="00DE2F95">
              <w:t xml:space="preserve">15.9 </w:t>
            </w:r>
          </w:p>
        </w:tc>
      </w:tr>
      <w:tr w:rsidR="003F0C18" w:rsidRPr="00DE2F95" w:rsidTr="00A4184F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both"/>
            </w:pPr>
            <w:r>
              <w:t>ΜΚΟ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right"/>
            </w:pPr>
            <w:r w:rsidRPr="00DE2F95">
              <w:t xml:space="preserve">171,000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right"/>
            </w:pPr>
            <w:r w:rsidRPr="00DE2F95">
              <w:t xml:space="preserve">11.2 </w:t>
            </w:r>
          </w:p>
        </w:tc>
      </w:tr>
      <w:tr w:rsidR="003F0C18" w:rsidRPr="00DE2F95" w:rsidTr="00A4184F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both"/>
            </w:pPr>
            <w:r>
              <w:t>Σύνολο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127528" w:rsidP="00A4184F">
            <w:pPr>
              <w:autoSpaceDE w:val="0"/>
              <w:autoSpaceDN w:val="0"/>
              <w:adjustRightInd w:val="0"/>
              <w:jc w:val="right"/>
            </w:pPr>
            <w:r>
              <w:t>197,5</w:t>
            </w:r>
            <w:r w:rsidR="003F0C18" w:rsidRPr="00DE2F95">
              <w:t xml:space="preserve">00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right"/>
            </w:pPr>
            <w:r w:rsidRPr="00DE2F95">
              <w:t xml:space="preserve">12.9 </w:t>
            </w:r>
          </w:p>
        </w:tc>
      </w:tr>
      <w:tr w:rsidR="003F0C18" w:rsidRPr="00DE2F95" w:rsidTr="00A4184F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both"/>
            </w:pPr>
            <w:r>
              <w:t>Εργάτες Δημοσίου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right"/>
            </w:pPr>
            <w:r w:rsidRPr="00DE2F95">
              <w:t xml:space="preserve">54,300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C18" w:rsidRPr="00DE2F95" w:rsidRDefault="003F0C18" w:rsidP="00A4184F">
            <w:pPr>
              <w:autoSpaceDE w:val="0"/>
              <w:autoSpaceDN w:val="0"/>
              <w:adjustRightInd w:val="0"/>
              <w:jc w:val="right"/>
            </w:pPr>
            <w:r w:rsidRPr="00DE2F95">
              <w:t xml:space="preserve">3.5 </w:t>
            </w:r>
          </w:p>
        </w:tc>
      </w:tr>
    </w:tbl>
    <w:p w:rsidR="003F0C18" w:rsidRPr="00DE2F95" w:rsidRDefault="003F0C18" w:rsidP="003F0C18">
      <w:pPr>
        <w:pStyle w:val="Default"/>
        <w:jc w:val="both"/>
        <w:rPr>
          <w:rFonts w:ascii="Times New Roman" w:hAnsi="Times New Roman" w:cs="Times New Roman"/>
          <w:color w:val="auto"/>
          <w:lang w:val="el-GR"/>
        </w:rPr>
      </w:pPr>
    </w:p>
    <w:p w:rsidR="000F35A7" w:rsidRPr="000F35A7" w:rsidRDefault="000F35A7" w:rsidP="00857D0F">
      <w:pPr>
        <w:jc w:val="both"/>
        <w:rPr>
          <w:lang w:val="en-US"/>
        </w:rPr>
      </w:pPr>
    </w:p>
    <w:p w:rsidR="000F35A7" w:rsidRPr="000F35A7" w:rsidRDefault="000F35A7" w:rsidP="00857D0F">
      <w:pPr>
        <w:jc w:val="both"/>
        <w:rPr>
          <w:lang w:val="en-US"/>
        </w:rPr>
      </w:pPr>
    </w:p>
    <w:p w:rsidR="00E15564" w:rsidRPr="00043C7C" w:rsidRDefault="00E15564" w:rsidP="00E211D0">
      <w:pPr>
        <w:rPr>
          <w:lang w:val="en-US"/>
        </w:rPr>
      </w:pPr>
    </w:p>
    <w:p w:rsidR="00AB4AFE" w:rsidRPr="00AB4AFE" w:rsidRDefault="00AB4AFE" w:rsidP="00AB4AFE">
      <w:pPr>
        <w:rPr>
          <w:b/>
        </w:rPr>
      </w:pPr>
      <w:r w:rsidRPr="00AB4AFE">
        <w:rPr>
          <w:b/>
        </w:rPr>
        <w:t xml:space="preserve">Β. Διεθνείς Συμφωνίες – Συνεργασίες – Διαγωνισμοί </w:t>
      </w:r>
    </w:p>
    <w:p w:rsidR="00466D26" w:rsidRDefault="00466D26" w:rsidP="00E211D0"/>
    <w:p w:rsidR="00F57E80" w:rsidRPr="00847552" w:rsidRDefault="00F57E80" w:rsidP="00F57E80"/>
    <w:p w:rsidR="00B73ACA" w:rsidRPr="00B73ACA" w:rsidRDefault="00B73ACA" w:rsidP="00B73ACA">
      <w:pPr>
        <w:numPr>
          <w:ilvl w:val="0"/>
          <w:numId w:val="31"/>
        </w:numPr>
        <w:ind w:hanging="720"/>
        <w:jc w:val="both"/>
        <w:rPr>
          <w:color w:val="000000"/>
          <w:u w:val="single"/>
        </w:rPr>
      </w:pPr>
      <w:r w:rsidRPr="00B73ACA">
        <w:rPr>
          <w:color w:val="000000"/>
          <w:u w:val="single"/>
        </w:rPr>
        <w:t xml:space="preserve">Η Auchan ανοίγει νέο κατάστημα </w:t>
      </w:r>
    </w:p>
    <w:p w:rsidR="00B73ACA" w:rsidRPr="00B73ACA" w:rsidRDefault="00B73ACA" w:rsidP="00B73ACA">
      <w:pPr>
        <w:jc w:val="both"/>
      </w:pPr>
      <w:r w:rsidRPr="00B73ACA">
        <w:t>Η γαλλική αλυσίδα υπεραγορών Auchan σχεδιάζει τ</w:t>
      </w:r>
      <w:r w:rsidR="006F6FB0">
        <w:t xml:space="preserve">ην κατασκευή </w:t>
      </w:r>
      <w:r w:rsidRPr="00B73ACA">
        <w:t>ενός νέου κέντρου διανομής κοντά στο αεροδρόμιο της Βουδαπέστης</w:t>
      </w:r>
      <w:r w:rsidR="006F6FB0">
        <w:t>.</w:t>
      </w:r>
      <w:r w:rsidRPr="00B73ACA">
        <w:t xml:space="preserve"> Το νέο</w:t>
      </w:r>
      <w:r w:rsidR="006F6FB0">
        <w:t xml:space="preserve"> διανεμητικό </w:t>
      </w:r>
      <w:r w:rsidRPr="00B73ACA">
        <w:t>κέντρο</w:t>
      </w:r>
      <w:r w:rsidR="006F6FB0">
        <w:t>,</w:t>
      </w:r>
      <w:r w:rsidRPr="00B73ACA">
        <w:t xml:space="preserve"> </w:t>
      </w:r>
      <w:r w:rsidR="006F6FB0" w:rsidRPr="00B73ACA">
        <w:t>έκτασης 87.200 m2</w:t>
      </w:r>
      <w:r w:rsidR="006F6FB0">
        <w:t>,</w:t>
      </w:r>
      <w:r w:rsidR="006F6FB0" w:rsidRPr="00B73ACA">
        <w:t xml:space="preserve">  </w:t>
      </w:r>
      <w:r w:rsidR="006F6FB0">
        <w:t xml:space="preserve">αποτελεί μέρος του στρατηγικού επιχειρησιακού σχεδιασμού της εταιρείας, η οποία αποβλέπει στην ανάπτυξη διαδικτυακών λιανικών πωλήσεων σε όλη την επικράτεια της Ουγγαρίας. Η εταιρεία δεν έχει ανακοινώσει το </w:t>
      </w:r>
      <w:r w:rsidRPr="00B73ACA">
        <w:t xml:space="preserve">οικονομικό κόστος της κατασκευής. Το έργο </w:t>
      </w:r>
      <w:r w:rsidR="006F6FB0">
        <w:t xml:space="preserve">αναμένεται να </w:t>
      </w:r>
      <w:r w:rsidRPr="00B73ACA">
        <w:t xml:space="preserve"> ολοκλ</w:t>
      </w:r>
      <w:r w:rsidR="006F6FB0">
        <w:t>ηρωθεί εντός του</w:t>
      </w:r>
      <w:r w:rsidRPr="00B73ACA">
        <w:t xml:space="preserve"> 2018. </w:t>
      </w:r>
    </w:p>
    <w:p w:rsidR="005D6B1D" w:rsidRDefault="005D6B1D" w:rsidP="002501D2">
      <w:pPr>
        <w:jc w:val="both"/>
      </w:pPr>
    </w:p>
    <w:p w:rsidR="004F3CF8" w:rsidRPr="004F3CF8" w:rsidRDefault="004F3CF8" w:rsidP="000E5A17">
      <w:pPr>
        <w:numPr>
          <w:ilvl w:val="0"/>
          <w:numId w:val="31"/>
        </w:numPr>
        <w:ind w:hanging="720"/>
        <w:jc w:val="both"/>
        <w:rPr>
          <w:u w:val="single"/>
        </w:rPr>
      </w:pPr>
      <w:r w:rsidRPr="004F3CF8">
        <w:rPr>
          <w:color w:val="000000"/>
          <w:u w:val="single"/>
        </w:rPr>
        <w:t xml:space="preserve">Συμφωνία Ουγγαρίας-Σερβίας-Βουλγαρίας με την </w:t>
      </w:r>
      <w:r w:rsidRPr="004F3CF8">
        <w:rPr>
          <w:u w:val="single"/>
        </w:rPr>
        <w:t>Gazprom</w:t>
      </w:r>
    </w:p>
    <w:p w:rsidR="000E5A17" w:rsidRPr="000E5A17" w:rsidRDefault="000E5A17" w:rsidP="004F3CF8">
      <w:pPr>
        <w:jc w:val="both"/>
      </w:pPr>
      <w:r>
        <w:t xml:space="preserve">Σύμφωνα με ανακοίνωση του ουγγρικού Υπουργείου Εξωτερικών και Εμπορίου, Σερβία, </w:t>
      </w:r>
      <w:r w:rsidR="004F3CF8">
        <w:t xml:space="preserve">Βουλγαρία και Ουγγαρία συνυπέγραψαν συμφωνία </w:t>
      </w:r>
      <w:r w:rsidR="004F3CF8" w:rsidRPr="000E5A17">
        <w:t>μεταφορά</w:t>
      </w:r>
      <w:r w:rsidR="004F3CF8">
        <w:t>ς</w:t>
      </w:r>
      <w:r w:rsidR="004F3CF8" w:rsidRPr="000E5A17">
        <w:t xml:space="preserve"> φυσικού αερίου</w:t>
      </w:r>
      <w:r w:rsidR="004F3CF8">
        <w:t xml:space="preserve"> με την ρωσική </w:t>
      </w:r>
      <w:r w:rsidR="004F3CF8" w:rsidRPr="000E5A17">
        <w:t xml:space="preserve"> εταιρεία Gazprom. </w:t>
      </w:r>
      <w:r w:rsidRPr="000E5A17">
        <w:t xml:space="preserve">Στο πλαίσιο της συμφωνίας </w:t>
      </w:r>
      <w:r w:rsidR="004F3CF8">
        <w:t>αυτής,</w:t>
      </w:r>
      <w:r w:rsidR="004F3CF8" w:rsidRPr="000E5A17">
        <w:t xml:space="preserve"> </w:t>
      </w:r>
      <w:r w:rsidRPr="000E5A17">
        <w:t>η Ουγγαρία</w:t>
      </w:r>
      <w:r w:rsidR="004F3CF8">
        <w:t xml:space="preserve">, από τα τέλη του 2019, θα έχει τη δυνατότητα να λαμβάνει ετησίως </w:t>
      </w:r>
      <w:r w:rsidRPr="000E5A17">
        <w:t>6</w:t>
      </w:r>
      <w:r w:rsidR="004F3CF8">
        <w:t>-</w:t>
      </w:r>
      <w:r w:rsidRPr="000E5A17">
        <w:t>8 δις κυβικά μέτρα φυσι</w:t>
      </w:r>
      <w:r w:rsidR="004F3CF8">
        <w:t>κού αερίου, μέσω της βαλκανικής οδού</w:t>
      </w:r>
      <w:r w:rsidRPr="000E5A17">
        <w:t>.</w:t>
      </w:r>
    </w:p>
    <w:p w:rsidR="000E5A17" w:rsidRDefault="000E5A17" w:rsidP="002501D2">
      <w:pPr>
        <w:jc w:val="both"/>
      </w:pPr>
    </w:p>
    <w:p w:rsidR="00A4184F" w:rsidRPr="00A4184F" w:rsidRDefault="00A4184F" w:rsidP="00BD6B5E">
      <w:pPr>
        <w:numPr>
          <w:ilvl w:val="0"/>
          <w:numId w:val="31"/>
        </w:numPr>
        <w:ind w:hanging="720"/>
        <w:jc w:val="both"/>
        <w:rPr>
          <w:color w:val="000000"/>
          <w:u w:val="single"/>
        </w:rPr>
      </w:pPr>
      <w:r>
        <w:rPr>
          <w:color w:val="000000"/>
          <w:u w:val="single"/>
        </w:rPr>
        <w:t>Μ</w:t>
      </w:r>
      <w:r w:rsidRPr="00A4184F">
        <w:rPr>
          <w:color w:val="000000"/>
          <w:u w:val="single"/>
        </w:rPr>
        <w:t>είωση της εξάρτησης από το ρωσικό φυσικό αέριο</w:t>
      </w:r>
      <w:r>
        <w:rPr>
          <w:color w:val="000000"/>
          <w:u w:val="single"/>
        </w:rPr>
        <w:t xml:space="preserve"> επιδιώκει η </w:t>
      </w:r>
      <w:r w:rsidR="00BD6B5E">
        <w:rPr>
          <w:color w:val="000000"/>
          <w:u w:val="single"/>
        </w:rPr>
        <w:t>Ουγγαρία</w:t>
      </w:r>
    </w:p>
    <w:p w:rsidR="00A4184F" w:rsidRPr="00DE2F95" w:rsidRDefault="00A4184F" w:rsidP="00A4184F">
      <w:pPr>
        <w:jc w:val="both"/>
      </w:pPr>
      <w:r w:rsidRPr="00DE2F95">
        <w:t xml:space="preserve">Ο </w:t>
      </w:r>
      <w:r>
        <w:t xml:space="preserve">επικεφαλής του Γραφείου του Πρωθυπουργού, κ. </w:t>
      </w:r>
      <w:r w:rsidRPr="00DE2F95">
        <w:t xml:space="preserve">János Lázár </w:t>
      </w:r>
      <w:r>
        <w:t>δήλωσε ότι η μείωση της εξάρτησης της Ουγγαρίας από το ρωσικό φυσικό αέριο θα ενισχύσει σημαντικά την ανεξαρτησία της Ουγγαρίας. Σ</w:t>
      </w:r>
      <w:r w:rsidRPr="00DE2F95">
        <w:t xml:space="preserve">ημαντικό μέρος του φυσικού αερίου που </w:t>
      </w:r>
      <w:r>
        <w:t xml:space="preserve">προορίζεται για οικιακή χρήση, προέρχεται </w:t>
      </w:r>
      <w:r w:rsidRPr="00DE2F95">
        <w:t>από την Ρωσία</w:t>
      </w:r>
      <w:r>
        <w:t xml:space="preserve">, πρόσθεσε ο κ. </w:t>
      </w:r>
      <w:r w:rsidRPr="00DE2F95">
        <w:t>Lázár</w:t>
      </w:r>
      <w:r>
        <w:t xml:space="preserve">, τονίζοντας ότι η Κυβέρνηση προτίθεται να αναλάβει δράση προκειμένου να μειώσει την εξάρτηση της χώρας από την Ρωσία. Σύμφωνα με τον κ. </w:t>
      </w:r>
      <w:r w:rsidRPr="00DE2F95">
        <w:t>Lázár</w:t>
      </w:r>
      <w:r>
        <w:t xml:space="preserve">, αυτό μπορεί να επιτευχθεί με τρεις τρόπους: α) </w:t>
      </w:r>
      <w:r w:rsidRPr="00DE2F95">
        <w:t xml:space="preserve">προμήθεια φυσικού αερίου </w:t>
      </w:r>
      <w:r w:rsidR="00E12505">
        <w:t xml:space="preserve">και από άλλες χώρες και μεταφορά του μέσω του από πολλά έτη κατασκευασμένου αγωγού Σλοβακίας-Ουγγαρίας, β) </w:t>
      </w:r>
      <w:r w:rsidRPr="00DE2F95">
        <w:t>χρήση του</w:t>
      </w:r>
      <w:r w:rsidR="00E12505">
        <w:t xml:space="preserve"> υπο κατασκευή</w:t>
      </w:r>
      <w:r w:rsidRPr="00DE2F95">
        <w:t xml:space="preserve"> </w:t>
      </w:r>
      <w:r w:rsidR="00E12505" w:rsidRPr="00DE2F95">
        <w:t xml:space="preserve">στην Κροατία </w:t>
      </w:r>
      <w:r w:rsidRPr="00DE2F95">
        <w:t>σταθμού υγροποιημένου φυσικού αερίου</w:t>
      </w:r>
      <w:r w:rsidR="00E12505" w:rsidRPr="00E12505">
        <w:t xml:space="preserve"> </w:t>
      </w:r>
      <w:r w:rsidR="00E12505">
        <w:t>(</w:t>
      </w:r>
      <w:r w:rsidR="00E12505" w:rsidRPr="00A4184F">
        <w:rPr>
          <w:lang w:val="en-US"/>
        </w:rPr>
        <w:t>LNG</w:t>
      </w:r>
      <w:r w:rsidR="00E12505">
        <w:t>), ο οποίος θα τροφοδοτείται με φυσικό αέριο προέλευσης ΗΠΑ</w:t>
      </w:r>
      <w:r w:rsidRPr="00DE2F95">
        <w:t xml:space="preserve"> </w:t>
      </w:r>
      <w:r w:rsidR="00E12505">
        <w:t xml:space="preserve">και γ) προμήθεια </w:t>
      </w:r>
      <w:r w:rsidRPr="00DE2F95">
        <w:t>φυσικ</w:t>
      </w:r>
      <w:r w:rsidR="00E12505">
        <w:t xml:space="preserve">ού αερίου </w:t>
      </w:r>
      <w:r w:rsidRPr="00DE2F95">
        <w:t>από την Ρουμα</w:t>
      </w:r>
      <w:r w:rsidR="00BD7F48">
        <w:t xml:space="preserve">νία, από τις εταιρείες </w:t>
      </w:r>
      <w:r w:rsidR="00BD7F48" w:rsidRPr="00A4184F">
        <w:rPr>
          <w:lang w:val="en-US"/>
        </w:rPr>
        <w:t>Exxon</w:t>
      </w:r>
      <w:r w:rsidR="00BD7F48">
        <w:t xml:space="preserve"> και </w:t>
      </w:r>
      <w:r w:rsidR="00BD7F48" w:rsidRPr="00A4184F">
        <w:rPr>
          <w:lang w:val="en-US"/>
        </w:rPr>
        <w:t>OMV</w:t>
      </w:r>
      <w:r w:rsidR="00BD7F48">
        <w:t xml:space="preserve"> και μεταφορά του μέσω του αγωγού Ουγγαρίας-Ρουμανίας.</w:t>
      </w:r>
    </w:p>
    <w:p w:rsidR="00A4184F" w:rsidRDefault="00A4184F" w:rsidP="00A4184F">
      <w:pPr>
        <w:jc w:val="both"/>
      </w:pPr>
    </w:p>
    <w:p w:rsidR="001D1637" w:rsidRDefault="001D1637" w:rsidP="00A4184F">
      <w:pPr>
        <w:jc w:val="both"/>
      </w:pPr>
    </w:p>
    <w:p w:rsidR="001D1637" w:rsidRPr="001D1637" w:rsidRDefault="001D1637" w:rsidP="001D1637">
      <w:pPr>
        <w:numPr>
          <w:ilvl w:val="0"/>
          <w:numId w:val="31"/>
        </w:numPr>
        <w:ind w:hanging="720"/>
        <w:jc w:val="both"/>
        <w:rPr>
          <w:color w:val="000000"/>
          <w:u w:val="single"/>
        </w:rPr>
      </w:pPr>
      <w:r w:rsidRPr="001D1637">
        <w:rPr>
          <w:color w:val="000000"/>
          <w:u w:val="single"/>
        </w:rPr>
        <w:t>Επιφυλάξεις Ουγγαρίας για Εμπορική Συμφωνία Ε.Ε.-Mercosur</w:t>
      </w:r>
    </w:p>
    <w:p w:rsidR="001D1637" w:rsidRPr="00DE2F95" w:rsidRDefault="001D1637" w:rsidP="001D1637">
      <w:pPr>
        <w:jc w:val="both"/>
      </w:pPr>
      <w:r>
        <w:t>Με δήλωσή του στον Τύπο, ο</w:t>
      </w:r>
      <w:r w:rsidRPr="00DE2F95">
        <w:t xml:space="preserve"> </w:t>
      </w:r>
      <w:r>
        <w:t>Ούγγρος Υ</w:t>
      </w:r>
      <w:r w:rsidRPr="00DE2F95">
        <w:t xml:space="preserve">πουργός </w:t>
      </w:r>
      <w:r>
        <w:t>Γ</w:t>
      </w:r>
      <w:r w:rsidRPr="00DE2F95">
        <w:t>εωργίας</w:t>
      </w:r>
      <w:r>
        <w:t>,</w:t>
      </w:r>
      <w:r w:rsidRPr="00DE2F95">
        <w:t xml:space="preserve"> </w:t>
      </w:r>
      <w:r>
        <w:t xml:space="preserve">κ. </w:t>
      </w:r>
      <w:r w:rsidRPr="00DE2F95">
        <w:t>Sándor Fazekas</w:t>
      </w:r>
      <w:r>
        <w:t>,</w:t>
      </w:r>
      <w:r w:rsidRPr="00DE2F95">
        <w:t xml:space="preserve"> </w:t>
      </w:r>
      <w:r>
        <w:t xml:space="preserve">χαρακτήρισε ριψοκίνδυνη και πιθανόν επιζήμια για τον αγροτικό τομέα της Ουγγαρίας μια </w:t>
      </w:r>
      <w:r w:rsidRPr="00DE2F95">
        <w:t xml:space="preserve">πιθανή </w:t>
      </w:r>
      <w:r>
        <w:t>Συμφωνία Ελευθέρου Ε</w:t>
      </w:r>
      <w:r w:rsidRPr="00DE2F95">
        <w:t xml:space="preserve">μπορίου </w:t>
      </w:r>
      <w:r>
        <w:t xml:space="preserve">Ε.Ε. με τις χώρες </w:t>
      </w:r>
      <w:r w:rsidRPr="00DE2F95">
        <w:t>Mercosur</w:t>
      </w:r>
      <w:r>
        <w:t xml:space="preserve"> (</w:t>
      </w:r>
      <w:r w:rsidRPr="00DE2F95">
        <w:t xml:space="preserve">Αργεντινή, Βραζιλία, Παραγουάη και Ουρουγουάη). Η Ουγγαρία δεν θα υποστηρίξει </w:t>
      </w:r>
      <w:r>
        <w:t>Εμπορική Σ</w:t>
      </w:r>
      <w:r w:rsidRPr="00DE2F95">
        <w:t xml:space="preserve">υμφωνία </w:t>
      </w:r>
      <w:r>
        <w:t>που θα επιτρέπει την αθρόα εισαγωγή των αγροτικών προϊόντων της Λατ. Αμερικής στην Ε.Ε.</w:t>
      </w:r>
      <w:r>
        <w:rPr>
          <w:lang w:val="hu-HU"/>
        </w:rPr>
        <w:t xml:space="preserve"> </w:t>
      </w:r>
      <w:r>
        <w:t xml:space="preserve">σε τιμές χαμηλότερες του </w:t>
      </w:r>
      <w:r>
        <w:lastRenderedPageBreak/>
        <w:t>κόστους</w:t>
      </w:r>
      <w:r w:rsidRPr="00DE2F95">
        <w:t>.</w:t>
      </w:r>
      <w:r>
        <w:t xml:space="preserve"> Μια πιθανή Εμπορική Συμφωνία Ε.Ε. – </w:t>
      </w:r>
      <w:r w:rsidRPr="00DE2F95">
        <w:t>Mercosur</w:t>
      </w:r>
      <w:r>
        <w:t xml:space="preserve"> θα δημιουργούσε εξαιρετικά σκληρές συνθήκες ανταγωνισμού για χοιροτρόφους, πτηνοτρόφους, μελισσουργούς και καλλιεργητές αραβόσιτου και πρώτης ύλης για παραγωγή βιοκαυσίμων.</w:t>
      </w:r>
      <w:r w:rsidR="001B4CA0" w:rsidRPr="001B4CA0">
        <w:t xml:space="preserve"> </w:t>
      </w:r>
      <w:r w:rsidR="001B4CA0">
        <w:t>Οι</w:t>
      </w:r>
      <w:r w:rsidR="001B4CA0" w:rsidRPr="001D1637">
        <w:t xml:space="preserve"> </w:t>
      </w:r>
      <w:r w:rsidR="001B4CA0">
        <w:t>αγρότες</w:t>
      </w:r>
      <w:r w:rsidR="001B4CA0" w:rsidRPr="001D1637">
        <w:t xml:space="preserve"> </w:t>
      </w:r>
      <w:r w:rsidR="001B4CA0">
        <w:t>της</w:t>
      </w:r>
      <w:r w:rsidR="001B4CA0" w:rsidRPr="001D1637">
        <w:t xml:space="preserve"> </w:t>
      </w:r>
      <w:r w:rsidR="001B4CA0">
        <w:t>Ν</w:t>
      </w:r>
      <w:r w:rsidR="001B4CA0" w:rsidRPr="001D1637">
        <w:t xml:space="preserve">. </w:t>
      </w:r>
      <w:r w:rsidR="001B4CA0">
        <w:t>Αμερικής</w:t>
      </w:r>
      <w:r w:rsidR="001B4CA0" w:rsidRPr="001D1637">
        <w:t xml:space="preserve"> </w:t>
      </w:r>
      <w:r w:rsidR="001B4CA0">
        <w:t>αντιμετωπίζουν</w:t>
      </w:r>
      <w:r w:rsidR="001B4CA0" w:rsidRPr="001D1637">
        <w:t xml:space="preserve"> </w:t>
      </w:r>
      <w:r w:rsidR="001B4CA0">
        <w:t>λιγότερους</w:t>
      </w:r>
      <w:r w:rsidR="001B4CA0" w:rsidRPr="001D1637">
        <w:t xml:space="preserve"> </w:t>
      </w:r>
      <w:r w:rsidR="001B4CA0">
        <w:t>περιορισμούς</w:t>
      </w:r>
      <w:r w:rsidR="001B4CA0" w:rsidRPr="001D1637">
        <w:t xml:space="preserve"> </w:t>
      </w:r>
      <w:r w:rsidR="001B4CA0">
        <w:t>και</w:t>
      </w:r>
      <w:r w:rsidR="001B4CA0" w:rsidRPr="001D1637">
        <w:t xml:space="preserve"> </w:t>
      </w:r>
      <w:r w:rsidR="001B4CA0">
        <w:t>κανονισμούς</w:t>
      </w:r>
      <w:r w:rsidR="001B4CA0" w:rsidRPr="001D1637">
        <w:t xml:space="preserve">, </w:t>
      </w:r>
      <w:r w:rsidR="001B4CA0">
        <w:t>έχουν</w:t>
      </w:r>
      <w:r w:rsidR="001B4CA0" w:rsidRPr="001D1637">
        <w:t xml:space="preserve"> </w:t>
      </w:r>
      <w:r w:rsidR="001B4CA0">
        <w:t>φθηνό</w:t>
      </w:r>
      <w:r w:rsidR="001B4CA0" w:rsidRPr="001D1637">
        <w:t xml:space="preserve"> </w:t>
      </w:r>
      <w:r w:rsidR="001B4CA0">
        <w:t>εργατικό</w:t>
      </w:r>
      <w:r w:rsidR="001B4CA0" w:rsidRPr="001D1637">
        <w:t xml:space="preserve"> </w:t>
      </w:r>
      <w:r w:rsidR="001B4CA0">
        <w:t>δυναμικό</w:t>
      </w:r>
      <w:r w:rsidR="001B4CA0" w:rsidRPr="001D1637">
        <w:t xml:space="preserve"> </w:t>
      </w:r>
      <w:r w:rsidR="001B4CA0">
        <w:t>και</w:t>
      </w:r>
      <w:r w:rsidR="001B4CA0" w:rsidRPr="001D1637">
        <w:t xml:space="preserve"> </w:t>
      </w:r>
      <w:r w:rsidR="001B4CA0">
        <w:t>εξαιρετικά</w:t>
      </w:r>
      <w:r w:rsidR="001B4CA0" w:rsidRPr="001D1637">
        <w:t xml:space="preserve"> </w:t>
      </w:r>
      <w:r w:rsidR="001B4CA0">
        <w:t>ευνοϊκό</w:t>
      </w:r>
      <w:r w:rsidR="001B4CA0" w:rsidRPr="001D1637">
        <w:t xml:space="preserve"> </w:t>
      </w:r>
      <w:r w:rsidR="001B4CA0">
        <w:t>κλίμα</w:t>
      </w:r>
      <w:r w:rsidR="001B4CA0" w:rsidRPr="001D1637">
        <w:t xml:space="preserve"> </w:t>
      </w:r>
      <w:r w:rsidR="001B4CA0">
        <w:t>για</w:t>
      </w:r>
      <w:r w:rsidR="001B4CA0" w:rsidRPr="001D1637">
        <w:t xml:space="preserve"> </w:t>
      </w:r>
      <w:r w:rsidR="001B4CA0">
        <w:t>καλλιέργειες. Τέλος</w:t>
      </w:r>
      <w:r w:rsidR="001B4CA0" w:rsidRPr="001D1637">
        <w:t xml:space="preserve">, </w:t>
      </w:r>
      <w:r w:rsidR="001B4CA0">
        <w:t>ο</w:t>
      </w:r>
      <w:r w:rsidR="001B4CA0" w:rsidRPr="001D1637">
        <w:t xml:space="preserve"> </w:t>
      </w:r>
      <w:r w:rsidR="001B4CA0">
        <w:t>Ούγγρος</w:t>
      </w:r>
      <w:r w:rsidR="001B4CA0" w:rsidRPr="001D1637">
        <w:t xml:space="preserve"> </w:t>
      </w:r>
      <w:r w:rsidR="001B4CA0">
        <w:t>Υπουργός</w:t>
      </w:r>
      <w:r w:rsidR="001B4CA0" w:rsidRPr="001D1637">
        <w:t xml:space="preserve"> </w:t>
      </w:r>
      <w:r w:rsidR="001B4CA0">
        <w:t>τόνισε</w:t>
      </w:r>
      <w:r w:rsidR="001B4CA0" w:rsidRPr="001D1637">
        <w:t xml:space="preserve"> </w:t>
      </w:r>
      <w:r w:rsidR="001B4CA0">
        <w:t>ότι</w:t>
      </w:r>
      <w:r w:rsidR="001B4CA0" w:rsidRPr="001D1637">
        <w:t xml:space="preserve"> </w:t>
      </w:r>
      <w:r w:rsidR="001B4CA0">
        <w:t>την</w:t>
      </w:r>
      <w:r w:rsidR="001B4CA0" w:rsidRPr="001D1637">
        <w:t xml:space="preserve"> </w:t>
      </w:r>
      <w:r w:rsidR="001B4CA0">
        <w:t>πρόταση</w:t>
      </w:r>
      <w:r w:rsidR="001B4CA0" w:rsidRPr="001D1637">
        <w:t xml:space="preserve"> </w:t>
      </w:r>
      <w:r w:rsidR="001B4CA0">
        <w:t>Εμπορικής</w:t>
      </w:r>
      <w:r w:rsidR="001B4CA0" w:rsidRPr="001D1637">
        <w:t xml:space="preserve"> </w:t>
      </w:r>
      <w:r w:rsidR="001B4CA0">
        <w:t>Συμφωνίας</w:t>
      </w:r>
      <w:r w:rsidR="001B4CA0" w:rsidRPr="001D1637">
        <w:t xml:space="preserve"> </w:t>
      </w:r>
      <w:r w:rsidR="001B4CA0">
        <w:t xml:space="preserve">Ε.Ε. – </w:t>
      </w:r>
      <w:r w:rsidR="001B4CA0" w:rsidRPr="00DE2F95">
        <w:t>Mercosur</w:t>
      </w:r>
      <w:r w:rsidR="001B4CA0">
        <w:t>, προωθούν εκείνα τα κ-μ της Ε.Ε.</w:t>
      </w:r>
      <w:r w:rsidR="001B4CA0" w:rsidRPr="001D1637">
        <w:t xml:space="preserve"> </w:t>
      </w:r>
      <w:r w:rsidR="001B4CA0">
        <w:t>που έχουν ισχυρή βιομηχανική παραγωγή και θα ωφεληθούν τις εξαγωγές βιομηχανοποιημένων προϊόντων στην Λατ. Αμερική</w:t>
      </w:r>
      <w:r w:rsidR="001B4CA0" w:rsidRPr="001D1637">
        <w:rPr>
          <w:lang w:val="en-US"/>
        </w:rPr>
        <w:t>.</w:t>
      </w:r>
    </w:p>
    <w:p w:rsidR="001D1637" w:rsidRPr="00DE2F95" w:rsidRDefault="001D1637" w:rsidP="001D1637">
      <w:pPr>
        <w:jc w:val="both"/>
      </w:pPr>
    </w:p>
    <w:p w:rsidR="00622D44" w:rsidRPr="00622D44" w:rsidRDefault="00622D44" w:rsidP="00622D44">
      <w:pPr>
        <w:numPr>
          <w:ilvl w:val="0"/>
          <w:numId w:val="31"/>
        </w:numPr>
        <w:ind w:hanging="72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Νέο ερευνητικό κέντρο της </w:t>
      </w:r>
      <w:r w:rsidRPr="00622D44">
        <w:rPr>
          <w:color w:val="000000"/>
          <w:u w:val="single"/>
        </w:rPr>
        <w:t xml:space="preserve">Hyundai Electric </w:t>
      </w:r>
    </w:p>
    <w:p w:rsidR="00622D44" w:rsidRPr="00DE2F95" w:rsidRDefault="00622D44" w:rsidP="00622D44">
      <w:pPr>
        <w:autoSpaceDE w:val="0"/>
        <w:autoSpaceDN w:val="0"/>
        <w:adjustRightInd w:val="0"/>
        <w:jc w:val="both"/>
      </w:pPr>
      <w:r w:rsidRPr="00DE2F95">
        <w:t xml:space="preserve">Η </w:t>
      </w:r>
      <w:r>
        <w:t>Κορεατική εταιρεία</w:t>
      </w:r>
      <w:r w:rsidRPr="00DE2F95">
        <w:t xml:space="preserve"> ανακοίνωσε τ</w:t>
      </w:r>
      <w:r>
        <w:t xml:space="preserve">η δημιουργία </w:t>
      </w:r>
      <w:r w:rsidRPr="00DE2F95">
        <w:t>ενός νέου ερευ</w:t>
      </w:r>
      <w:r>
        <w:t xml:space="preserve">νητικού κέντρου στην Βουδαπέστη, με την ένωση δύο υφιστάμενων μονάδων σε κοινό κτίριο </w:t>
      </w:r>
      <w:r w:rsidRPr="00DE2F95">
        <w:t xml:space="preserve">2.500 </w:t>
      </w:r>
      <w:r>
        <w:t>τ.μ.</w:t>
      </w:r>
      <w:r w:rsidRPr="00DE2F95">
        <w:rPr>
          <w:color w:val="FF0000"/>
        </w:rPr>
        <w:t xml:space="preserve"> </w:t>
      </w:r>
      <w:r w:rsidRPr="00DE2F95">
        <w:t xml:space="preserve">Το </w:t>
      </w:r>
      <w:r>
        <w:t>ερευνητικό κέντρο θα ονομάζεται "</w:t>
      </w:r>
      <w:r w:rsidRPr="00622D44">
        <w:rPr>
          <w:lang w:val="en-US"/>
        </w:rPr>
        <w:t>Hyundai</w:t>
      </w:r>
      <w:r w:rsidRPr="00622D44">
        <w:t xml:space="preserve"> </w:t>
      </w:r>
      <w:r w:rsidRPr="00622D44">
        <w:rPr>
          <w:lang w:val="en-US"/>
        </w:rPr>
        <w:t>Technologies</w:t>
      </w:r>
      <w:r w:rsidRPr="00622D44">
        <w:t xml:space="preserve"> </w:t>
      </w:r>
      <w:r w:rsidRPr="00622D44">
        <w:rPr>
          <w:lang w:val="en-US"/>
        </w:rPr>
        <w:t>Center</w:t>
      </w:r>
      <w:r>
        <w:t xml:space="preserve">» και θα εξελίσσει, δοκιμάζει και παράγει </w:t>
      </w:r>
      <w:r w:rsidRPr="00622D44">
        <w:t xml:space="preserve"> </w:t>
      </w:r>
      <w:r w:rsidRPr="00DE2F95">
        <w:t>συσκευές μικρ</w:t>
      </w:r>
      <w:r>
        <w:t xml:space="preserve">οδικτύων, όπως π.χ. </w:t>
      </w:r>
      <w:r w:rsidRPr="00DE2F95">
        <w:t>μετα</w:t>
      </w:r>
      <w:r>
        <w:t xml:space="preserve">σχηματιστές </w:t>
      </w:r>
      <w:r w:rsidR="004F105F">
        <w:t xml:space="preserve">κατάλληλους </w:t>
      </w:r>
      <w:r w:rsidRPr="00DE2F95">
        <w:t xml:space="preserve">για χρήση ανανεώσιμων πηγών ενέργειας από μικρές κοινότητες και εταιρείες. </w:t>
      </w:r>
    </w:p>
    <w:p w:rsidR="001D1637" w:rsidRPr="003B0671" w:rsidRDefault="001D1637" w:rsidP="00A4184F">
      <w:pPr>
        <w:jc w:val="both"/>
      </w:pPr>
    </w:p>
    <w:p w:rsidR="001D1637" w:rsidRPr="003B0671" w:rsidRDefault="001D1637" w:rsidP="00A4184F">
      <w:pPr>
        <w:jc w:val="both"/>
      </w:pPr>
    </w:p>
    <w:p w:rsidR="00827BB6" w:rsidRPr="003B0671" w:rsidRDefault="00827BB6" w:rsidP="00F91EF4">
      <w:pPr>
        <w:pStyle w:val="a5"/>
        <w:tabs>
          <w:tab w:val="clear" w:pos="4320"/>
          <w:tab w:val="clear" w:pos="8640"/>
        </w:tabs>
        <w:jc w:val="center"/>
        <w:rPr>
          <w:rFonts w:ascii="Arial" w:eastAsia="MS Mincho" w:hAnsi="Arial"/>
          <w:b/>
          <w:bCs/>
          <w:szCs w:val="20"/>
        </w:rPr>
      </w:pPr>
    </w:p>
    <w:p w:rsidR="00F91EF4" w:rsidRDefault="00F91EF4" w:rsidP="00F91EF4">
      <w:pPr>
        <w:pStyle w:val="a5"/>
        <w:tabs>
          <w:tab w:val="clear" w:pos="4320"/>
          <w:tab w:val="clear" w:pos="8640"/>
        </w:tabs>
        <w:jc w:val="center"/>
        <w:rPr>
          <w:rFonts w:ascii="Arial" w:eastAsia="MS Mincho" w:hAnsi="Arial"/>
          <w:b/>
          <w:bCs/>
          <w:szCs w:val="20"/>
          <w:lang w:val="en-US"/>
        </w:rPr>
      </w:pPr>
      <w:r w:rsidRPr="00F91EF4">
        <w:rPr>
          <w:rFonts w:ascii="Arial" w:eastAsia="MS Mincho" w:hAnsi="Arial"/>
          <w:b/>
          <w:bCs/>
          <w:szCs w:val="20"/>
          <w:lang w:val="en-US"/>
        </w:rPr>
        <w:t xml:space="preserve">ΙΙΙ.    </w:t>
      </w:r>
    </w:p>
    <w:p w:rsidR="00F91EF4" w:rsidRPr="00F91EF4" w:rsidRDefault="00F91EF4" w:rsidP="00F91EF4">
      <w:pPr>
        <w:pStyle w:val="a5"/>
        <w:tabs>
          <w:tab w:val="clear" w:pos="4320"/>
          <w:tab w:val="clear" w:pos="8640"/>
        </w:tabs>
        <w:jc w:val="center"/>
        <w:rPr>
          <w:rFonts w:ascii="Arial" w:eastAsia="MS Mincho" w:hAnsi="Arial"/>
          <w:b/>
          <w:bCs/>
          <w:szCs w:val="20"/>
          <w:lang w:val="en-US"/>
        </w:rPr>
      </w:pPr>
      <w:r w:rsidRPr="00F91EF4">
        <w:rPr>
          <w:rFonts w:ascii="Arial" w:eastAsia="MS Mincho" w:hAnsi="Arial"/>
          <w:b/>
          <w:bCs/>
          <w:szCs w:val="20"/>
          <w:lang w:val="en-US"/>
        </w:rPr>
        <w:t>Διεθνείς Εκθέσεις</w:t>
      </w:r>
    </w:p>
    <w:p w:rsidR="00F91EF4" w:rsidRDefault="00F91EF4" w:rsidP="00AA68C5">
      <w:pPr>
        <w:jc w:val="both"/>
      </w:pPr>
    </w:p>
    <w:p w:rsidR="00C51F0F" w:rsidRPr="00C51F0F" w:rsidRDefault="00C51F0F" w:rsidP="00AA68C5">
      <w:pPr>
        <w:jc w:val="both"/>
      </w:pPr>
    </w:p>
    <w:p w:rsidR="00F91EF4" w:rsidRPr="009C071B" w:rsidRDefault="009C071B" w:rsidP="00EE6E47">
      <w:pPr>
        <w:numPr>
          <w:ilvl w:val="0"/>
          <w:numId w:val="41"/>
        </w:numPr>
        <w:jc w:val="both"/>
        <w:rPr>
          <w:b/>
          <w:bCs/>
          <w:u w:val="single"/>
          <w:lang w:val="en-US"/>
        </w:rPr>
      </w:pPr>
      <w:r w:rsidRPr="009C071B">
        <w:rPr>
          <w:b/>
          <w:bCs/>
          <w:u w:val="single"/>
          <w:lang w:val="en-US"/>
        </w:rPr>
        <w:t xml:space="preserve">AMTS </w:t>
      </w:r>
      <w:r>
        <w:rPr>
          <w:b/>
          <w:bCs/>
          <w:u w:val="single"/>
          <w:lang w:val="en-US"/>
        </w:rPr>
        <w:t>Automobil and Tuning Show</w:t>
      </w:r>
      <w:r w:rsidRPr="009C071B">
        <w:rPr>
          <w:bCs/>
          <w:lang w:val="en-US"/>
        </w:rPr>
        <w:t>, (</w:t>
      </w:r>
      <w:r>
        <w:rPr>
          <w:bCs/>
          <w:lang w:val="en-US"/>
        </w:rPr>
        <w:t>23</w:t>
      </w:r>
      <w:r w:rsidR="00AD7BE8" w:rsidRPr="009C071B">
        <w:rPr>
          <w:bCs/>
          <w:lang w:val="en-US"/>
        </w:rPr>
        <w:t>-2</w:t>
      </w:r>
      <w:r>
        <w:rPr>
          <w:bCs/>
          <w:lang w:val="en-US"/>
        </w:rPr>
        <w:t>5</w:t>
      </w:r>
      <w:r w:rsidRPr="009C071B">
        <w:rPr>
          <w:bCs/>
          <w:lang w:val="en-US"/>
        </w:rPr>
        <w:t xml:space="preserve"> </w:t>
      </w:r>
      <w:r>
        <w:rPr>
          <w:bCs/>
        </w:rPr>
        <w:t>Μαρτίου</w:t>
      </w:r>
      <w:r w:rsidR="00AD7BE8" w:rsidRPr="009C071B">
        <w:rPr>
          <w:bCs/>
          <w:lang w:val="en-US"/>
        </w:rPr>
        <w:t xml:space="preserve"> 2018)</w:t>
      </w:r>
    </w:p>
    <w:p w:rsidR="00627898" w:rsidRDefault="00AD7BE8" w:rsidP="00EE6E47">
      <w:pPr>
        <w:ind w:left="720"/>
        <w:jc w:val="both"/>
        <w:rPr>
          <w:bCs/>
        </w:rPr>
      </w:pPr>
      <w:r w:rsidRPr="00AD7BE8">
        <w:rPr>
          <w:bCs/>
        </w:rPr>
        <w:t>Διεθνής Έκθεση</w:t>
      </w:r>
      <w:r w:rsidR="009C071B">
        <w:rPr>
          <w:bCs/>
        </w:rPr>
        <w:t xml:space="preserve"> Αυτοκινήτου</w:t>
      </w:r>
      <w:r w:rsidRPr="00AD7BE8">
        <w:rPr>
          <w:bCs/>
        </w:rPr>
        <w:t xml:space="preserve"> </w:t>
      </w:r>
      <w:r>
        <w:rPr>
          <w:bCs/>
        </w:rPr>
        <w:t>.</w:t>
      </w:r>
    </w:p>
    <w:p w:rsidR="009C071B" w:rsidRDefault="009C071B" w:rsidP="009C071B">
      <w:pPr>
        <w:ind w:left="720"/>
        <w:jc w:val="both"/>
        <w:rPr>
          <w:b/>
        </w:rPr>
      </w:pPr>
      <w:r w:rsidRPr="00EC15B8">
        <w:rPr>
          <w:rStyle w:val="4Char"/>
          <w:color w:val="017A06"/>
          <w:shd w:val="clear" w:color="auto" w:fill="FFFFFF"/>
          <w:lang w:val="el-GR"/>
        </w:rPr>
        <w:t>Διοργανωτές:</w:t>
      </w:r>
      <w:r w:rsidRPr="00EC15B8">
        <w:rPr>
          <w:b/>
        </w:rPr>
        <w:t xml:space="preserve"> Hungexpo C.Co. Ltd.</w:t>
      </w:r>
    </w:p>
    <w:p w:rsidR="009C071B" w:rsidRPr="00EC15B8" w:rsidRDefault="009C071B" w:rsidP="009C071B">
      <w:pPr>
        <w:ind w:left="720"/>
        <w:jc w:val="both"/>
        <w:rPr>
          <w:bCs/>
          <w:lang w:val="en-US"/>
        </w:rPr>
      </w:pPr>
      <w:r w:rsidRPr="00EC15B8">
        <w:rPr>
          <w:b/>
        </w:rPr>
        <w:t>Διεύθυνση</w:t>
      </w:r>
      <w:r w:rsidRPr="00EC15B8">
        <w:rPr>
          <w:b/>
          <w:lang w:val="en-US"/>
        </w:rPr>
        <w:t>:</w:t>
      </w:r>
      <w:r w:rsidRPr="00EC15B8">
        <w:rPr>
          <w:bCs/>
          <w:lang w:val="en-US"/>
        </w:rPr>
        <w:t> H-1101 Budapest Albertirsai út 10.</w:t>
      </w:r>
    </w:p>
    <w:p w:rsidR="009C071B" w:rsidRPr="00EC15B8" w:rsidRDefault="009C071B" w:rsidP="009C071B">
      <w:pPr>
        <w:ind w:left="720"/>
        <w:jc w:val="both"/>
        <w:rPr>
          <w:bCs/>
          <w:lang w:val="en-US"/>
        </w:rPr>
      </w:pPr>
      <w:r w:rsidRPr="00EC15B8">
        <w:rPr>
          <w:b/>
          <w:lang w:val="en-US"/>
        </w:rPr>
        <w:t>T</w:t>
      </w:r>
      <w:r w:rsidRPr="00EC15B8">
        <w:rPr>
          <w:b/>
        </w:rPr>
        <w:t>ηλ</w:t>
      </w:r>
      <w:r w:rsidRPr="00EC15B8">
        <w:rPr>
          <w:b/>
          <w:lang w:val="en-US"/>
        </w:rPr>
        <w:t>.:</w:t>
      </w:r>
      <w:r w:rsidRPr="00EC15B8">
        <w:rPr>
          <w:lang w:val="en-US"/>
        </w:rPr>
        <w:t> </w:t>
      </w:r>
      <w:r w:rsidRPr="00EC15B8">
        <w:rPr>
          <w:bCs/>
          <w:lang w:val="en-US"/>
        </w:rPr>
        <w:t xml:space="preserve">(+36 1) 263 6000, </w:t>
      </w:r>
      <w:r w:rsidRPr="00EC15B8">
        <w:rPr>
          <w:b/>
          <w:lang w:val="en-US"/>
        </w:rPr>
        <w:t>Fax:</w:t>
      </w:r>
      <w:r w:rsidRPr="00EC15B8">
        <w:rPr>
          <w:bCs/>
          <w:lang w:val="en-US"/>
        </w:rPr>
        <w:t> (+36 1) 263 6098</w:t>
      </w:r>
    </w:p>
    <w:p w:rsidR="009C071B" w:rsidRPr="00EC15B8" w:rsidRDefault="009C071B" w:rsidP="009C071B">
      <w:pPr>
        <w:ind w:left="720"/>
        <w:jc w:val="both"/>
        <w:rPr>
          <w:bCs/>
          <w:lang w:val="en-US"/>
        </w:rPr>
      </w:pPr>
      <w:r w:rsidRPr="00EC15B8">
        <w:rPr>
          <w:b/>
          <w:lang w:val="en-US"/>
        </w:rPr>
        <w:t>E-mail:</w:t>
      </w:r>
      <w:r w:rsidRPr="00EC15B8">
        <w:rPr>
          <w:lang w:val="en-US"/>
        </w:rPr>
        <w:t> </w:t>
      </w:r>
      <w:r w:rsidRPr="00EC15B8">
        <w:rPr>
          <w:bCs/>
          <w:lang w:val="en-US"/>
        </w:rPr>
        <w:t> </w:t>
      </w:r>
      <w:hyperlink r:id="rId12" w:history="1">
        <w:r w:rsidRPr="00EC15B8">
          <w:rPr>
            <w:rStyle w:val="-"/>
            <w:shd w:val="clear" w:color="auto" w:fill="FFFFFF"/>
            <w:lang w:val="en-US"/>
          </w:rPr>
          <w:t>hungexpo@hungexpo.hu</w:t>
        </w:r>
      </w:hyperlink>
    </w:p>
    <w:p w:rsidR="009C071B" w:rsidRPr="00EC15B8" w:rsidRDefault="009C071B" w:rsidP="009C071B">
      <w:pPr>
        <w:ind w:left="720"/>
        <w:jc w:val="both"/>
        <w:rPr>
          <w:rStyle w:val="-"/>
          <w:shd w:val="clear" w:color="auto" w:fill="FFFFFF"/>
          <w:lang w:val="en-US"/>
        </w:rPr>
      </w:pPr>
      <w:r w:rsidRPr="009C071B">
        <w:rPr>
          <w:bCs/>
          <w:lang w:val="en-US"/>
        </w:rPr>
        <w:t>E-mail: </w:t>
      </w:r>
      <w:hyperlink r:id="rId13" w:history="1">
        <w:r w:rsidRPr="00EC15B8">
          <w:rPr>
            <w:rStyle w:val="-"/>
            <w:shd w:val="clear" w:color="auto" w:fill="FFFFFF"/>
            <w:lang w:val="en-US"/>
          </w:rPr>
          <w:t>info@hungexpo.hu</w:t>
        </w:r>
      </w:hyperlink>
    </w:p>
    <w:p w:rsidR="009C071B" w:rsidRPr="009C071B" w:rsidRDefault="009C071B" w:rsidP="009C071B">
      <w:pPr>
        <w:ind w:left="720"/>
        <w:jc w:val="both"/>
        <w:rPr>
          <w:bCs/>
          <w:lang w:val="en-US"/>
        </w:rPr>
      </w:pPr>
    </w:p>
    <w:p w:rsidR="009C071B" w:rsidRDefault="009C071B" w:rsidP="009C071B">
      <w:pPr>
        <w:ind w:left="720"/>
        <w:jc w:val="both"/>
        <w:rPr>
          <w:bCs/>
        </w:rPr>
      </w:pPr>
    </w:p>
    <w:p w:rsidR="002243C9" w:rsidRDefault="002243C9" w:rsidP="009C071B">
      <w:pPr>
        <w:ind w:left="720"/>
        <w:jc w:val="both"/>
        <w:rPr>
          <w:bCs/>
        </w:rPr>
      </w:pPr>
    </w:p>
    <w:p w:rsidR="002243C9" w:rsidRPr="002243C9" w:rsidRDefault="002243C9" w:rsidP="002243C9">
      <w:pPr>
        <w:numPr>
          <w:ilvl w:val="0"/>
          <w:numId w:val="41"/>
        </w:numPr>
        <w:jc w:val="both"/>
        <w:rPr>
          <w:color w:val="000000"/>
        </w:rPr>
      </w:pPr>
      <w:r w:rsidRPr="002243C9">
        <w:rPr>
          <w:b/>
          <w:bCs/>
          <w:u w:val="single"/>
          <w:lang w:val="en-US"/>
        </w:rPr>
        <w:t>CONSTRUMA</w:t>
      </w:r>
      <w:r w:rsidRPr="002243C9">
        <w:rPr>
          <w:bCs/>
          <w:lang w:val="en-US"/>
        </w:rPr>
        <w:t xml:space="preserve">, </w:t>
      </w:r>
      <w:r>
        <w:rPr>
          <w:bCs/>
        </w:rPr>
        <w:t>(11</w:t>
      </w:r>
      <w:r w:rsidRPr="002243C9">
        <w:rPr>
          <w:bCs/>
          <w:lang w:val="en-US"/>
        </w:rPr>
        <w:t>-</w:t>
      </w:r>
      <w:r>
        <w:rPr>
          <w:bCs/>
        </w:rPr>
        <w:t>15</w:t>
      </w:r>
      <w:r w:rsidRPr="002243C9">
        <w:rPr>
          <w:bCs/>
          <w:lang w:val="en-US"/>
        </w:rPr>
        <w:t xml:space="preserve"> Απριλίου 201</w:t>
      </w:r>
      <w:r>
        <w:rPr>
          <w:bCs/>
        </w:rPr>
        <w:t>8)</w:t>
      </w:r>
    </w:p>
    <w:p w:rsidR="002243C9" w:rsidRDefault="002243C9" w:rsidP="002243C9">
      <w:pPr>
        <w:ind w:left="720"/>
        <w:jc w:val="both"/>
        <w:rPr>
          <w:color w:val="000000"/>
        </w:rPr>
      </w:pPr>
      <w:r w:rsidRPr="002243C9">
        <w:rPr>
          <w:bCs/>
        </w:rPr>
        <w:t>Διεθνής Έκθεση Κατασκευών και Δομικών Υλικών.</w:t>
      </w:r>
      <w:r>
        <w:rPr>
          <w:color w:val="000000"/>
        </w:rPr>
        <w:t xml:space="preserve"> Μεταξύ των σημαντικότερων στην Κεντρική και Ανατολική Ευρώπη, με 700 εκθέτες και 60.000 επισκέπτες. </w:t>
      </w:r>
    </w:p>
    <w:p w:rsidR="002243C9" w:rsidRPr="00FC0938" w:rsidRDefault="002243C9" w:rsidP="002243C9">
      <w:pPr>
        <w:ind w:left="720"/>
        <w:rPr>
          <w:lang w:val="hu-HU"/>
        </w:rPr>
      </w:pPr>
      <w:r w:rsidRPr="006C5706">
        <w:rPr>
          <w:rStyle w:val="4Char"/>
          <w:rFonts w:ascii="Verdana" w:hAnsi="Verdana"/>
          <w:color w:val="017A06"/>
          <w:sz w:val="20"/>
          <w:shd w:val="clear" w:color="auto" w:fill="FFFFFF"/>
          <w:lang w:val="el-GR"/>
        </w:rPr>
        <w:t>Διοργανωτές</w:t>
      </w:r>
      <w:r w:rsidRPr="00052D5D">
        <w:rPr>
          <w:rStyle w:val="4Char"/>
          <w:rFonts w:ascii="Verdana" w:hAnsi="Verdana"/>
          <w:color w:val="017A06"/>
          <w:sz w:val="20"/>
          <w:shd w:val="clear" w:color="auto" w:fill="FFFFFF"/>
          <w:lang w:val="el-GR"/>
        </w:rPr>
        <w:t xml:space="preserve">: </w:t>
      </w:r>
      <w:r w:rsidRPr="00A94F57">
        <w:rPr>
          <w:rStyle w:val="a7"/>
          <w:rFonts w:ascii="Verdana" w:hAnsi="Verdana"/>
          <w:color w:val="231F20"/>
          <w:sz w:val="20"/>
          <w:shd w:val="clear" w:color="auto" w:fill="FFFFFF"/>
          <w:lang w:val="en-US"/>
        </w:rPr>
        <w:t>Hungexpo</w:t>
      </w:r>
      <w:r w:rsidRPr="00052D5D">
        <w:rPr>
          <w:rStyle w:val="a7"/>
          <w:rFonts w:ascii="Verdana" w:hAnsi="Verdana"/>
          <w:color w:val="231F20"/>
          <w:sz w:val="20"/>
          <w:shd w:val="clear" w:color="auto" w:fill="FFFFFF"/>
        </w:rPr>
        <w:t xml:space="preserve"> </w:t>
      </w:r>
      <w:r w:rsidRPr="00A94F57">
        <w:rPr>
          <w:rStyle w:val="a7"/>
          <w:rFonts w:ascii="Verdana" w:hAnsi="Verdana"/>
          <w:color w:val="231F20"/>
          <w:sz w:val="20"/>
          <w:shd w:val="clear" w:color="auto" w:fill="FFFFFF"/>
          <w:lang w:val="en-US"/>
        </w:rPr>
        <w:t>C</w:t>
      </w:r>
      <w:r w:rsidRPr="00052D5D">
        <w:rPr>
          <w:rStyle w:val="a7"/>
          <w:rFonts w:ascii="Verdana" w:hAnsi="Verdana"/>
          <w:color w:val="231F20"/>
          <w:sz w:val="20"/>
          <w:shd w:val="clear" w:color="auto" w:fill="FFFFFF"/>
        </w:rPr>
        <w:t>.</w:t>
      </w:r>
      <w:r w:rsidRPr="00A94F57">
        <w:rPr>
          <w:rStyle w:val="a7"/>
          <w:rFonts w:ascii="Verdana" w:hAnsi="Verdana"/>
          <w:color w:val="231F20"/>
          <w:sz w:val="20"/>
          <w:shd w:val="clear" w:color="auto" w:fill="FFFFFF"/>
          <w:lang w:val="en-US"/>
        </w:rPr>
        <w:t>Co</w:t>
      </w:r>
      <w:r w:rsidRPr="00052D5D">
        <w:rPr>
          <w:rStyle w:val="a7"/>
          <w:rFonts w:ascii="Verdana" w:hAnsi="Verdana"/>
          <w:color w:val="231F20"/>
          <w:sz w:val="20"/>
          <w:shd w:val="clear" w:color="auto" w:fill="FFFFFF"/>
        </w:rPr>
        <w:t xml:space="preserve">. </w:t>
      </w:r>
      <w:r w:rsidRPr="00A94F57">
        <w:rPr>
          <w:rStyle w:val="a7"/>
          <w:rFonts w:ascii="Verdana" w:hAnsi="Verdana"/>
          <w:color w:val="231F20"/>
          <w:sz w:val="20"/>
          <w:shd w:val="clear" w:color="auto" w:fill="FFFFFF"/>
          <w:lang w:val="en-US"/>
        </w:rPr>
        <w:t>Ltd</w:t>
      </w:r>
      <w:r w:rsidRPr="00052D5D">
        <w:rPr>
          <w:rStyle w:val="a7"/>
          <w:rFonts w:ascii="Verdana" w:hAnsi="Verdana"/>
          <w:color w:val="231F20"/>
          <w:sz w:val="20"/>
          <w:shd w:val="clear" w:color="auto" w:fill="FFFFFF"/>
        </w:rPr>
        <w:t>.</w:t>
      </w:r>
      <w:r w:rsidRPr="00052D5D">
        <w:rPr>
          <w:rFonts w:ascii="Verdana" w:hAnsi="Verdana"/>
          <w:color w:val="231F20"/>
          <w:sz w:val="20"/>
          <w:szCs w:val="20"/>
        </w:rPr>
        <w:br/>
      </w:r>
      <w:r w:rsidRPr="00FC0938">
        <w:rPr>
          <w:rStyle w:val="a7"/>
          <w:rFonts w:ascii="Verdana" w:hAnsi="Verdana"/>
          <w:color w:val="231F20"/>
          <w:sz w:val="20"/>
          <w:shd w:val="clear" w:color="auto" w:fill="FFFFFF"/>
          <w:lang w:val="en-US"/>
        </w:rPr>
        <w:t>Address:</w:t>
      </w:r>
      <w:r w:rsidRPr="00FC0938">
        <w:rPr>
          <w:rStyle w:val="apple-converted-space"/>
          <w:rFonts w:ascii="Verdana" w:hAnsi="Verdana"/>
          <w:color w:val="231F20"/>
          <w:sz w:val="20"/>
          <w:szCs w:val="20"/>
          <w:shd w:val="clear" w:color="auto" w:fill="FFFFFF"/>
          <w:lang w:val="en-US"/>
        </w:rPr>
        <w:t> </w:t>
      </w:r>
      <w:r w:rsidRPr="00FC0938">
        <w:rPr>
          <w:rFonts w:ascii="Verdana" w:hAnsi="Verdana"/>
          <w:color w:val="231F20"/>
          <w:sz w:val="20"/>
          <w:szCs w:val="20"/>
          <w:shd w:val="clear" w:color="auto" w:fill="FFFFFF"/>
          <w:lang w:val="en-US"/>
        </w:rPr>
        <w:t>H-1101 Budapest Albertirsai út 10.</w:t>
      </w:r>
      <w:r w:rsidRPr="00FC0938">
        <w:rPr>
          <w:rFonts w:ascii="Verdana" w:hAnsi="Verdana"/>
          <w:color w:val="231F20"/>
          <w:sz w:val="20"/>
          <w:szCs w:val="20"/>
          <w:lang w:val="en-US"/>
        </w:rPr>
        <w:br/>
      </w:r>
      <w:r w:rsidRPr="00FC0938">
        <w:rPr>
          <w:rStyle w:val="a7"/>
          <w:rFonts w:ascii="Verdana" w:hAnsi="Verdana"/>
          <w:color w:val="231F20"/>
          <w:sz w:val="20"/>
          <w:shd w:val="clear" w:color="auto" w:fill="FFFFFF"/>
          <w:lang w:val="en-US"/>
        </w:rPr>
        <w:t>Letters:</w:t>
      </w:r>
      <w:r w:rsidRPr="00FC0938">
        <w:rPr>
          <w:rStyle w:val="apple-converted-space"/>
          <w:rFonts w:ascii="Verdana" w:hAnsi="Verdana"/>
          <w:color w:val="231F20"/>
          <w:sz w:val="20"/>
          <w:szCs w:val="20"/>
          <w:shd w:val="clear" w:color="auto" w:fill="FFFFFF"/>
          <w:lang w:val="en-US"/>
        </w:rPr>
        <w:t> </w:t>
      </w:r>
      <w:r w:rsidRPr="00FC0938">
        <w:rPr>
          <w:rFonts w:ascii="Verdana" w:hAnsi="Verdana"/>
          <w:color w:val="231F20"/>
          <w:sz w:val="20"/>
          <w:szCs w:val="20"/>
          <w:shd w:val="clear" w:color="auto" w:fill="FFFFFF"/>
          <w:lang w:val="en-US"/>
        </w:rPr>
        <w:t>H-1441 Budapest, Pf. 44.</w:t>
      </w:r>
      <w:r w:rsidRPr="00FC0938">
        <w:rPr>
          <w:rFonts w:ascii="Verdana" w:hAnsi="Verdana"/>
          <w:color w:val="231F20"/>
          <w:sz w:val="20"/>
          <w:szCs w:val="20"/>
          <w:lang w:val="en-US"/>
        </w:rPr>
        <w:br/>
      </w:r>
      <w:r w:rsidRPr="00FC0938">
        <w:rPr>
          <w:rStyle w:val="a7"/>
          <w:rFonts w:ascii="Verdana" w:hAnsi="Verdana"/>
          <w:color w:val="231F20"/>
          <w:sz w:val="20"/>
          <w:shd w:val="clear" w:color="auto" w:fill="FFFFFF"/>
          <w:lang w:val="en-US"/>
        </w:rPr>
        <w:t>Tel:</w:t>
      </w:r>
      <w:r w:rsidRPr="00FC0938">
        <w:rPr>
          <w:rStyle w:val="apple-converted-space"/>
          <w:rFonts w:ascii="Verdana" w:hAnsi="Verdana"/>
          <w:b/>
          <w:bCs/>
          <w:color w:val="231F20"/>
          <w:sz w:val="20"/>
          <w:szCs w:val="20"/>
          <w:shd w:val="clear" w:color="auto" w:fill="FFFFFF"/>
          <w:lang w:val="en-US"/>
        </w:rPr>
        <w:t> </w:t>
      </w:r>
      <w:r w:rsidRPr="00FC0938">
        <w:rPr>
          <w:rFonts w:ascii="Verdana" w:hAnsi="Verdana"/>
          <w:color w:val="231F20"/>
          <w:sz w:val="20"/>
          <w:szCs w:val="20"/>
          <w:shd w:val="clear" w:color="auto" w:fill="FFFFFF"/>
          <w:lang w:val="en-US"/>
        </w:rPr>
        <w:t xml:space="preserve">(+36 1) 263 6000, </w:t>
      </w:r>
      <w:r w:rsidRPr="00FC0938">
        <w:rPr>
          <w:rStyle w:val="a7"/>
          <w:rFonts w:ascii="Verdana" w:hAnsi="Verdana"/>
          <w:color w:val="231F20"/>
          <w:sz w:val="20"/>
          <w:shd w:val="clear" w:color="auto" w:fill="FFFFFF"/>
          <w:lang w:val="en-US"/>
        </w:rPr>
        <w:t>Fax:</w:t>
      </w:r>
      <w:r w:rsidRPr="00FC0938">
        <w:rPr>
          <w:rStyle w:val="apple-converted-space"/>
          <w:rFonts w:ascii="Verdana" w:hAnsi="Verdana"/>
          <w:color w:val="231F20"/>
          <w:sz w:val="20"/>
          <w:szCs w:val="20"/>
          <w:shd w:val="clear" w:color="auto" w:fill="FFFFFF"/>
          <w:lang w:val="en-US"/>
        </w:rPr>
        <w:t> </w:t>
      </w:r>
      <w:r w:rsidRPr="00FC0938">
        <w:rPr>
          <w:rFonts w:ascii="Verdana" w:hAnsi="Verdana"/>
          <w:color w:val="231F20"/>
          <w:sz w:val="20"/>
          <w:szCs w:val="20"/>
          <w:shd w:val="clear" w:color="auto" w:fill="FFFFFF"/>
          <w:lang w:val="en-US"/>
        </w:rPr>
        <w:t>(+36 1) 263 6098</w:t>
      </w:r>
      <w:r w:rsidRPr="00FC0938">
        <w:rPr>
          <w:rFonts w:ascii="Verdana" w:hAnsi="Verdana"/>
          <w:color w:val="231F20"/>
          <w:sz w:val="20"/>
          <w:szCs w:val="20"/>
          <w:lang w:val="en-US"/>
        </w:rPr>
        <w:br/>
      </w:r>
      <w:r w:rsidRPr="00FC0938">
        <w:rPr>
          <w:rStyle w:val="a7"/>
          <w:rFonts w:ascii="Verdana" w:hAnsi="Verdana"/>
          <w:color w:val="231F20"/>
          <w:sz w:val="20"/>
          <w:shd w:val="clear" w:color="auto" w:fill="FFFFFF"/>
          <w:lang w:val="en-US"/>
        </w:rPr>
        <w:t>E-mail:</w:t>
      </w:r>
      <w:r w:rsidRPr="00FC0938">
        <w:rPr>
          <w:rStyle w:val="apple-converted-space"/>
          <w:rFonts w:ascii="Verdana" w:hAnsi="Verdana"/>
          <w:b/>
          <w:bCs/>
          <w:color w:val="231F20"/>
          <w:sz w:val="20"/>
          <w:szCs w:val="20"/>
          <w:shd w:val="clear" w:color="auto" w:fill="FFFFFF"/>
          <w:lang w:val="en-US"/>
        </w:rPr>
        <w:t> </w:t>
      </w:r>
      <w:hyperlink r:id="rId14" w:history="1">
        <w:r w:rsidRPr="00FC0938">
          <w:rPr>
            <w:rStyle w:val="-"/>
            <w:rFonts w:ascii="Verdana" w:hAnsi="Verdana"/>
            <w:color w:val="D55705"/>
            <w:sz w:val="20"/>
            <w:szCs w:val="20"/>
            <w:shd w:val="clear" w:color="auto" w:fill="FFFFFF"/>
            <w:lang w:val="en-US"/>
          </w:rPr>
          <w:t>hungexpo@hungexpo.hu</w:t>
        </w:r>
      </w:hyperlink>
    </w:p>
    <w:p w:rsidR="002243C9" w:rsidRPr="00D57562" w:rsidRDefault="002243C9" w:rsidP="002243C9">
      <w:pPr>
        <w:ind w:left="720"/>
        <w:jc w:val="both"/>
        <w:rPr>
          <w:color w:val="000000"/>
          <w:lang w:val="en-US"/>
        </w:rPr>
      </w:pPr>
      <w:r w:rsidRPr="00D57562">
        <w:rPr>
          <w:rFonts w:ascii="Verdana" w:hAnsi="Verdana"/>
          <w:color w:val="231F20"/>
          <w:sz w:val="20"/>
          <w:szCs w:val="20"/>
          <w:shd w:val="clear" w:color="auto" w:fill="FFFFFF"/>
          <w:lang w:val="en-US"/>
        </w:rPr>
        <w:t>E-mail:</w:t>
      </w:r>
      <w:r w:rsidRPr="00D57562">
        <w:rPr>
          <w:rStyle w:val="apple-converted-space"/>
          <w:rFonts w:ascii="Verdana" w:hAnsi="Verdana"/>
          <w:color w:val="231F20"/>
          <w:sz w:val="20"/>
          <w:szCs w:val="20"/>
          <w:shd w:val="clear" w:color="auto" w:fill="FFFFFF"/>
          <w:lang w:val="en-US"/>
        </w:rPr>
        <w:t> </w:t>
      </w:r>
      <w:hyperlink r:id="rId15" w:history="1">
        <w:r w:rsidRPr="00D57562">
          <w:rPr>
            <w:rStyle w:val="-"/>
            <w:rFonts w:ascii="Verdana" w:hAnsi="Verdana"/>
            <w:color w:val="0099CC"/>
            <w:sz w:val="20"/>
            <w:szCs w:val="20"/>
            <w:shd w:val="clear" w:color="auto" w:fill="FFFFFF"/>
            <w:lang w:val="en-US"/>
          </w:rPr>
          <w:t>info@hungexpo.hu</w:t>
        </w:r>
      </w:hyperlink>
    </w:p>
    <w:p w:rsidR="002243C9" w:rsidRDefault="002243C9" w:rsidP="009C071B">
      <w:pPr>
        <w:ind w:left="720"/>
        <w:jc w:val="both"/>
        <w:rPr>
          <w:bCs/>
          <w:lang w:val="en-US"/>
        </w:rPr>
      </w:pPr>
    </w:p>
    <w:p w:rsidR="002243C9" w:rsidRPr="002243C9" w:rsidRDefault="002243C9" w:rsidP="009C071B">
      <w:pPr>
        <w:ind w:left="720"/>
        <w:jc w:val="both"/>
        <w:rPr>
          <w:bCs/>
        </w:rPr>
      </w:pPr>
      <w:r>
        <w:rPr>
          <w:color w:val="000000"/>
        </w:rPr>
        <w:t xml:space="preserve">Παράλληλα με την </w:t>
      </w:r>
      <w:r>
        <w:rPr>
          <w:color w:val="000000"/>
          <w:lang w:val="en-US"/>
        </w:rPr>
        <w:t>CONSTRUMA</w:t>
      </w:r>
      <w:r>
        <w:rPr>
          <w:color w:val="000000"/>
        </w:rPr>
        <w:t>, θα διοργανωθούν και οι παρακάτω εκθέσεις:</w:t>
      </w:r>
    </w:p>
    <w:p w:rsidR="002243C9" w:rsidRPr="005B65D8" w:rsidRDefault="002243C9" w:rsidP="002243C9">
      <w:pPr>
        <w:numPr>
          <w:ilvl w:val="0"/>
          <w:numId w:val="37"/>
        </w:numPr>
        <w:rPr>
          <w:color w:val="000000"/>
        </w:rPr>
      </w:pPr>
      <w:hyperlink r:id="rId16" w:tgtFrame="_blank" w:history="1">
        <w:r w:rsidRPr="005A1BF2">
          <w:rPr>
            <w:b/>
            <w:color w:val="000000"/>
            <w:u w:val="single"/>
            <w:lang w:val="en-US"/>
          </w:rPr>
          <w:t>RENEO</w:t>
        </w:r>
      </w:hyperlink>
      <w:r w:rsidRPr="005B65D8">
        <w:rPr>
          <w:color w:val="000000"/>
        </w:rPr>
        <w:t xml:space="preserve"> - </w:t>
      </w:r>
      <w:r w:rsidRPr="005B65D8">
        <w:rPr>
          <w:bCs/>
          <w:color w:val="000000"/>
        </w:rPr>
        <w:t>Διεθνής Έκθεση Ανανεώσιμων Πηγών Ενέργειας</w:t>
      </w:r>
    </w:p>
    <w:p w:rsidR="002243C9" w:rsidRPr="005A1BF2" w:rsidRDefault="002243C9" w:rsidP="005A1BF2">
      <w:pPr>
        <w:numPr>
          <w:ilvl w:val="0"/>
          <w:numId w:val="37"/>
        </w:numPr>
        <w:rPr>
          <w:color w:val="000000"/>
        </w:rPr>
      </w:pPr>
      <w:hyperlink r:id="rId17" w:tgtFrame="_blank" w:history="1">
        <w:r w:rsidRPr="005A1BF2">
          <w:rPr>
            <w:b/>
            <w:color w:val="000000"/>
            <w:u w:val="single"/>
            <w:lang w:val="en-US"/>
          </w:rPr>
          <w:t>CONSTRUMA</w:t>
        </w:r>
        <w:r w:rsidRPr="005A1BF2">
          <w:rPr>
            <w:b/>
            <w:color w:val="000000"/>
            <w:u w:val="single"/>
          </w:rPr>
          <w:t xml:space="preserve"> </w:t>
        </w:r>
        <w:r w:rsidRPr="005A1BF2">
          <w:rPr>
            <w:b/>
            <w:color w:val="000000"/>
            <w:u w:val="single"/>
            <w:lang w:val="en-US"/>
          </w:rPr>
          <w:t>GARDEN</w:t>
        </w:r>
      </w:hyperlink>
      <w:r w:rsidR="005A1BF2">
        <w:rPr>
          <w:bCs/>
          <w:color w:val="000000"/>
        </w:rPr>
        <w:t xml:space="preserve"> </w:t>
      </w:r>
      <w:r w:rsidRPr="005B65D8">
        <w:rPr>
          <w:bCs/>
          <w:color w:val="000000"/>
        </w:rPr>
        <w:t>-</w:t>
      </w:r>
      <w:r w:rsidRPr="005B65D8">
        <w:rPr>
          <w:color w:val="000000"/>
          <w:lang w:val="en-US"/>
        </w:rPr>
        <w:t> </w:t>
      </w:r>
      <w:r w:rsidRPr="005B65D8">
        <w:rPr>
          <w:bCs/>
          <w:color w:val="000000"/>
        </w:rPr>
        <w:t xml:space="preserve">Έκθεση Αρχιτεκτονικής Εξωτερικών Χώρων και Κηπευτικής </w:t>
      </w:r>
    </w:p>
    <w:p w:rsidR="002243C9" w:rsidRPr="005A1BF2" w:rsidRDefault="002243C9" w:rsidP="005A1BF2">
      <w:pPr>
        <w:numPr>
          <w:ilvl w:val="0"/>
          <w:numId w:val="37"/>
        </w:numPr>
        <w:rPr>
          <w:color w:val="000000"/>
          <w:u w:val="single"/>
        </w:rPr>
      </w:pPr>
      <w:r w:rsidRPr="005A1BF2">
        <w:rPr>
          <w:b/>
          <w:color w:val="000000"/>
          <w:u w:val="single"/>
          <w:lang w:val="en-US"/>
        </w:rPr>
        <w:t>HOME</w:t>
      </w:r>
      <w:r w:rsidRPr="005A1BF2">
        <w:rPr>
          <w:b/>
          <w:color w:val="000000"/>
          <w:u w:val="single"/>
        </w:rPr>
        <w:t xml:space="preserve"> </w:t>
      </w:r>
      <w:r w:rsidRPr="005A1BF2">
        <w:rPr>
          <w:b/>
          <w:color w:val="000000"/>
          <w:u w:val="single"/>
          <w:lang w:val="en-US"/>
        </w:rPr>
        <w:t>DESIGN</w:t>
      </w:r>
      <w:r w:rsidR="005A1BF2" w:rsidRPr="005A1BF2">
        <w:rPr>
          <w:color w:val="000000"/>
        </w:rPr>
        <w:t xml:space="preserve"> </w:t>
      </w:r>
      <w:r w:rsidR="005A1BF2">
        <w:rPr>
          <w:color w:val="000000"/>
        </w:rPr>
        <w:t>-  Έκθεση Αρχιτεκτονικής και Σχεδιασμού Εσωτερικών Χώρων</w:t>
      </w:r>
    </w:p>
    <w:sectPr w:rsidR="002243C9" w:rsidRPr="005A1BF2" w:rsidSect="00064195">
      <w:footerReference w:type="default" r:id="rId18"/>
      <w:footerReference w:type="first" r:id="rId19"/>
      <w:pgSz w:w="11906" w:h="16838" w:code="9"/>
      <w:pgMar w:top="900" w:right="1376" w:bottom="1170" w:left="1134" w:header="567" w:footer="372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81" w:rsidRDefault="002B5881" w:rsidP="00E01418">
      <w:r>
        <w:separator/>
      </w:r>
    </w:p>
  </w:endnote>
  <w:endnote w:type="continuationSeparator" w:id="0">
    <w:p w:rsidR="002B5881" w:rsidRDefault="002B5881" w:rsidP="00E0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-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4F" w:rsidRDefault="00A4184F">
    <w:pPr>
      <w:pStyle w:val="a6"/>
      <w:jc w:val="right"/>
    </w:pPr>
    <w:fldSimple w:instr=" PAGE   \* MERGEFORMAT ">
      <w:r w:rsidR="00B77C96">
        <w:rPr>
          <w:noProof/>
        </w:rPr>
        <w:t>1</w:t>
      </w:r>
    </w:fldSimple>
  </w:p>
  <w:p w:rsidR="00A4184F" w:rsidRDefault="00A4184F" w:rsidP="00AE6F64">
    <w:pPr>
      <w:pStyle w:val="a6"/>
      <w:jc w:val="right"/>
      <w:rPr>
        <w:b/>
        <w:sz w:val="18"/>
        <w:szCs w:val="18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4F" w:rsidRDefault="00A4184F">
    <w:pPr>
      <w:pStyle w:val="a6"/>
      <w:jc w:val="right"/>
    </w:pPr>
  </w:p>
  <w:p w:rsidR="00A4184F" w:rsidRPr="004F1C8A" w:rsidRDefault="00A4184F" w:rsidP="00B45EB6">
    <w:pPr>
      <w:pStyle w:val="a6"/>
      <w:jc w:val="right"/>
      <w:rPr>
        <w:b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81" w:rsidRDefault="002B5881" w:rsidP="00E01418">
      <w:r>
        <w:separator/>
      </w:r>
    </w:p>
  </w:footnote>
  <w:footnote w:type="continuationSeparator" w:id="0">
    <w:p w:rsidR="002B5881" w:rsidRDefault="002B5881" w:rsidP="00E0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78E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4A50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B81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1C32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BEE9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52E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BA3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C4C5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A6A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0EF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90F94"/>
    <w:multiLevelType w:val="hybridMultilevel"/>
    <w:tmpl w:val="B1A80326"/>
    <w:lvl w:ilvl="0" w:tplc="E6644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FB65C0"/>
    <w:multiLevelType w:val="hybridMultilevel"/>
    <w:tmpl w:val="A8344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C45021"/>
    <w:multiLevelType w:val="hybridMultilevel"/>
    <w:tmpl w:val="703E6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541A4A"/>
    <w:multiLevelType w:val="hybridMultilevel"/>
    <w:tmpl w:val="654A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B2204F"/>
    <w:multiLevelType w:val="hybridMultilevel"/>
    <w:tmpl w:val="5838C7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447261"/>
    <w:multiLevelType w:val="hybridMultilevel"/>
    <w:tmpl w:val="DA64DF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836C73"/>
    <w:multiLevelType w:val="hybridMultilevel"/>
    <w:tmpl w:val="832A89C4"/>
    <w:lvl w:ilvl="0" w:tplc="76FE526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9B7AF5"/>
    <w:multiLevelType w:val="hybridMultilevel"/>
    <w:tmpl w:val="A0D2066E"/>
    <w:lvl w:ilvl="0" w:tplc="E4F8C4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6A3ED6"/>
    <w:multiLevelType w:val="hybridMultilevel"/>
    <w:tmpl w:val="43FA3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51299"/>
    <w:multiLevelType w:val="hybridMultilevel"/>
    <w:tmpl w:val="9E860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C5D99"/>
    <w:multiLevelType w:val="hybridMultilevel"/>
    <w:tmpl w:val="20E0764C"/>
    <w:lvl w:ilvl="0" w:tplc="E4F8C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A7C7A"/>
    <w:multiLevelType w:val="hybridMultilevel"/>
    <w:tmpl w:val="F6827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D4271"/>
    <w:multiLevelType w:val="hybridMultilevel"/>
    <w:tmpl w:val="4EEAD544"/>
    <w:lvl w:ilvl="0" w:tplc="040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59C35FA"/>
    <w:multiLevelType w:val="hybridMultilevel"/>
    <w:tmpl w:val="CA20A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D48A9"/>
    <w:multiLevelType w:val="hybridMultilevel"/>
    <w:tmpl w:val="3844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62F68"/>
    <w:multiLevelType w:val="hybridMultilevel"/>
    <w:tmpl w:val="6DDC05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57B3B"/>
    <w:multiLevelType w:val="hybridMultilevel"/>
    <w:tmpl w:val="B40E2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52144"/>
    <w:multiLevelType w:val="hybridMultilevel"/>
    <w:tmpl w:val="3DBA8C6E"/>
    <w:lvl w:ilvl="0" w:tplc="E4F8C4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2B5880"/>
    <w:multiLevelType w:val="hybridMultilevel"/>
    <w:tmpl w:val="53A6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C3F04"/>
    <w:multiLevelType w:val="hybridMultilevel"/>
    <w:tmpl w:val="7472B67C"/>
    <w:lvl w:ilvl="0" w:tplc="656C4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58B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30C5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0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A0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7ED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8AD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A2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344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9F4532"/>
    <w:multiLevelType w:val="hybridMultilevel"/>
    <w:tmpl w:val="80388AA6"/>
    <w:lvl w:ilvl="0" w:tplc="CD3C02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3B1F82"/>
    <w:multiLevelType w:val="hybridMultilevel"/>
    <w:tmpl w:val="CD56D6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150ECF"/>
    <w:multiLevelType w:val="hybridMultilevel"/>
    <w:tmpl w:val="CA6C2E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F2DDB"/>
    <w:multiLevelType w:val="hybridMultilevel"/>
    <w:tmpl w:val="A72A985A"/>
    <w:lvl w:ilvl="0" w:tplc="0E60F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>
    <w:nsid w:val="68FE2C06"/>
    <w:multiLevelType w:val="multilevel"/>
    <w:tmpl w:val="FE2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6A35B2"/>
    <w:multiLevelType w:val="hybridMultilevel"/>
    <w:tmpl w:val="6F7C5228"/>
    <w:lvl w:ilvl="0" w:tplc="E4F8C4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950FB2"/>
    <w:multiLevelType w:val="hybridMultilevel"/>
    <w:tmpl w:val="897E17D2"/>
    <w:lvl w:ilvl="0" w:tplc="E4F8C4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645582"/>
    <w:multiLevelType w:val="hybridMultilevel"/>
    <w:tmpl w:val="43CA26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AB6CD4"/>
    <w:multiLevelType w:val="multilevel"/>
    <w:tmpl w:val="7016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8153A4"/>
    <w:multiLevelType w:val="hybridMultilevel"/>
    <w:tmpl w:val="3BF45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9A2CBC"/>
    <w:multiLevelType w:val="hybridMultilevel"/>
    <w:tmpl w:val="EAC425C8"/>
    <w:lvl w:ilvl="0" w:tplc="E4F8C4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E97416"/>
    <w:multiLevelType w:val="hybridMultilevel"/>
    <w:tmpl w:val="8E503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3"/>
  </w:num>
  <w:num w:numId="13">
    <w:abstractNumId w:val="17"/>
  </w:num>
  <w:num w:numId="14">
    <w:abstractNumId w:val="40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0"/>
  </w:num>
  <w:num w:numId="1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6"/>
  </w:num>
  <w:num w:numId="21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25"/>
  </w:num>
  <w:num w:numId="24">
    <w:abstractNumId w:val="10"/>
  </w:num>
  <w:num w:numId="25">
    <w:abstractNumId w:val="32"/>
  </w:num>
  <w:num w:numId="26">
    <w:abstractNumId w:val="31"/>
  </w:num>
  <w:num w:numId="27">
    <w:abstractNumId w:val="19"/>
  </w:num>
  <w:num w:numId="28">
    <w:abstractNumId w:val="11"/>
  </w:num>
  <w:num w:numId="29">
    <w:abstractNumId w:val="37"/>
  </w:num>
  <w:num w:numId="30">
    <w:abstractNumId w:val="12"/>
  </w:num>
  <w:num w:numId="31">
    <w:abstractNumId w:val="24"/>
  </w:num>
  <w:num w:numId="32">
    <w:abstractNumId w:val="28"/>
  </w:num>
  <w:num w:numId="33">
    <w:abstractNumId w:val="26"/>
  </w:num>
  <w:num w:numId="3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</w:num>
  <w:num w:numId="36">
    <w:abstractNumId w:val="34"/>
  </w:num>
  <w:num w:numId="37">
    <w:abstractNumId w:val="41"/>
  </w:num>
  <w:num w:numId="38">
    <w:abstractNumId w:val="38"/>
  </w:num>
  <w:num w:numId="39">
    <w:abstractNumId w:val="18"/>
  </w:num>
  <w:num w:numId="40">
    <w:abstractNumId w:val="13"/>
  </w:num>
  <w:num w:numId="41">
    <w:abstractNumId w:val="15"/>
  </w:num>
  <w:num w:numId="42">
    <w:abstractNumId w:val="22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64F59"/>
    <w:rsid w:val="00000606"/>
    <w:rsid w:val="000015CF"/>
    <w:rsid w:val="000059E9"/>
    <w:rsid w:val="0000677E"/>
    <w:rsid w:val="000070B1"/>
    <w:rsid w:val="00010D7A"/>
    <w:rsid w:val="000113BD"/>
    <w:rsid w:val="00013DE9"/>
    <w:rsid w:val="00016C91"/>
    <w:rsid w:val="000174C4"/>
    <w:rsid w:val="00020106"/>
    <w:rsid w:val="0002035B"/>
    <w:rsid w:val="00020E87"/>
    <w:rsid w:val="000240BC"/>
    <w:rsid w:val="00024525"/>
    <w:rsid w:val="00024C6F"/>
    <w:rsid w:val="000279C9"/>
    <w:rsid w:val="00027C8C"/>
    <w:rsid w:val="00031349"/>
    <w:rsid w:val="00031F6D"/>
    <w:rsid w:val="0003629F"/>
    <w:rsid w:val="00043C7C"/>
    <w:rsid w:val="000442E9"/>
    <w:rsid w:val="000450CB"/>
    <w:rsid w:val="00050174"/>
    <w:rsid w:val="00050C6A"/>
    <w:rsid w:val="0005225E"/>
    <w:rsid w:val="00052ADF"/>
    <w:rsid w:val="00052D5D"/>
    <w:rsid w:val="000533EF"/>
    <w:rsid w:val="00057A49"/>
    <w:rsid w:val="000601CF"/>
    <w:rsid w:val="00060A00"/>
    <w:rsid w:val="000610CD"/>
    <w:rsid w:val="000626CB"/>
    <w:rsid w:val="00064195"/>
    <w:rsid w:val="00064A9F"/>
    <w:rsid w:val="00065CFB"/>
    <w:rsid w:val="00067046"/>
    <w:rsid w:val="00076A10"/>
    <w:rsid w:val="00082393"/>
    <w:rsid w:val="0008343B"/>
    <w:rsid w:val="00083569"/>
    <w:rsid w:val="00085080"/>
    <w:rsid w:val="00086985"/>
    <w:rsid w:val="00090220"/>
    <w:rsid w:val="000944DB"/>
    <w:rsid w:val="00094A0F"/>
    <w:rsid w:val="0009544C"/>
    <w:rsid w:val="00097227"/>
    <w:rsid w:val="00097B76"/>
    <w:rsid w:val="000A1B88"/>
    <w:rsid w:val="000A476C"/>
    <w:rsid w:val="000A595A"/>
    <w:rsid w:val="000B0088"/>
    <w:rsid w:val="000B34B7"/>
    <w:rsid w:val="000B3595"/>
    <w:rsid w:val="000B36F7"/>
    <w:rsid w:val="000B667D"/>
    <w:rsid w:val="000C0C13"/>
    <w:rsid w:val="000C1A98"/>
    <w:rsid w:val="000C60C7"/>
    <w:rsid w:val="000D06E2"/>
    <w:rsid w:val="000D102B"/>
    <w:rsid w:val="000D26B9"/>
    <w:rsid w:val="000D274B"/>
    <w:rsid w:val="000D3388"/>
    <w:rsid w:val="000D3844"/>
    <w:rsid w:val="000D4CBA"/>
    <w:rsid w:val="000D76FA"/>
    <w:rsid w:val="000E0EFE"/>
    <w:rsid w:val="000E1023"/>
    <w:rsid w:val="000E29C9"/>
    <w:rsid w:val="000E5A17"/>
    <w:rsid w:val="000E60A1"/>
    <w:rsid w:val="000F35A7"/>
    <w:rsid w:val="000F51A2"/>
    <w:rsid w:val="000F564C"/>
    <w:rsid w:val="000F6BB3"/>
    <w:rsid w:val="000F6C9B"/>
    <w:rsid w:val="000F787D"/>
    <w:rsid w:val="00101CD4"/>
    <w:rsid w:val="0010490F"/>
    <w:rsid w:val="00105615"/>
    <w:rsid w:val="001064A5"/>
    <w:rsid w:val="0011051B"/>
    <w:rsid w:val="00110958"/>
    <w:rsid w:val="00110C0F"/>
    <w:rsid w:val="00113165"/>
    <w:rsid w:val="0011634E"/>
    <w:rsid w:val="00116FEC"/>
    <w:rsid w:val="00117D86"/>
    <w:rsid w:val="0012130E"/>
    <w:rsid w:val="00124BF2"/>
    <w:rsid w:val="001250F5"/>
    <w:rsid w:val="0012560C"/>
    <w:rsid w:val="001263F9"/>
    <w:rsid w:val="00126B00"/>
    <w:rsid w:val="00126B59"/>
    <w:rsid w:val="00127528"/>
    <w:rsid w:val="00131BBD"/>
    <w:rsid w:val="00133343"/>
    <w:rsid w:val="00133462"/>
    <w:rsid w:val="001348F5"/>
    <w:rsid w:val="00134C2A"/>
    <w:rsid w:val="00136CED"/>
    <w:rsid w:val="00141F71"/>
    <w:rsid w:val="00142E9A"/>
    <w:rsid w:val="0014384E"/>
    <w:rsid w:val="00146F3B"/>
    <w:rsid w:val="00147ABD"/>
    <w:rsid w:val="0015371B"/>
    <w:rsid w:val="00154495"/>
    <w:rsid w:val="0015597C"/>
    <w:rsid w:val="001560F1"/>
    <w:rsid w:val="0015762D"/>
    <w:rsid w:val="001672DB"/>
    <w:rsid w:val="001677C2"/>
    <w:rsid w:val="00170321"/>
    <w:rsid w:val="001704F5"/>
    <w:rsid w:val="00170FA8"/>
    <w:rsid w:val="00172DA8"/>
    <w:rsid w:val="00174BB7"/>
    <w:rsid w:val="00180239"/>
    <w:rsid w:val="001822F3"/>
    <w:rsid w:val="00184822"/>
    <w:rsid w:val="001859D3"/>
    <w:rsid w:val="001922C3"/>
    <w:rsid w:val="00194539"/>
    <w:rsid w:val="00196A02"/>
    <w:rsid w:val="001979A7"/>
    <w:rsid w:val="00197F43"/>
    <w:rsid w:val="001B1282"/>
    <w:rsid w:val="001B4CA0"/>
    <w:rsid w:val="001B596E"/>
    <w:rsid w:val="001C1FDE"/>
    <w:rsid w:val="001C332A"/>
    <w:rsid w:val="001C418C"/>
    <w:rsid w:val="001C6255"/>
    <w:rsid w:val="001C7360"/>
    <w:rsid w:val="001D011B"/>
    <w:rsid w:val="001D0614"/>
    <w:rsid w:val="001D159F"/>
    <w:rsid w:val="001D1637"/>
    <w:rsid w:val="001D1CCE"/>
    <w:rsid w:val="001D4CB9"/>
    <w:rsid w:val="001D767D"/>
    <w:rsid w:val="001D7721"/>
    <w:rsid w:val="001D7A5C"/>
    <w:rsid w:val="001D7EE2"/>
    <w:rsid w:val="001E0B03"/>
    <w:rsid w:val="001E0C42"/>
    <w:rsid w:val="001E1DE6"/>
    <w:rsid w:val="001E2C2F"/>
    <w:rsid w:val="001E5AF3"/>
    <w:rsid w:val="001E6877"/>
    <w:rsid w:val="001F2AA7"/>
    <w:rsid w:val="001F4F22"/>
    <w:rsid w:val="00201049"/>
    <w:rsid w:val="00202E6C"/>
    <w:rsid w:val="002047C4"/>
    <w:rsid w:val="00204D60"/>
    <w:rsid w:val="00204FB0"/>
    <w:rsid w:val="0020517C"/>
    <w:rsid w:val="00205E98"/>
    <w:rsid w:val="00206365"/>
    <w:rsid w:val="00207DAB"/>
    <w:rsid w:val="00210AC3"/>
    <w:rsid w:val="002133D5"/>
    <w:rsid w:val="0021664E"/>
    <w:rsid w:val="002166EE"/>
    <w:rsid w:val="002173DB"/>
    <w:rsid w:val="00223B77"/>
    <w:rsid w:val="00223F19"/>
    <w:rsid w:val="002243C9"/>
    <w:rsid w:val="0022498C"/>
    <w:rsid w:val="00226044"/>
    <w:rsid w:val="0022774B"/>
    <w:rsid w:val="00227D03"/>
    <w:rsid w:val="00230B7E"/>
    <w:rsid w:val="00236A6F"/>
    <w:rsid w:val="00236ED7"/>
    <w:rsid w:val="0023719E"/>
    <w:rsid w:val="002414AA"/>
    <w:rsid w:val="002414CC"/>
    <w:rsid w:val="00242C33"/>
    <w:rsid w:val="00244FE6"/>
    <w:rsid w:val="00245A41"/>
    <w:rsid w:val="00245FCA"/>
    <w:rsid w:val="00246ABC"/>
    <w:rsid w:val="00247B97"/>
    <w:rsid w:val="002501D2"/>
    <w:rsid w:val="00250ADA"/>
    <w:rsid w:val="00251895"/>
    <w:rsid w:val="00252E83"/>
    <w:rsid w:val="00255C2B"/>
    <w:rsid w:val="00256E01"/>
    <w:rsid w:val="0026005A"/>
    <w:rsid w:val="00260A26"/>
    <w:rsid w:val="00262053"/>
    <w:rsid w:val="0026424F"/>
    <w:rsid w:val="00264889"/>
    <w:rsid w:val="00267740"/>
    <w:rsid w:val="00275353"/>
    <w:rsid w:val="002766C9"/>
    <w:rsid w:val="00276891"/>
    <w:rsid w:val="002803DC"/>
    <w:rsid w:val="00283058"/>
    <w:rsid w:val="00285544"/>
    <w:rsid w:val="00286B8D"/>
    <w:rsid w:val="00286FCA"/>
    <w:rsid w:val="002A0689"/>
    <w:rsid w:val="002A2F98"/>
    <w:rsid w:val="002A4ECB"/>
    <w:rsid w:val="002A5F8F"/>
    <w:rsid w:val="002B0E58"/>
    <w:rsid w:val="002B3B4E"/>
    <w:rsid w:val="002B5881"/>
    <w:rsid w:val="002C1402"/>
    <w:rsid w:val="002C220E"/>
    <w:rsid w:val="002C3EF9"/>
    <w:rsid w:val="002C4EC6"/>
    <w:rsid w:val="002C5C75"/>
    <w:rsid w:val="002C6F38"/>
    <w:rsid w:val="002C715F"/>
    <w:rsid w:val="002C793C"/>
    <w:rsid w:val="002C7AE6"/>
    <w:rsid w:val="002D1C3F"/>
    <w:rsid w:val="002D5E9D"/>
    <w:rsid w:val="002E3327"/>
    <w:rsid w:val="002E61B2"/>
    <w:rsid w:val="002E69AB"/>
    <w:rsid w:val="002E71C9"/>
    <w:rsid w:val="002F1AA3"/>
    <w:rsid w:val="002F20F6"/>
    <w:rsid w:val="002F45EB"/>
    <w:rsid w:val="002F4F6C"/>
    <w:rsid w:val="003010C8"/>
    <w:rsid w:val="00306801"/>
    <w:rsid w:val="00306B4C"/>
    <w:rsid w:val="00307B22"/>
    <w:rsid w:val="00307B50"/>
    <w:rsid w:val="00307FBD"/>
    <w:rsid w:val="003124D7"/>
    <w:rsid w:val="003126FE"/>
    <w:rsid w:val="00314F22"/>
    <w:rsid w:val="003203C3"/>
    <w:rsid w:val="003230F0"/>
    <w:rsid w:val="00324B52"/>
    <w:rsid w:val="00327A2F"/>
    <w:rsid w:val="003303B3"/>
    <w:rsid w:val="00332B61"/>
    <w:rsid w:val="00335111"/>
    <w:rsid w:val="00337434"/>
    <w:rsid w:val="00340AD2"/>
    <w:rsid w:val="00342721"/>
    <w:rsid w:val="00345A0F"/>
    <w:rsid w:val="00346136"/>
    <w:rsid w:val="003467F7"/>
    <w:rsid w:val="00347043"/>
    <w:rsid w:val="0035115E"/>
    <w:rsid w:val="00352BA8"/>
    <w:rsid w:val="00352DCF"/>
    <w:rsid w:val="0035316B"/>
    <w:rsid w:val="00355CE9"/>
    <w:rsid w:val="00356DB0"/>
    <w:rsid w:val="003600AA"/>
    <w:rsid w:val="00361CE6"/>
    <w:rsid w:val="00362A71"/>
    <w:rsid w:val="0036619D"/>
    <w:rsid w:val="003671A6"/>
    <w:rsid w:val="00374DA9"/>
    <w:rsid w:val="00375E9C"/>
    <w:rsid w:val="00377C11"/>
    <w:rsid w:val="003808E2"/>
    <w:rsid w:val="0038317F"/>
    <w:rsid w:val="00386366"/>
    <w:rsid w:val="00386639"/>
    <w:rsid w:val="003876CB"/>
    <w:rsid w:val="003918CA"/>
    <w:rsid w:val="00394944"/>
    <w:rsid w:val="0039604B"/>
    <w:rsid w:val="00396B41"/>
    <w:rsid w:val="00396DD8"/>
    <w:rsid w:val="003A2034"/>
    <w:rsid w:val="003A4917"/>
    <w:rsid w:val="003A71D3"/>
    <w:rsid w:val="003A7C1B"/>
    <w:rsid w:val="003B016E"/>
    <w:rsid w:val="003B0671"/>
    <w:rsid w:val="003B3FC2"/>
    <w:rsid w:val="003B67B6"/>
    <w:rsid w:val="003C17E4"/>
    <w:rsid w:val="003C1CA7"/>
    <w:rsid w:val="003C21CD"/>
    <w:rsid w:val="003C29A9"/>
    <w:rsid w:val="003C2C43"/>
    <w:rsid w:val="003D0A6E"/>
    <w:rsid w:val="003D3F37"/>
    <w:rsid w:val="003D58EC"/>
    <w:rsid w:val="003D5B01"/>
    <w:rsid w:val="003D5C3D"/>
    <w:rsid w:val="003E0777"/>
    <w:rsid w:val="003E12C9"/>
    <w:rsid w:val="003E315B"/>
    <w:rsid w:val="003E3622"/>
    <w:rsid w:val="003E5A87"/>
    <w:rsid w:val="003F0C18"/>
    <w:rsid w:val="003F1593"/>
    <w:rsid w:val="003F323C"/>
    <w:rsid w:val="003F4D75"/>
    <w:rsid w:val="004043B5"/>
    <w:rsid w:val="00405413"/>
    <w:rsid w:val="00405BF4"/>
    <w:rsid w:val="00406160"/>
    <w:rsid w:val="004151B9"/>
    <w:rsid w:val="0041744E"/>
    <w:rsid w:val="0042331B"/>
    <w:rsid w:val="004246BE"/>
    <w:rsid w:val="004256A6"/>
    <w:rsid w:val="00425973"/>
    <w:rsid w:val="00427933"/>
    <w:rsid w:val="00431DEA"/>
    <w:rsid w:val="004343A9"/>
    <w:rsid w:val="00436E07"/>
    <w:rsid w:val="004373F3"/>
    <w:rsid w:val="0044389F"/>
    <w:rsid w:val="00443F35"/>
    <w:rsid w:val="004449EF"/>
    <w:rsid w:val="00450919"/>
    <w:rsid w:val="00453685"/>
    <w:rsid w:val="00456028"/>
    <w:rsid w:val="00461EE8"/>
    <w:rsid w:val="00464B38"/>
    <w:rsid w:val="0046590C"/>
    <w:rsid w:val="00466D26"/>
    <w:rsid w:val="00466E96"/>
    <w:rsid w:val="00467095"/>
    <w:rsid w:val="00471D72"/>
    <w:rsid w:val="00472029"/>
    <w:rsid w:val="00472444"/>
    <w:rsid w:val="0047544C"/>
    <w:rsid w:val="00481D64"/>
    <w:rsid w:val="00485886"/>
    <w:rsid w:val="00485FAB"/>
    <w:rsid w:val="00486D25"/>
    <w:rsid w:val="00490D37"/>
    <w:rsid w:val="0049166E"/>
    <w:rsid w:val="00493110"/>
    <w:rsid w:val="004931EA"/>
    <w:rsid w:val="00494B13"/>
    <w:rsid w:val="0049741B"/>
    <w:rsid w:val="004A097A"/>
    <w:rsid w:val="004A1FFA"/>
    <w:rsid w:val="004A2E37"/>
    <w:rsid w:val="004A604B"/>
    <w:rsid w:val="004A6B8B"/>
    <w:rsid w:val="004A7B6D"/>
    <w:rsid w:val="004B2B37"/>
    <w:rsid w:val="004B3138"/>
    <w:rsid w:val="004B37F9"/>
    <w:rsid w:val="004B516F"/>
    <w:rsid w:val="004B6C9D"/>
    <w:rsid w:val="004C0DC1"/>
    <w:rsid w:val="004C2D5B"/>
    <w:rsid w:val="004C3BC4"/>
    <w:rsid w:val="004C4613"/>
    <w:rsid w:val="004C6AF9"/>
    <w:rsid w:val="004C6E76"/>
    <w:rsid w:val="004D02DB"/>
    <w:rsid w:val="004D0969"/>
    <w:rsid w:val="004D0B3C"/>
    <w:rsid w:val="004D44D2"/>
    <w:rsid w:val="004D53B6"/>
    <w:rsid w:val="004E039B"/>
    <w:rsid w:val="004E070A"/>
    <w:rsid w:val="004E1091"/>
    <w:rsid w:val="004E26AF"/>
    <w:rsid w:val="004E3B7F"/>
    <w:rsid w:val="004E4ED1"/>
    <w:rsid w:val="004F0188"/>
    <w:rsid w:val="004F105F"/>
    <w:rsid w:val="004F1C8A"/>
    <w:rsid w:val="004F2166"/>
    <w:rsid w:val="004F352C"/>
    <w:rsid w:val="004F3533"/>
    <w:rsid w:val="004F3B02"/>
    <w:rsid w:val="004F3CF8"/>
    <w:rsid w:val="004F64DF"/>
    <w:rsid w:val="004F66D9"/>
    <w:rsid w:val="004F7AFD"/>
    <w:rsid w:val="00500161"/>
    <w:rsid w:val="0050233F"/>
    <w:rsid w:val="00504860"/>
    <w:rsid w:val="00505017"/>
    <w:rsid w:val="0050642E"/>
    <w:rsid w:val="00507D13"/>
    <w:rsid w:val="005119FB"/>
    <w:rsid w:val="00512A54"/>
    <w:rsid w:val="005139F3"/>
    <w:rsid w:val="00513B57"/>
    <w:rsid w:val="0051518A"/>
    <w:rsid w:val="005156F7"/>
    <w:rsid w:val="005163A5"/>
    <w:rsid w:val="005178FD"/>
    <w:rsid w:val="005206D6"/>
    <w:rsid w:val="005220A7"/>
    <w:rsid w:val="0052228A"/>
    <w:rsid w:val="005225D0"/>
    <w:rsid w:val="00522FBB"/>
    <w:rsid w:val="00527AE7"/>
    <w:rsid w:val="00527BDB"/>
    <w:rsid w:val="00527DF5"/>
    <w:rsid w:val="00530FF9"/>
    <w:rsid w:val="00531BC5"/>
    <w:rsid w:val="00535E89"/>
    <w:rsid w:val="00537C8A"/>
    <w:rsid w:val="00540DBE"/>
    <w:rsid w:val="00541EDD"/>
    <w:rsid w:val="00547646"/>
    <w:rsid w:val="00547867"/>
    <w:rsid w:val="00552CB5"/>
    <w:rsid w:val="00552E46"/>
    <w:rsid w:val="0055493E"/>
    <w:rsid w:val="00555138"/>
    <w:rsid w:val="00555B29"/>
    <w:rsid w:val="005619D4"/>
    <w:rsid w:val="00563CD0"/>
    <w:rsid w:val="00564524"/>
    <w:rsid w:val="00565A1D"/>
    <w:rsid w:val="00566588"/>
    <w:rsid w:val="00566DE8"/>
    <w:rsid w:val="00567C51"/>
    <w:rsid w:val="00572316"/>
    <w:rsid w:val="00575553"/>
    <w:rsid w:val="00575778"/>
    <w:rsid w:val="005774DA"/>
    <w:rsid w:val="00580473"/>
    <w:rsid w:val="005854B7"/>
    <w:rsid w:val="00585AC2"/>
    <w:rsid w:val="005920EC"/>
    <w:rsid w:val="005965B1"/>
    <w:rsid w:val="005971D2"/>
    <w:rsid w:val="005A1581"/>
    <w:rsid w:val="005A1BF2"/>
    <w:rsid w:val="005A4A46"/>
    <w:rsid w:val="005B0AE1"/>
    <w:rsid w:val="005B0C48"/>
    <w:rsid w:val="005B547E"/>
    <w:rsid w:val="005B65D8"/>
    <w:rsid w:val="005C2565"/>
    <w:rsid w:val="005C461F"/>
    <w:rsid w:val="005C60FE"/>
    <w:rsid w:val="005C7D10"/>
    <w:rsid w:val="005D1361"/>
    <w:rsid w:val="005D2E51"/>
    <w:rsid w:val="005D3B69"/>
    <w:rsid w:val="005D5B82"/>
    <w:rsid w:val="005D6B1D"/>
    <w:rsid w:val="005E1826"/>
    <w:rsid w:val="005E2D61"/>
    <w:rsid w:val="005E4B46"/>
    <w:rsid w:val="005E7A77"/>
    <w:rsid w:val="005F2950"/>
    <w:rsid w:val="005F333A"/>
    <w:rsid w:val="005F67FB"/>
    <w:rsid w:val="005F7258"/>
    <w:rsid w:val="005F760D"/>
    <w:rsid w:val="00600227"/>
    <w:rsid w:val="0060035A"/>
    <w:rsid w:val="00602229"/>
    <w:rsid w:val="00602DD3"/>
    <w:rsid w:val="00604876"/>
    <w:rsid w:val="00605989"/>
    <w:rsid w:val="00605E9C"/>
    <w:rsid w:val="00606DE8"/>
    <w:rsid w:val="0061016C"/>
    <w:rsid w:val="006104A1"/>
    <w:rsid w:val="006170BE"/>
    <w:rsid w:val="00621BBB"/>
    <w:rsid w:val="00622D44"/>
    <w:rsid w:val="006255FB"/>
    <w:rsid w:val="00626632"/>
    <w:rsid w:val="00627898"/>
    <w:rsid w:val="00633718"/>
    <w:rsid w:val="006349BB"/>
    <w:rsid w:val="00635313"/>
    <w:rsid w:val="00635CB5"/>
    <w:rsid w:val="0063659F"/>
    <w:rsid w:val="0064315C"/>
    <w:rsid w:val="0064516E"/>
    <w:rsid w:val="00656F77"/>
    <w:rsid w:val="00660516"/>
    <w:rsid w:val="00660C9B"/>
    <w:rsid w:val="006620F4"/>
    <w:rsid w:val="00665E40"/>
    <w:rsid w:val="00665F9C"/>
    <w:rsid w:val="006706FE"/>
    <w:rsid w:val="0067172D"/>
    <w:rsid w:val="0067271A"/>
    <w:rsid w:val="00673D16"/>
    <w:rsid w:val="00677257"/>
    <w:rsid w:val="0067739D"/>
    <w:rsid w:val="006810B5"/>
    <w:rsid w:val="00682647"/>
    <w:rsid w:val="0069219B"/>
    <w:rsid w:val="006954C0"/>
    <w:rsid w:val="0069783A"/>
    <w:rsid w:val="006A117D"/>
    <w:rsid w:val="006A1EC4"/>
    <w:rsid w:val="006A2F5C"/>
    <w:rsid w:val="006A37C6"/>
    <w:rsid w:val="006B00F2"/>
    <w:rsid w:val="006B0B3C"/>
    <w:rsid w:val="006C04C0"/>
    <w:rsid w:val="006C1FAC"/>
    <w:rsid w:val="006C2502"/>
    <w:rsid w:val="006C3752"/>
    <w:rsid w:val="006C37AA"/>
    <w:rsid w:val="006C5706"/>
    <w:rsid w:val="006C69AC"/>
    <w:rsid w:val="006C6D65"/>
    <w:rsid w:val="006D3C43"/>
    <w:rsid w:val="006D3D27"/>
    <w:rsid w:val="006D5468"/>
    <w:rsid w:val="006E2249"/>
    <w:rsid w:val="006E4719"/>
    <w:rsid w:val="006E53DF"/>
    <w:rsid w:val="006E5BD3"/>
    <w:rsid w:val="006E5C42"/>
    <w:rsid w:val="006F00BE"/>
    <w:rsid w:val="006F6FB0"/>
    <w:rsid w:val="00701081"/>
    <w:rsid w:val="00706298"/>
    <w:rsid w:val="00706EC2"/>
    <w:rsid w:val="007114F2"/>
    <w:rsid w:val="007129D0"/>
    <w:rsid w:val="00713407"/>
    <w:rsid w:val="007202F5"/>
    <w:rsid w:val="0072113F"/>
    <w:rsid w:val="00721DC1"/>
    <w:rsid w:val="007221D6"/>
    <w:rsid w:val="007235B3"/>
    <w:rsid w:val="00725077"/>
    <w:rsid w:val="0072614C"/>
    <w:rsid w:val="00727C4B"/>
    <w:rsid w:val="00732C20"/>
    <w:rsid w:val="0073688C"/>
    <w:rsid w:val="0074155A"/>
    <w:rsid w:val="007419D7"/>
    <w:rsid w:val="007444B2"/>
    <w:rsid w:val="00744F6A"/>
    <w:rsid w:val="00745949"/>
    <w:rsid w:val="00750289"/>
    <w:rsid w:val="007521C1"/>
    <w:rsid w:val="00752914"/>
    <w:rsid w:val="0075345F"/>
    <w:rsid w:val="00753DD3"/>
    <w:rsid w:val="00754F91"/>
    <w:rsid w:val="007558FB"/>
    <w:rsid w:val="0075744F"/>
    <w:rsid w:val="0075798B"/>
    <w:rsid w:val="00762D34"/>
    <w:rsid w:val="00764F59"/>
    <w:rsid w:val="007657C4"/>
    <w:rsid w:val="00767B34"/>
    <w:rsid w:val="00770D24"/>
    <w:rsid w:val="00772476"/>
    <w:rsid w:val="00772CC1"/>
    <w:rsid w:val="007733C8"/>
    <w:rsid w:val="00775D94"/>
    <w:rsid w:val="00775FC5"/>
    <w:rsid w:val="007800DD"/>
    <w:rsid w:val="007815B9"/>
    <w:rsid w:val="0078315A"/>
    <w:rsid w:val="00784A57"/>
    <w:rsid w:val="007867DE"/>
    <w:rsid w:val="007874E4"/>
    <w:rsid w:val="00792A90"/>
    <w:rsid w:val="00792DDC"/>
    <w:rsid w:val="007935A7"/>
    <w:rsid w:val="00793D11"/>
    <w:rsid w:val="00796338"/>
    <w:rsid w:val="00796F90"/>
    <w:rsid w:val="007A326A"/>
    <w:rsid w:val="007A49A2"/>
    <w:rsid w:val="007A6E7B"/>
    <w:rsid w:val="007A6F28"/>
    <w:rsid w:val="007B0C52"/>
    <w:rsid w:val="007B0CD3"/>
    <w:rsid w:val="007B26FB"/>
    <w:rsid w:val="007B2A4A"/>
    <w:rsid w:val="007B333E"/>
    <w:rsid w:val="007B5B85"/>
    <w:rsid w:val="007C04CE"/>
    <w:rsid w:val="007C37F8"/>
    <w:rsid w:val="007D125F"/>
    <w:rsid w:val="007D18B7"/>
    <w:rsid w:val="007D567C"/>
    <w:rsid w:val="007D62EB"/>
    <w:rsid w:val="007E1A8C"/>
    <w:rsid w:val="007E3D18"/>
    <w:rsid w:val="007E4793"/>
    <w:rsid w:val="007E5DA2"/>
    <w:rsid w:val="007E6C39"/>
    <w:rsid w:val="007E7E66"/>
    <w:rsid w:val="007F0227"/>
    <w:rsid w:val="007F33B4"/>
    <w:rsid w:val="007F4C63"/>
    <w:rsid w:val="0080612A"/>
    <w:rsid w:val="00806DCB"/>
    <w:rsid w:val="00811984"/>
    <w:rsid w:val="008133E0"/>
    <w:rsid w:val="00814EFE"/>
    <w:rsid w:val="00816D51"/>
    <w:rsid w:val="00820983"/>
    <w:rsid w:val="00820BCE"/>
    <w:rsid w:val="00824CA4"/>
    <w:rsid w:val="008251B3"/>
    <w:rsid w:val="00827BB6"/>
    <w:rsid w:val="0083354C"/>
    <w:rsid w:val="008341FA"/>
    <w:rsid w:val="00834FFB"/>
    <w:rsid w:val="00835DAC"/>
    <w:rsid w:val="008364A0"/>
    <w:rsid w:val="00836B9D"/>
    <w:rsid w:val="00837F7E"/>
    <w:rsid w:val="00840468"/>
    <w:rsid w:val="00840548"/>
    <w:rsid w:val="008410C1"/>
    <w:rsid w:val="00844B6A"/>
    <w:rsid w:val="0084507C"/>
    <w:rsid w:val="0084649E"/>
    <w:rsid w:val="00847552"/>
    <w:rsid w:val="00850831"/>
    <w:rsid w:val="00852F6E"/>
    <w:rsid w:val="008547B6"/>
    <w:rsid w:val="00857D0F"/>
    <w:rsid w:val="00861B81"/>
    <w:rsid w:val="00864823"/>
    <w:rsid w:val="00864FEF"/>
    <w:rsid w:val="008673C4"/>
    <w:rsid w:val="008706D2"/>
    <w:rsid w:val="00871628"/>
    <w:rsid w:val="00871D69"/>
    <w:rsid w:val="0087282D"/>
    <w:rsid w:val="0087470E"/>
    <w:rsid w:val="008752A5"/>
    <w:rsid w:val="00875D7B"/>
    <w:rsid w:val="00880E01"/>
    <w:rsid w:val="00880EAB"/>
    <w:rsid w:val="00880F8E"/>
    <w:rsid w:val="00881A4A"/>
    <w:rsid w:val="0088608E"/>
    <w:rsid w:val="0088678B"/>
    <w:rsid w:val="00891AA7"/>
    <w:rsid w:val="0089277E"/>
    <w:rsid w:val="008959DA"/>
    <w:rsid w:val="008A2D2C"/>
    <w:rsid w:val="008A732C"/>
    <w:rsid w:val="008B12A4"/>
    <w:rsid w:val="008B1691"/>
    <w:rsid w:val="008B4D26"/>
    <w:rsid w:val="008B4E6C"/>
    <w:rsid w:val="008C2AF1"/>
    <w:rsid w:val="008C2EAE"/>
    <w:rsid w:val="008C3482"/>
    <w:rsid w:val="008C5A40"/>
    <w:rsid w:val="008D01DF"/>
    <w:rsid w:val="008D0DA0"/>
    <w:rsid w:val="008D0F5F"/>
    <w:rsid w:val="008D265B"/>
    <w:rsid w:val="008D28A5"/>
    <w:rsid w:val="008D56CE"/>
    <w:rsid w:val="008E0BFE"/>
    <w:rsid w:val="008E19E7"/>
    <w:rsid w:val="008E4491"/>
    <w:rsid w:val="008E490D"/>
    <w:rsid w:val="008E4CE4"/>
    <w:rsid w:val="008E4EEC"/>
    <w:rsid w:val="008E5A48"/>
    <w:rsid w:val="008E6707"/>
    <w:rsid w:val="008F141C"/>
    <w:rsid w:val="008F3164"/>
    <w:rsid w:val="008F3B89"/>
    <w:rsid w:val="008F5AF8"/>
    <w:rsid w:val="00900265"/>
    <w:rsid w:val="0090293E"/>
    <w:rsid w:val="00903888"/>
    <w:rsid w:val="00903D90"/>
    <w:rsid w:val="0090522D"/>
    <w:rsid w:val="00906CC7"/>
    <w:rsid w:val="00914C89"/>
    <w:rsid w:val="0092303B"/>
    <w:rsid w:val="00923CD6"/>
    <w:rsid w:val="00925661"/>
    <w:rsid w:val="009264DA"/>
    <w:rsid w:val="009304A6"/>
    <w:rsid w:val="00931A19"/>
    <w:rsid w:val="009326ED"/>
    <w:rsid w:val="009351E8"/>
    <w:rsid w:val="009367CA"/>
    <w:rsid w:val="00937D58"/>
    <w:rsid w:val="00941664"/>
    <w:rsid w:val="00942BF7"/>
    <w:rsid w:val="00951990"/>
    <w:rsid w:val="00951BC9"/>
    <w:rsid w:val="00952F3A"/>
    <w:rsid w:val="009542BB"/>
    <w:rsid w:val="009552A4"/>
    <w:rsid w:val="0096157E"/>
    <w:rsid w:val="00961E77"/>
    <w:rsid w:val="00963A7C"/>
    <w:rsid w:val="00964159"/>
    <w:rsid w:val="009641C4"/>
    <w:rsid w:val="009676BF"/>
    <w:rsid w:val="00967864"/>
    <w:rsid w:val="00971C95"/>
    <w:rsid w:val="00973022"/>
    <w:rsid w:val="009753C5"/>
    <w:rsid w:val="00975B73"/>
    <w:rsid w:val="00975E31"/>
    <w:rsid w:val="00980858"/>
    <w:rsid w:val="00980A56"/>
    <w:rsid w:val="009824BC"/>
    <w:rsid w:val="009915FB"/>
    <w:rsid w:val="00992F16"/>
    <w:rsid w:val="00997B3A"/>
    <w:rsid w:val="009A1E24"/>
    <w:rsid w:val="009A1ED7"/>
    <w:rsid w:val="009A2014"/>
    <w:rsid w:val="009A4AC4"/>
    <w:rsid w:val="009A7122"/>
    <w:rsid w:val="009A7789"/>
    <w:rsid w:val="009B07B7"/>
    <w:rsid w:val="009B0BFB"/>
    <w:rsid w:val="009B1FC6"/>
    <w:rsid w:val="009B2728"/>
    <w:rsid w:val="009B4897"/>
    <w:rsid w:val="009B6536"/>
    <w:rsid w:val="009C071B"/>
    <w:rsid w:val="009C083E"/>
    <w:rsid w:val="009C4508"/>
    <w:rsid w:val="009C4612"/>
    <w:rsid w:val="009C4DD6"/>
    <w:rsid w:val="009C4FDC"/>
    <w:rsid w:val="009C6248"/>
    <w:rsid w:val="009C6DCD"/>
    <w:rsid w:val="009C78FB"/>
    <w:rsid w:val="009D06B0"/>
    <w:rsid w:val="009D1C1B"/>
    <w:rsid w:val="009D504C"/>
    <w:rsid w:val="009E04AD"/>
    <w:rsid w:val="009E0E2E"/>
    <w:rsid w:val="009E1707"/>
    <w:rsid w:val="009E6723"/>
    <w:rsid w:val="009E7673"/>
    <w:rsid w:val="009F03CC"/>
    <w:rsid w:val="009F14DE"/>
    <w:rsid w:val="009F31E1"/>
    <w:rsid w:val="009F36B3"/>
    <w:rsid w:val="009F4F8D"/>
    <w:rsid w:val="00A023EB"/>
    <w:rsid w:val="00A0273E"/>
    <w:rsid w:val="00A02B4F"/>
    <w:rsid w:val="00A04491"/>
    <w:rsid w:val="00A057B1"/>
    <w:rsid w:val="00A066BD"/>
    <w:rsid w:val="00A12360"/>
    <w:rsid w:val="00A14D6E"/>
    <w:rsid w:val="00A15B90"/>
    <w:rsid w:val="00A17323"/>
    <w:rsid w:val="00A174A7"/>
    <w:rsid w:val="00A21859"/>
    <w:rsid w:val="00A2369C"/>
    <w:rsid w:val="00A24B5C"/>
    <w:rsid w:val="00A2509F"/>
    <w:rsid w:val="00A25A18"/>
    <w:rsid w:val="00A27DEE"/>
    <w:rsid w:val="00A32900"/>
    <w:rsid w:val="00A32E91"/>
    <w:rsid w:val="00A32FF3"/>
    <w:rsid w:val="00A359B9"/>
    <w:rsid w:val="00A378DA"/>
    <w:rsid w:val="00A37E8E"/>
    <w:rsid w:val="00A4184F"/>
    <w:rsid w:val="00A431BB"/>
    <w:rsid w:val="00A434B4"/>
    <w:rsid w:val="00A4452D"/>
    <w:rsid w:val="00A457EE"/>
    <w:rsid w:val="00A47398"/>
    <w:rsid w:val="00A479DE"/>
    <w:rsid w:val="00A50E10"/>
    <w:rsid w:val="00A544A8"/>
    <w:rsid w:val="00A60AD0"/>
    <w:rsid w:val="00A60B81"/>
    <w:rsid w:val="00A60F83"/>
    <w:rsid w:val="00A61205"/>
    <w:rsid w:val="00A61BD4"/>
    <w:rsid w:val="00A67B6F"/>
    <w:rsid w:val="00A718FF"/>
    <w:rsid w:val="00A71A70"/>
    <w:rsid w:val="00A7482D"/>
    <w:rsid w:val="00A752F4"/>
    <w:rsid w:val="00A8030E"/>
    <w:rsid w:val="00A81AB5"/>
    <w:rsid w:val="00A81BB8"/>
    <w:rsid w:val="00A8395D"/>
    <w:rsid w:val="00A85C85"/>
    <w:rsid w:val="00A86987"/>
    <w:rsid w:val="00A87652"/>
    <w:rsid w:val="00A87B44"/>
    <w:rsid w:val="00A94F57"/>
    <w:rsid w:val="00A95701"/>
    <w:rsid w:val="00A9714F"/>
    <w:rsid w:val="00A97D63"/>
    <w:rsid w:val="00A97FBA"/>
    <w:rsid w:val="00AA0E46"/>
    <w:rsid w:val="00AA5568"/>
    <w:rsid w:val="00AA5D98"/>
    <w:rsid w:val="00AA68C5"/>
    <w:rsid w:val="00AA787B"/>
    <w:rsid w:val="00AB1AF4"/>
    <w:rsid w:val="00AB2B46"/>
    <w:rsid w:val="00AB4AFE"/>
    <w:rsid w:val="00AB50D2"/>
    <w:rsid w:val="00AB5F77"/>
    <w:rsid w:val="00AB5FA2"/>
    <w:rsid w:val="00AC08E8"/>
    <w:rsid w:val="00AC26D3"/>
    <w:rsid w:val="00AC5227"/>
    <w:rsid w:val="00AC530C"/>
    <w:rsid w:val="00AC6B66"/>
    <w:rsid w:val="00AC7001"/>
    <w:rsid w:val="00AD06E0"/>
    <w:rsid w:val="00AD1630"/>
    <w:rsid w:val="00AD740F"/>
    <w:rsid w:val="00AD7BE8"/>
    <w:rsid w:val="00AE2345"/>
    <w:rsid w:val="00AE2E8A"/>
    <w:rsid w:val="00AE482A"/>
    <w:rsid w:val="00AE6CEE"/>
    <w:rsid w:val="00AE6F64"/>
    <w:rsid w:val="00AE7787"/>
    <w:rsid w:val="00AF12CD"/>
    <w:rsid w:val="00AF1CAC"/>
    <w:rsid w:val="00AF2A56"/>
    <w:rsid w:val="00AF3F28"/>
    <w:rsid w:val="00AF51AD"/>
    <w:rsid w:val="00AF6653"/>
    <w:rsid w:val="00B01613"/>
    <w:rsid w:val="00B03611"/>
    <w:rsid w:val="00B039B8"/>
    <w:rsid w:val="00B03B4C"/>
    <w:rsid w:val="00B06BB6"/>
    <w:rsid w:val="00B1013E"/>
    <w:rsid w:val="00B10420"/>
    <w:rsid w:val="00B105A5"/>
    <w:rsid w:val="00B10EB9"/>
    <w:rsid w:val="00B11A51"/>
    <w:rsid w:val="00B12185"/>
    <w:rsid w:val="00B1239A"/>
    <w:rsid w:val="00B12460"/>
    <w:rsid w:val="00B13613"/>
    <w:rsid w:val="00B14119"/>
    <w:rsid w:val="00B20168"/>
    <w:rsid w:val="00B2040F"/>
    <w:rsid w:val="00B20FE6"/>
    <w:rsid w:val="00B213ED"/>
    <w:rsid w:val="00B23FBF"/>
    <w:rsid w:val="00B26BEB"/>
    <w:rsid w:val="00B31FD7"/>
    <w:rsid w:val="00B3208B"/>
    <w:rsid w:val="00B324DC"/>
    <w:rsid w:val="00B35524"/>
    <w:rsid w:val="00B35C55"/>
    <w:rsid w:val="00B4012B"/>
    <w:rsid w:val="00B40755"/>
    <w:rsid w:val="00B4444B"/>
    <w:rsid w:val="00B45EB6"/>
    <w:rsid w:val="00B4669B"/>
    <w:rsid w:val="00B52C06"/>
    <w:rsid w:val="00B56DC3"/>
    <w:rsid w:val="00B5730B"/>
    <w:rsid w:val="00B60616"/>
    <w:rsid w:val="00B60619"/>
    <w:rsid w:val="00B60D96"/>
    <w:rsid w:val="00B61FCC"/>
    <w:rsid w:val="00B6206D"/>
    <w:rsid w:val="00B668D6"/>
    <w:rsid w:val="00B70634"/>
    <w:rsid w:val="00B71037"/>
    <w:rsid w:val="00B73ACA"/>
    <w:rsid w:val="00B74116"/>
    <w:rsid w:val="00B7468D"/>
    <w:rsid w:val="00B77C96"/>
    <w:rsid w:val="00B81DF7"/>
    <w:rsid w:val="00B867C5"/>
    <w:rsid w:val="00B8689A"/>
    <w:rsid w:val="00B9054C"/>
    <w:rsid w:val="00B90DCC"/>
    <w:rsid w:val="00B91FAD"/>
    <w:rsid w:val="00B947BC"/>
    <w:rsid w:val="00B94F19"/>
    <w:rsid w:val="00B95333"/>
    <w:rsid w:val="00B96205"/>
    <w:rsid w:val="00B96428"/>
    <w:rsid w:val="00B970CB"/>
    <w:rsid w:val="00B973D9"/>
    <w:rsid w:val="00B97A65"/>
    <w:rsid w:val="00B97D66"/>
    <w:rsid w:val="00BA091E"/>
    <w:rsid w:val="00BB084E"/>
    <w:rsid w:val="00BB201B"/>
    <w:rsid w:val="00BB3B19"/>
    <w:rsid w:val="00BB58AC"/>
    <w:rsid w:val="00BB65C4"/>
    <w:rsid w:val="00BC68C8"/>
    <w:rsid w:val="00BC6E35"/>
    <w:rsid w:val="00BD42E7"/>
    <w:rsid w:val="00BD4735"/>
    <w:rsid w:val="00BD6B5E"/>
    <w:rsid w:val="00BD7F48"/>
    <w:rsid w:val="00BE129D"/>
    <w:rsid w:val="00BE31F9"/>
    <w:rsid w:val="00BF1AE5"/>
    <w:rsid w:val="00BF1C41"/>
    <w:rsid w:val="00BF4258"/>
    <w:rsid w:val="00BF4633"/>
    <w:rsid w:val="00BF5384"/>
    <w:rsid w:val="00BF5B11"/>
    <w:rsid w:val="00BF789E"/>
    <w:rsid w:val="00BF7B3B"/>
    <w:rsid w:val="00C06CB2"/>
    <w:rsid w:val="00C116B9"/>
    <w:rsid w:val="00C13E14"/>
    <w:rsid w:val="00C20724"/>
    <w:rsid w:val="00C2282E"/>
    <w:rsid w:val="00C23BE5"/>
    <w:rsid w:val="00C31A96"/>
    <w:rsid w:val="00C33CB3"/>
    <w:rsid w:val="00C374D1"/>
    <w:rsid w:val="00C40E28"/>
    <w:rsid w:val="00C43CFF"/>
    <w:rsid w:val="00C45396"/>
    <w:rsid w:val="00C46DAE"/>
    <w:rsid w:val="00C4714D"/>
    <w:rsid w:val="00C477F6"/>
    <w:rsid w:val="00C47C0E"/>
    <w:rsid w:val="00C51012"/>
    <w:rsid w:val="00C51345"/>
    <w:rsid w:val="00C51F0F"/>
    <w:rsid w:val="00C56221"/>
    <w:rsid w:val="00C565CE"/>
    <w:rsid w:val="00C56922"/>
    <w:rsid w:val="00C57FBD"/>
    <w:rsid w:val="00C60D61"/>
    <w:rsid w:val="00C7474D"/>
    <w:rsid w:val="00C75277"/>
    <w:rsid w:val="00C75756"/>
    <w:rsid w:val="00C818AC"/>
    <w:rsid w:val="00C82CE6"/>
    <w:rsid w:val="00C8561B"/>
    <w:rsid w:val="00C93D1F"/>
    <w:rsid w:val="00C97553"/>
    <w:rsid w:val="00CA09A5"/>
    <w:rsid w:val="00CA2085"/>
    <w:rsid w:val="00CA20C1"/>
    <w:rsid w:val="00CA3A0D"/>
    <w:rsid w:val="00CA4A61"/>
    <w:rsid w:val="00CA4C3A"/>
    <w:rsid w:val="00CA6E18"/>
    <w:rsid w:val="00CA7999"/>
    <w:rsid w:val="00CB08F7"/>
    <w:rsid w:val="00CB0B43"/>
    <w:rsid w:val="00CB312D"/>
    <w:rsid w:val="00CB3C9B"/>
    <w:rsid w:val="00CB4206"/>
    <w:rsid w:val="00CB439B"/>
    <w:rsid w:val="00CB4F64"/>
    <w:rsid w:val="00CB5357"/>
    <w:rsid w:val="00CB6583"/>
    <w:rsid w:val="00CC1D69"/>
    <w:rsid w:val="00CC2510"/>
    <w:rsid w:val="00CC4A81"/>
    <w:rsid w:val="00CC51D3"/>
    <w:rsid w:val="00CC5422"/>
    <w:rsid w:val="00CC65AD"/>
    <w:rsid w:val="00CC7611"/>
    <w:rsid w:val="00CD1EC3"/>
    <w:rsid w:val="00CD39D6"/>
    <w:rsid w:val="00CD4D52"/>
    <w:rsid w:val="00CD6494"/>
    <w:rsid w:val="00CE08D6"/>
    <w:rsid w:val="00CE0D1B"/>
    <w:rsid w:val="00CE2592"/>
    <w:rsid w:val="00CF30D8"/>
    <w:rsid w:val="00CF6438"/>
    <w:rsid w:val="00CF6CE1"/>
    <w:rsid w:val="00D11853"/>
    <w:rsid w:val="00D12171"/>
    <w:rsid w:val="00D141AE"/>
    <w:rsid w:val="00D15542"/>
    <w:rsid w:val="00D164C2"/>
    <w:rsid w:val="00D17E56"/>
    <w:rsid w:val="00D232DC"/>
    <w:rsid w:val="00D236AB"/>
    <w:rsid w:val="00D25066"/>
    <w:rsid w:val="00D258D0"/>
    <w:rsid w:val="00D2646B"/>
    <w:rsid w:val="00D279B4"/>
    <w:rsid w:val="00D33C4D"/>
    <w:rsid w:val="00D34018"/>
    <w:rsid w:val="00D3508A"/>
    <w:rsid w:val="00D35792"/>
    <w:rsid w:val="00D3602A"/>
    <w:rsid w:val="00D40531"/>
    <w:rsid w:val="00D415F6"/>
    <w:rsid w:val="00D42FD6"/>
    <w:rsid w:val="00D46F07"/>
    <w:rsid w:val="00D50D8D"/>
    <w:rsid w:val="00D53A8A"/>
    <w:rsid w:val="00D57562"/>
    <w:rsid w:val="00D60DFD"/>
    <w:rsid w:val="00D61918"/>
    <w:rsid w:val="00D62E98"/>
    <w:rsid w:val="00D64207"/>
    <w:rsid w:val="00D6555C"/>
    <w:rsid w:val="00D66111"/>
    <w:rsid w:val="00D661C4"/>
    <w:rsid w:val="00D70FC8"/>
    <w:rsid w:val="00D729C0"/>
    <w:rsid w:val="00D72F7F"/>
    <w:rsid w:val="00D81D42"/>
    <w:rsid w:val="00D833E0"/>
    <w:rsid w:val="00D840BC"/>
    <w:rsid w:val="00D8540B"/>
    <w:rsid w:val="00D866FA"/>
    <w:rsid w:val="00D86EC4"/>
    <w:rsid w:val="00D91062"/>
    <w:rsid w:val="00D91F37"/>
    <w:rsid w:val="00D92340"/>
    <w:rsid w:val="00D93475"/>
    <w:rsid w:val="00D9506A"/>
    <w:rsid w:val="00D966E7"/>
    <w:rsid w:val="00D97B06"/>
    <w:rsid w:val="00D97B5D"/>
    <w:rsid w:val="00D97F13"/>
    <w:rsid w:val="00DA1C76"/>
    <w:rsid w:val="00DA6E37"/>
    <w:rsid w:val="00DB1310"/>
    <w:rsid w:val="00DB1E40"/>
    <w:rsid w:val="00DB39F8"/>
    <w:rsid w:val="00DB3F68"/>
    <w:rsid w:val="00DC3FA4"/>
    <w:rsid w:val="00DC5AAA"/>
    <w:rsid w:val="00DC60CA"/>
    <w:rsid w:val="00DC646A"/>
    <w:rsid w:val="00DC6D03"/>
    <w:rsid w:val="00DD004E"/>
    <w:rsid w:val="00DD6D3D"/>
    <w:rsid w:val="00DD7B21"/>
    <w:rsid w:val="00DE1112"/>
    <w:rsid w:val="00DE2249"/>
    <w:rsid w:val="00DF23BA"/>
    <w:rsid w:val="00DF2F66"/>
    <w:rsid w:val="00DF35A2"/>
    <w:rsid w:val="00E00AA7"/>
    <w:rsid w:val="00E01418"/>
    <w:rsid w:val="00E07DC2"/>
    <w:rsid w:val="00E10001"/>
    <w:rsid w:val="00E1033C"/>
    <w:rsid w:val="00E12505"/>
    <w:rsid w:val="00E137F8"/>
    <w:rsid w:val="00E13E83"/>
    <w:rsid w:val="00E13F9A"/>
    <w:rsid w:val="00E15564"/>
    <w:rsid w:val="00E15720"/>
    <w:rsid w:val="00E16F29"/>
    <w:rsid w:val="00E2034A"/>
    <w:rsid w:val="00E211D0"/>
    <w:rsid w:val="00E22726"/>
    <w:rsid w:val="00E24A91"/>
    <w:rsid w:val="00E26712"/>
    <w:rsid w:val="00E331E7"/>
    <w:rsid w:val="00E340CD"/>
    <w:rsid w:val="00E344ED"/>
    <w:rsid w:val="00E35150"/>
    <w:rsid w:val="00E403EF"/>
    <w:rsid w:val="00E418C9"/>
    <w:rsid w:val="00E425F7"/>
    <w:rsid w:val="00E43D5A"/>
    <w:rsid w:val="00E46CA3"/>
    <w:rsid w:val="00E51FF1"/>
    <w:rsid w:val="00E53664"/>
    <w:rsid w:val="00E536EE"/>
    <w:rsid w:val="00E5526D"/>
    <w:rsid w:val="00E55839"/>
    <w:rsid w:val="00E61FB7"/>
    <w:rsid w:val="00E6313E"/>
    <w:rsid w:val="00E64A60"/>
    <w:rsid w:val="00E656BE"/>
    <w:rsid w:val="00E660D0"/>
    <w:rsid w:val="00E6615E"/>
    <w:rsid w:val="00E710DA"/>
    <w:rsid w:val="00E71527"/>
    <w:rsid w:val="00E76B33"/>
    <w:rsid w:val="00E77DAA"/>
    <w:rsid w:val="00E77E92"/>
    <w:rsid w:val="00E83258"/>
    <w:rsid w:val="00E84199"/>
    <w:rsid w:val="00E85E58"/>
    <w:rsid w:val="00E92036"/>
    <w:rsid w:val="00E96482"/>
    <w:rsid w:val="00E96CBB"/>
    <w:rsid w:val="00EA2F5D"/>
    <w:rsid w:val="00EA435A"/>
    <w:rsid w:val="00EA4CAE"/>
    <w:rsid w:val="00EA6483"/>
    <w:rsid w:val="00EA6818"/>
    <w:rsid w:val="00EB06F3"/>
    <w:rsid w:val="00EB087B"/>
    <w:rsid w:val="00EB2090"/>
    <w:rsid w:val="00EB2195"/>
    <w:rsid w:val="00EB3D22"/>
    <w:rsid w:val="00EB642B"/>
    <w:rsid w:val="00EC15B8"/>
    <w:rsid w:val="00EC1A96"/>
    <w:rsid w:val="00EC4569"/>
    <w:rsid w:val="00EC4D15"/>
    <w:rsid w:val="00EC5918"/>
    <w:rsid w:val="00EC7AF2"/>
    <w:rsid w:val="00ED1417"/>
    <w:rsid w:val="00ED2870"/>
    <w:rsid w:val="00ED34C0"/>
    <w:rsid w:val="00ED4CAB"/>
    <w:rsid w:val="00ED4CC6"/>
    <w:rsid w:val="00ED58AB"/>
    <w:rsid w:val="00ED597A"/>
    <w:rsid w:val="00ED5BCA"/>
    <w:rsid w:val="00ED7788"/>
    <w:rsid w:val="00ED7789"/>
    <w:rsid w:val="00EE1360"/>
    <w:rsid w:val="00EE23C2"/>
    <w:rsid w:val="00EE6A0B"/>
    <w:rsid w:val="00EE6E47"/>
    <w:rsid w:val="00EE7BAB"/>
    <w:rsid w:val="00EE7C0A"/>
    <w:rsid w:val="00EE7F3F"/>
    <w:rsid w:val="00EF1412"/>
    <w:rsid w:val="00EF18C6"/>
    <w:rsid w:val="00EF1B41"/>
    <w:rsid w:val="00EF1DDF"/>
    <w:rsid w:val="00EF2009"/>
    <w:rsid w:val="00EF415A"/>
    <w:rsid w:val="00F00834"/>
    <w:rsid w:val="00F024A7"/>
    <w:rsid w:val="00F02C5E"/>
    <w:rsid w:val="00F04A18"/>
    <w:rsid w:val="00F1097D"/>
    <w:rsid w:val="00F11810"/>
    <w:rsid w:val="00F11852"/>
    <w:rsid w:val="00F11D10"/>
    <w:rsid w:val="00F13A20"/>
    <w:rsid w:val="00F1423B"/>
    <w:rsid w:val="00F17DA0"/>
    <w:rsid w:val="00F22CA4"/>
    <w:rsid w:val="00F2569D"/>
    <w:rsid w:val="00F268CA"/>
    <w:rsid w:val="00F26F1A"/>
    <w:rsid w:val="00F27EAD"/>
    <w:rsid w:val="00F30302"/>
    <w:rsid w:val="00F317D7"/>
    <w:rsid w:val="00F3202B"/>
    <w:rsid w:val="00F327F7"/>
    <w:rsid w:val="00F339F1"/>
    <w:rsid w:val="00F33FB5"/>
    <w:rsid w:val="00F44FD7"/>
    <w:rsid w:val="00F46438"/>
    <w:rsid w:val="00F474D6"/>
    <w:rsid w:val="00F51A8A"/>
    <w:rsid w:val="00F523B6"/>
    <w:rsid w:val="00F5241A"/>
    <w:rsid w:val="00F5314D"/>
    <w:rsid w:val="00F55561"/>
    <w:rsid w:val="00F57E80"/>
    <w:rsid w:val="00F60F5B"/>
    <w:rsid w:val="00F65435"/>
    <w:rsid w:val="00F6587C"/>
    <w:rsid w:val="00F66E7C"/>
    <w:rsid w:val="00F66F29"/>
    <w:rsid w:val="00F7027C"/>
    <w:rsid w:val="00F70FF7"/>
    <w:rsid w:val="00F7484B"/>
    <w:rsid w:val="00F7600A"/>
    <w:rsid w:val="00F7685E"/>
    <w:rsid w:val="00F76A8E"/>
    <w:rsid w:val="00F835BA"/>
    <w:rsid w:val="00F83D72"/>
    <w:rsid w:val="00F84875"/>
    <w:rsid w:val="00F91EF4"/>
    <w:rsid w:val="00F9606F"/>
    <w:rsid w:val="00F97932"/>
    <w:rsid w:val="00FA00A5"/>
    <w:rsid w:val="00FA0CD3"/>
    <w:rsid w:val="00FA29D9"/>
    <w:rsid w:val="00FA3557"/>
    <w:rsid w:val="00FA5D8E"/>
    <w:rsid w:val="00FB32FA"/>
    <w:rsid w:val="00FB58BC"/>
    <w:rsid w:val="00FC071A"/>
    <w:rsid w:val="00FC09A0"/>
    <w:rsid w:val="00FC1155"/>
    <w:rsid w:val="00FC13DF"/>
    <w:rsid w:val="00FC3330"/>
    <w:rsid w:val="00FC5A51"/>
    <w:rsid w:val="00FD0190"/>
    <w:rsid w:val="00FD4BD3"/>
    <w:rsid w:val="00FD59D6"/>
    <w:rsid w:val="00FD7934"/>
    <w:rsid w:val="00FE1374"/>
    <w:rsid w:val="00FE2819"/>
    <w:rsid w:val="00FE2F8A"/>
    <w:rsid w:val="00FE4464"/>
    <w:rsid w:val="00FF17EA"/>
    <w:rsid w:val="00FF1887"/>
    <w:rsid w:val="00FF1C20"/>
    <w:rsid w:val="00FF482F"/>
    <w:rsid w:val="00FF4C95"/>
    <w:rsid w:val="00FF6415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9"/>
    <w:rPr>
      <w:sz w:val="24"/>
      <w:szCs w:val="24"/>
    </w:rPr>
  </w:style>
  <w:style w:type="paragraph" w:styleId="1">
    <w:name w:val="heading 1"/>
    <w:basedOn w:val="a"/>
    <w:next w:val="a"/>
    <w:qFormat/>
    <w:rsid w:val="006717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D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71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A87652"/>
    <w:pPr>
      <w:keepNext/>
      <w:overflowPunct w:val="0"/>
      <w:autoSpaceDE w:val="0"/>
      <w:autoSpaceDN w:val="0"/>
      <w:adjustRightInd w:val="0"/>
      <w:ind w:right="-1"/>
      <w:jc w:val="both"/>
      <w:textAlignment w:val="baseline"/>
      <w:outlineLvl w:val="3"/>
    </w:pPr>
    <w:rPr>
      <w:b/>
      <w:bCs/>
      <w:szCs w:val="20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D6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871D69"/>
    <w:rPr>
      <w:rFonts w:ascii="Tahoma" w:hAnsi="Tahoma" w:cs="Tahoma"/>
      <w:sz w:val="16"/>
      <w:szCs w:val="16"/>
      <w:lang w:val="el-GR" w:eastAsia="el-GR"/>
    </w:rPr>
  </w:style>
  <w:style w:type="character" w:styleId="a4">
    <w:name w:val="Placeholder Text"/>
    <w:uiPriority w:val="99"/>
    <w:semiHidden/>
    <w:rsid w:val="00871D69"/>
    <w:rPr>
      <w:color w:val="808080"/>
    </w:rPr>
  </w:style>
  <w:style w:type="paragraph" w:styleId="a5">
    <w:name w:val="header"/>
    <w:basedOn w:val="a"/>
    <w:link w:val="Char0"/>
    <w:unhideWhenUsed/>
    <w:rsid w:val="00E01418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rsid w:val="00E01418"/>
    <w:rPr>
      <w:sz w:val="24"/>
      <w:szCs w:val="24"/>
      <w:lang w:val="el-GR" w:eastAsia="el-GR"/>
    </w:rPr>
  </w:style>
  <w:style w:type="paragraph" w:styleId="a6">
    <w:name w:val="footer"/>
    <w:basedOn w:val="a"/>
    <w:link w:val="Char1"/>
    <w:uiPriority w:val="99"/>
    <w:unhideWhenUsed/>
    <w:rsid w:val="00E01418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01418"/>
    <w:rPr>
      <w:sz w:val="24"/>
      <w:szCs w:val="24"/>
      <w:lang w:val="el-GR" w:eastAsia="el-GR"/>
    </w:rPr>
  </w:style>
  <w:style w:type="character" w:styleId="a7">
    <w:name w:val="Strong"/>
    <w:uiPriority w:val="22"/>
    <w:qFormat/>
    <w:rsid w:val="00202E6C"/>
    <w:rPr>
      <w:b/>
      <w:bCs/>
    </w:rPr>
  </w:style>
  <w:style w:type="character" w:customStyle="1" w:styleId="Style1">
    <w:name w:val="Style1"/>
    <w:basedOn w:val="a7"/>
    <w:uiPriority w:val="1"/>
    <w:rsid w:val="00202E6C"/>
  </w:style>
  <w:style w:type="character" w:customStyle="1" w:styleId="Style2">
    <w:name w:val="Style2"/>
    <w:uiPriority w:val="1"/>
    <w:rsid w:val="00202E6C"/>
  </w:style>
  <w:style w:type="character" w:styleId="-">
    <w:name w:val="Hyperlink"/>
    <w:uiPriority w:val="99"/>
    <w:unhideWhenUsed/>
    <w:rsid w:val="009A7789"/>
    <w:rPr>
      <w:color w:val="0000FF"/>
      <w:u w:val="single"/>
    </w:rPr>
  </w:style>
  <w:style w:type="paragraph" w:styleId="a8">
    <w:name w:val="Document Map"/>
    <w:basedOn w:val="a"/>
    <w:link w:val="Char2"/>
    <w:uiPriority w:val="99"/>
    <w:semiHidden/>
    <w:unhideWhenUsed/>
    <w:rsid w:val="007B0C52"/>
    <w:rPr>
      <w:rFonts w:ascii="Tahoma" w:hAnsi="Tahoma"/>
      <w:sz w:val="16"/>
      <w:szCs w:val="16"/>
      <w:lang/>
    </w:rPr>
  </w:style>
  <w:style w:type="character" w:customStyle="1" w:styleId="Char2">
    <w:name w:val="Χάρτης εγγράφου Char"/>
    <w:link w:val="a8"/>
    <w:uiPriority w:val="99"/>
    <w:semiHidden/>
    <w:rsid w:val="007B0C5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0D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A87652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PA-Serif" w:hAnsi="PA-Serif"/>
      <w:szCs w:val="20"/>
      <w:lang w:val="en-US"/>
    </w:rPr>
  </w:style>
  <w:style w:type="paragraph" w:styleId="Web">
    <w:name w:val="Normal (Web)"/>
    <w:basedOn w:val="a"/>
    <w:uiPriority w:val="99"/>
    <w:rsid w:val="002E61B2"/>
    <w:pPr>
      <w:spacing w:before="94" w:after="94"/>
    </w:pPr>
    <w:rPr>
      <w:lang w:val="en-US" w:eastAsia="en-US"/>
    </w:rPr>
  </w:style>
  <w:style w:type="character" w:customStyle="1" w:styleId="shorttext">
    <w:name w:val="short_text"/>
    <w:basedOn w:val="a0"/>
    <w:rsid w:val="002E61B2"/>
  </w:style>
  <w:style w:type="character" w:customStyle="1" w:styleId="hps">
    <w:name w:val="hps"/>
    <w:basedOn w:val="a0"/>
    <w:rsid w:val="002E61B2"/>
  </w:style>
  <w:style w:type="paragraph" w:customStyle="1" w:styleId="NormalText">
    <w:name w:val="Normal Text"/>
    <w:rsid w:val="002E61B2"/>
    <w:pPr>
      <w:autoSpaceDE w:val="0"/>
      <w:autoSpaceDN w:val="0"/>
      <w:adjustRightInd w:val="0"/>
    </w:pPr>
    <w:rPr>
      <w:rFonts w:ascii="Courier New" w:hAnsi="Courier New"/>
      <w:sz w:val="24"/>
      <w:szCs w:val="24"/>
      <w:lang w:val="hu-HU" w:eastAsia="hu-HU"/>
    </w:rPr>
  </w:style>
  <w:style w:type="character" w:customStyle="1" w:styleId="longtext">
    <w:name w:val="long_text"/>
    <w:basedOn w:val="a0"/>
    <w:rsid w:val="0015371B"/>
  </w:style>
  <w:style w:type="paragraph" w:styleId="z-">
    <w:name w:val="HTML Top of Form"/>
    <w:basedOn w:val="a"/>
    <w:next w:val="a"/>
    <w:hidden/>
    <w:rsid w:val="00567C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mailformtext1">
    <w:name w:val="mailformtext1"/>
    <w:rsid w:val="00567C51"/>
    <w:rPr>
      <w:rFonts w:ascii="Verdana" w:hAnsi="Verdana" w:hint="default"/>
      <w:color w:val="000000"/>
      <w:sz w:val="17"/>
      <w:szCs w:val="17"/>
    </w:rPr>
  </w:style>
  <w:style w:type="character" w:customStyle="1" w:styleId="mailformtext21">
    <w:name w:val="mailformtext21"/>
    <w:rsid w:val="00567C51"/>
    <w:rPr>
      <w:rFonts w:ascii="Verdana" w:hAnsi="Verdana" w:hint="default"/>
      <w:b/>
      <w:bCs/>
      <w:color w:val="CC9933"/>
      <w:sz w:val="18"/>
      <w:szCs w:val="18"/>
    </w:rPr>
  </w:style>
  <w:style w:type="paragraph" w:styleId="z-0">
    <w:name w:val="HTML Bottom of Form"/>
    <w:basedOn w:val="a"/>
    <w:next w:val="a"/>
    <w:hidden/>
    <w:rsid w:val="00567C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il">
    <w:name w:val="il"/>
    <w:basedOn w:val="a0"/>
    <w:rsid w:val="000D06E2"/>
  </w:style>
  <w:style w:type="character" w:customStyle="1" w:styleId="object">
    <w:name w:val="object"/>
    <w:basedOn w:val="a0"/>
    <w:rsid w:val="004B3138"/>
  </w:style>
  <w:style w:type="character" w:styleId="-0">
    <w:name w:val="FollowedHyperlink"/>
    <w:uiPriority w:val="99"/>
    <w:semiHidden/>
    <w:unhideWhenUsed/>
    <w:rsid w:val="0090293E"/>
    <w:rPr>
      <w:color w:val="800080"/>
      <w:u w:val="single"/>
    </w:rPr>
  </w:style>
  <w:style w:type="character" w:customStyle="1" w:styleId="4Char">
    <w:name w:val="Επικεφαλίδα 4 Char"/>
    <w:link w:val="4"/>
    <w:rsid w:val="007935A7"/>
    <w:rPr>
      <w:b/>
      <w:bCs/>
      <w:sz w:val="24"/>
      <w:lang w:val="en-GB" w:eastAsia="el-GR"/>
    </w:rPr>
  </w:style>
  <w:style w:type="character" w:customStyle="1" w:styleId="object-active">
    <w:name w:val="object-active"/>
    <w:basedOn w:val="a0"/>
    <w:rsid w:val="001E2C2F"/>
  </w:style>
  <w:style w:type="paragraph" w:styleId="aa">
    <w:name w:val="Plain Text"/>
    <w:basedOn w:val="a"/>
    <w:link w:val="Char3"/>
    <w:uiPriority w:val="99"/>
    <w:unhideWhenUsed/>
    <w:rsid w:val="00262053"/>
    <w:rPr>
      <w:rFonts w:ascii="Calibri" w:eastAsia="Calibri" w:hAnsi="Calibri"/>
      <w:sz w:val="22"/>
      <w:szCs w:val="21"/>
      <w:lang w:eastAsia="en-US"/>
    </w:rPr>
  </w:style>
  <w:style w:type="character" w:customStyle="1" w:styleId="Char3">
    <w:name w:val="Απλό κείμενο Char"/>
    <w:link w:val="aa"/>
    <w:uiPriority w:val="99"/>
    <w:rsid w:val="00262053"/>
    <w:rPr>
      <w:rFonts w:ascii="Calibri" w:eastAsia="Calibri" w:hAnsi="Calibri"/>
      <w:sz w:val="22"/>
      <w:szCs w:val="21"/>
      <w:lang w:eastAsia="en-US"/>
    </w:rPr>
  </w:style>
  <w:style w:type="paragraph" w:styleId="ab">
    <w:name w:val="Body Text"/>
    <w:basedOn w:val="a"/>
    <w:link w:val="Char4"/>
    <w:uiPriority w:val="99"/>
    <w:unhideWhenUsed/>
    <w:rsid w:val="00154495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rsid w:val="00154495"/>
    <w:rPr>
      <w:sz w:val="24"/>
      <w:szCs w:val="24"/>
      <w:lang w:val="el-GR" w:eastAsia="el-GR"/>
    </w:rPr>
  </w:style>
  <w:style w:type="paragraph" w:customStyle="1" w:styleId="firstchildlastchild">
    <w:name w:val="firstchild lastchild"/>
    <w:basedOn w:val="a"/>
    <w:rsid w:val="00784A57"/>
    <w:rPr>
      <w:rFonts w:eastAsia="Batang"/>
      <w:lang w:eastAsia="ja-JP"/>
    </w:rPr>
  </w:style>
  <w:style w:type="paragraph" w:styleId="ac">
    <w:name w:val="List Paragraph"/>
    <w:basedOn w:val="a"/>
    <w:uiPriority w:val="34"/>
    <w:qFormat/>
    <w:rsid w:val="00784A57"/>
    <w:pPr>
      <w:ind w:left="720"/>
      <w:contextualSpacing/>
    </w:pPr>
    <w:rPr>
      <w:rFonts w:eastAsia="MS Mincho"/>
    </w:rPr>
  </w:style>
  <w:style w:type="character" w:customStyle="1" w:styleId="apple-converted-space">
    <w:name w:val="apple-converted-space"/>
    <w:basedOn w:val="a0"/>
    <w:rsid w:val="00784A57"/>
  </w:style>
  <w:style w:type="paragraph" w:styleId="ad">
    <w:name w:val="No Spacing"/>
    <w:link w:val="Char5"/>
    <w:uiPriority w:val="1"/>
    <w:qFormat/>
    <w:rsid w:val="00B45EB6"/>
    <w:rPr>
      <w:rFonts w:ascii="Calibri" w:hAnsi="Calibri"/>
      <w:sz w:val="22"/>
      <w:szCs w:val="22"/>
      <w:lang w:val="en-US" w:eastAsia="en-US"/>
    </w:rPr>
  </w:style>
  <w:style w:type="character" w:customStyle="1" w:styleId="Char5">
    <w:name w:val="Χωρίς διάστιχο Char"/>
    <w:basedOn w:val="a0"/>
    <w:link w:val="ad"/>
    <w:uiPriority w:val="1"/>
    <w:rsid w:val="00B45EB6"/>
    <w:rPr>
      <w:rFonts w:ascii="Calibri" w:hAnsi="Calibri"/>
      <w:sz w:val="22"/>
      <w:szCs w:val="22"/>
      <w:lang w:val="en-US" w:eastAsia="en-US" w:bidi="ar-SA"/>
    </w:rPr>
  </w:style>
  <w:style w:type="paragraph" w:customStyle="1" w:styleId="Default">
    <w:name w:val="Default"/>
    <w:rsid w:val="006C57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ate">
    <w:name w:val="date"/>
    <w:basedOn w:val="a0"/>
    <w:rsid w:val="00F91EF4"/>
  </w:style>
  <w:style w:type="paragraph" w:styleId="-HTML">
    <w:name w:val="HTML Preformatted"/>
    <w:basedOn w:val="a"/>
    <w:link w:val="-HTMLChar"/>
    <w:rsid w:val="001B4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1B4CA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1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4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6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9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9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0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hungexpo.h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ungexpo@hungexpo.hu" TargetMode="External"/><Relationship Id="rId17" Type="http://schemas.openxmlformats.org/officeDocument/2006/relationships/hyperlink" Target="http://construma.hu/hu/ke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neo.hu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hu/url?sa=t&amp;rct=j&amp;q=&amp;esrc=s&amp;source=web&amp;cd=2&amp;cad=rja&amp;uact=8&amp;ved=0ahUKEwj1xNnB4tzZAhVJwxQKHchlC50Qs2YIRCgAMAE&amp;url=https%3A%2F%2Fen.wikipedia.org%2Fwiki%2FEuro_sign&amp;usg=AOvVaw2xCcmmHHXshsUAHdNT3e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hungexpo.hu" TargetMode="External"/><Relationship Id="rId10" Type="http://schemas.openxmlformats.org/officeDocument/2006/relationships/hyperlink" Target="https://www.google.hu/url?sa=t&amp;rct=j&amp;q=&amp;esrc=s&amp;source=web&amp;cd=2&amp;cad=rja&amp;uact=8&amp;ved=0ahUKEwj1xNnB4tzZAhVJwxQKHchlC50Qs2YIRCgAMAE&amp;url=https%3A%2F%2Fen.wikipedia.org%2Fwiki%2FEuro_sign&amp;usg=AOvVaw2xCcmmHHXshsUAHdNT3eS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ogle.hu/url?sa=t&amp;rct=j&amp;q=&amp;esrc=s&amp;source=web&amp;cd=2&amp;cad=rja&amp;uact=8&amp;ved=0ahUKEwj1xNnB4tzZAhVJwxQKHchlC50Qs2YIRCgAMAE&amp;url=https%3A%2F%2Fen.wikipedia.org%2Fwiki%2FEuro_sign&amp;usg=AOvVaw2xCcmmHHXshsUAHdNT3eSk" TargetMode="External"/><Relationship Id="rId14" Type="http://schemas.openxmlformats.org/officeDocument/2006/relationships/hyperlink" Target="mailto:hungexpo@hungexpo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eekcom\Desktop\Greek%20Document%20PROTOTYP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D2BBD-572D-4EA1-92D8-B36A55F9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Greek Document PROTOTYPA</Template>
  <TotalTime>3</TotalTime>
  <Pages>5</Pages>
  <Words>1917</Words>
  <Characters>10357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Grizli777</Company>
  <LinksUpToDate>false</LinksUpToDate>
  <CharactersWithSpaces>12250</CharactersWithSpaces>
  <SharedDoc>false</SharedDoc>
  <HLinks>
    <vt:vector size="54" baseType="variant">
      <vt:variant>
        <vt:i4>7143539</vt:i4>
      </vt:variant>
      <vt:variant>
        <vt:i4>24</vt:i4>
      </vt:variant>
      <vt:variant>
        <vt:i4>0</vt:i4>
      </vt:variant>
      <vt:variant>
        <vt:i4>5</vt:i4>
      </vt:variant>
      <vt:variant>
        <vt:lpwstr>http://construma.hu/hu/kert</vt:lpwstr>
      </vt:variant>
      <vt:variant>
        <vt:lpwstr/>
      </vt:variant>
      <vt:variant>
        <vt:i4>7405678</vt:i4>
      </vt:variant>
      <vt:variant>
        <vt:i4>21</vt:i4>
      </vt:variant>
      <vt:variant>
        <vt:i4>0</vt:i4>
      </vt:variant>
      <vt:variant>
        <vt:i4>5</vt:i4>
      </vt:variant>
      <vt:variant>
        <vt:lpwstr>http://www.reneo.hu/en</vt:lpwstr>
      </vt:variant>
      <vt:variant>
        <vt:lpwstr/>
      </vt:variant>
      <vt:variant>
        <vt:i4>4194422</vt:i4>
      </vt:variant>
      <vt:variant>
        <vt:i4>18</vt:i4>
      </vt:variant>
      <vt:variant>
        <vt:i4>0</vt:i4>
      </vt:variant>
      <vt:variant>
        <vt:i4>5</vt:i4>
      </vt:variant>
      <vt:variant>
        <vt:lpwstr>mailto:info@hungexpo.hu</vt:lpwstr>
      </vt:variant>
      <vt:variant>
        <vt:lpwstr/>
      </vt:variant>
      <vt:variant>
        <vt:i4>6029426</vt:i4>
      </vt:variant>
      <vt:variant>
        <vt:i4>15</vt:i4>
      </vt:variant>
      <vt:variant>
        <vt:i4>0</vt:i4>
      </vt:variant>
      <vt:variant>
        <vt:i4>5</vt:i4>
      </vt:variant>
      <vt:variant>
        <vt:lpwstr>mailto:hungexpo@hungexpo.hu</vt:lpwstr>
      </vt:variant>
      <vt:variant>
        <vt:lpwstr/>
      </vt:variant>
      <vt:variant>
        <vt:i4>4194422</vt:i4>
      </vt:variant>
      <vt:variant>
        <vt:i4>12</vt:i4>
      </vt:variant>
      <vt:variant>
        <vt:i4>0</vt:i4>
      </vt:variant>
      <vt:variant>
        <vt:i4>5</vt:i4>
      </vt:variant>
      <vt:variant>
        <vt:lpwstr>mailto:info@hungexpo.hu</vt:lpwstr>
      </vt:variant>
      <vt:variant>
        <vt:lpwstr/>
      </vt:variant>
      <vt:variant>
        <vt:i4>6029426</vt:i4>
      </vt:variant>
      <vt:variant>
        <vt:i4>9</vt:i4>
      </vt:variant>
      <vt:variant>
        <vt:i4>0</vt:i4>
      </vt:variant>
      <vt:variant>
        <vt:i4>5</vt:i4>
      </vt:variant>
      <vt:variant>
        <vt:lpwstr>mailto:hungexpo@hungexpo.hu</vt:lpwstr>
      </vt:variant>
      <vt:variant>
        <vt:lpwstr/>
      </vt:variant>
      <vt:variant>
        <vt:i4>7995472</vt:i4>
      </vt:variant>
      <vt:variant>
        <vt:i4>6</vt:i4>
      </vt:variant>
      <vt:variant>
        <vt:i4>0</vt:i4>
      </vt:variant>
      <vt:variant>
        <vt:i4>5</vt:i4>
      </vt:variant>
      <vt:variant>
        <vt:lpwstr>https://www.google.hu/url?sa=t&amp;rct=j&amp;q=&amp;esrc=s&amp;source=web&amp;cd=2&amp;cad=rja&amp;uact=8&amp;ved=0ahUKEwj1xNnB4tzZAhVJwxQKHchlC50Qs2YIRCgAMAE&amp;url=https%3A%2F%2Fen.wikipedia.org%2Fwiki%2FEuro_sign&amp;usg=AOvVaw2xCcmmHHXshsUAHdNT3eSk</vt:lpwstr>
      </vt:variant>
      <vt:variant>
        <vt:lpwstr/>
      </vt:variant>
      <vt:variant>
        <vt:i4>7995472</vt:i4>
      </vt:variant>
      <vt:variant>
        <vt:i4>3</vt:i4>
      </vt:variant>
      <vt:variant>
        <vt:i4>0</vt:i4>
      </vt:variant>
      <vt:variant>
        <vt:i4>5</vt:i4>
      </vt:variant>
      <vt:variant>
        <vt:lpwstr>https://www.google.hu/url?sa=t&amp;rct=j&amp;q=&amp;esrc=s&amp;source=web&amp;cd=2&amp;cad=rja&amp;uact=8&amp;ved=0ahUKEwj1xNnB4tzZAhVJwxQKHchlC50Qs2YIRCgAMAE&amp;url=https%3A%2F%2Fen.wikipedia.org%2Fwiki%2FEuro_sign&amp;usg=AOvVaw2xCcmmHHXshsUAHdNT3eSk</vt:lpwstr>
      </vt:variant>
      <vt:variant>
        <vt:lpwstr/>
      </vt:variant>
      <vt:variant>
        <vt:i4>7995472</vt:i4>
      </vt:variant>
      <vt:variant>
        <vt:i4>0</vt:i4>
      </vt:variant>
      <vt:variant>
        <vt:i4>0</vt:i4>
      </vt:variant>
      <vt:variant>
        <vt:i4>5</vt:i4>
      </vt:variant>
      <vt:variant>
        <vt:lpwstr>https://www.google.hu/url?sa=t&amp;rct=j&amp;q=&amp;esrc=s&amp;source=web&amp;cd=2&amp;cad=rja&amp;uact=8&amp;ved=0ahUKEwj1xNnB4tzZAhVJwxQKHchlC50Qs2YIRCgAMAE&amp;url=https%3A%2F%2Fen.wikipedia.org%2Fwiki%2FEuro_sign&amp;usg=AOvVaw2xCcmmHHXshsUAHdNT3eSk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Greek Embassy</dc:creator>
  <cp:lastModifiedBy>v.ifadis</cp:lastModifiedBy>
  <cp:revision>2</cp:revision>
  <cp:lastPrinted>2018-03-19T15:21:00Z</cp:lastPrinted>
  <dcterms:created xsi:type="dcterms:W3CDTF">2018-03-20T06:19:00Z</dcterms:created>
  <dcterms:modified xsi:type="dcterms:W3CDTF">2018-03-20T06:19:00Z</dcterms:modified>
</cp:coreProperties>
</file>