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EF" w:rsidRPr="00FF14EF" w:rsidRDefault="00211661" w:rsidP="00FF14EF">
      <w:r>
        <w:rPr>
          <w:rFonts w:ascii="Calibri" w:hAnsi="Calibri"/>
          <w:noProof/>
          <w:lang w:eastAsia="el-GR"/>
        </w:rPr>
        <w:drawing>
          <wp:inline distT="0" distB="0" distL="0" distR="0" wp14:anchorId="02695B26" wp14:editId="1EDA600D">
            <wp:extent cx="1975485" cy="647700"/>
            <wp:effectExtent l="0" t="0" r="5715" b="0"/>
            <wp:docPr id="1" name="Εικόνα 1" descr="logo_g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593" cy="65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E75" w:rsidRPr="00836E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D114D" w:rsidRDefault="000D114D" w:rsidP="00FF14EF">
      <w:pPr>
        <w:jc w:val="center"/>
        <w:rPr>
          <w:b/>
        </w:rPr>
      </w:pPr>
    </w:p>
    <w:p w:rsidR="00FF14EF" w:rsidRPr="00FF14EF" w:rsidRDefault="00FF14EF" w:rsidP="00FF14EF">
      <w:pPr>
        <w:jc w:val="center"/>
        <w:rPr>
          <w:b/>
        </w:rPr>
      </w:pPr>
      <w:r w:rsidRPr="00FF14EF">
        <w:rPr>
          <w:b/>
        </w:rPr>
        <w:t>ΔΕΛΤΙΟ ΤΥΠΟΥ</w:t>
      </w:r>
    </w:p>
    <w:p w:rsidR="00FF14EF" w:rsidRPr="00836E75" w:rsidRDefault="00827824" w:rsidP="00FF14EF">
      <w:pPr>
        <w:jc w:val="right"/>
      </w:pPr>
      <w:r>
        <w:rPr>
          <w:lang w:val="en-US"/>
        </w:rPr>
        <w:t>22</w:t>
      </w:r>
      <w:bookmarkStart w:id="0" w:name="_GoBack"/>
      <w:bookmarkEnd w:id="0"/>
      <w:r w:rsidR="00FF14EF" w:rsidRPr="00836E75">
        <w:t>/3/2019</w:t>
      </w:r>
    </w:p>
    <w:p w:rsidR="00D04735" w:rsidRDefault="00836E75" w:rsidP="00211661">
      <w:pPr>
        <w:jc w:val="both"/>
      </w:pPr>
      <w:r>
        <w:t>Το Εθνικό Ταμείο Επιχειρηματικότητας &amp; Ανάπτυξης (ΕΤΕΑΝ)</w:t>
      </w:r>
      <w:r w:rsidR="00FF14EF" w:rsidRPr="00FF14EF">
        <w:t xml:space="preserve"> ανακοινώνει </w:t>
      </w:r>
      <w:r w:rsidR="00211661">
        <w:t xml:space="preserve">την </w:t>
      </w:r>
      <w:r w:rsidR="007D795F">
        <w:t>έναρξη</w:t>
      </w:r>
      <w:r w:rsidR="00211661">
        <w:t xml:space="preserve"> της Δράσης «Επιχειρηματική Χρηματοδότηση» του Ταμείου Επι</w:t>
      </w:r>
      <w:r w:rsidR="008A63F5">
        <w:t xml:space="preserve">χειρηματικότητας ΙΙ (ΤΕΠΙΧ ΙΙ) </w:t>
      </w:r>
      <w:r w:rsidR="007D795F" w:rsidRPr="000C5319">
        <w:rPr>
          <w:b/>
        </w:rPr>
        <w:t xml:space="preserve">συνολικού κεφαλαίου </w:t>
      </w:r>
      <w:r w:rsidR="008A63F5">
        <w:rPr>
          <w:b/>
        </w:rPr>
        <w:t xml:space="preserve">χορηγήσεων </w:t>
      </w:r>
      <w:r w:rsidR="007D795F" w:rsidRPr="000C5319">
        <w:rPr>
          <w:b/>
        </w:rPr>
        <w:t>915 εκ</w:t>
      </w:r>
      <w:r w:rsidR="007D795F">
        <w:t>. ευρώ</w:t>
      </w:r>
      <w:r w:rsidR="00D04735">
        <w:t>.</w:t>
      </w:r>
    </w:p>
    <w:p w:rsidR="00D04735" w:rsidRDefault="00D04735" w:rsidP="00211661">
      <w:pPr>
        <w:jc w:val="both"/>
      </w:pPr>
      <w:r>
        <w:t>Η νέα αυτή Δράση έρχεται να αντικαταστήσει την Δράση</w:t>
      </w:r>
      <w:r w:rsidRPr="004D3F37">
        <w:t xml:space="preserve"> Επιχειρηματική Επανεκκίνηση – ΤΕΠΙΧ (Ενδιάμεσο), </w:t>
      </w:r>
      <w:r>
        <w:t xml:space="preserve">η οποία ολοκληρώθηκε με μεγάλη επιτυχία, καθώς σε διάστημα ενός έτους </w:t>
      </w:r>
      <w:r w:rsidR="00CD7C3D">
        <w:t xml:space="preserve">πάνω από 2.000 ελληνικές </w:t>
      </w:r>
      <w:proofErr w:type="spellStart"/>
      <w:r w:rsidR="00CD7C3D">
        <w:t>μικρο</w:t>
      </w:r>
      <w:proofErr w:type="spellEnd"/>
      <w:r w:rsidR="00CD7C3D">
        <w:t xml:space="preserve">-μεσαίες επιχειρήσεις </w:t>
      </w:r>
      <w:r>
        <w:t xml:space="preserve">χρηματοδοτήθηκαν με κεφάλαια ύψους 300εκ. ευρώ </w:t>
      </w:r>
    </w:p>
    <w:p w:rsidR="00211661" w:rsidRPr="00211661" w:rsidRDefault="008A63F5" w:rsidP="00211661">
      <w:pPr>
        <w:jc w:val="both"/>
      </w:pPr>
      <w:r>
        <w:t xml:space="preserve">Στόχος της νέας </w:t>
      </w:r>
      <w:r w:rsidR="00CD7C3D">
        <w:t>χρηματοδοτικής δράσης, είναι η</w:t>
      </w:r>
      <w:r w:rsidR="00211661" w:rsidRPr="00211661">
        <w:t xml:space="preserve"> προώθηση της επιχειρηματικότητας,</w:t>
      </w:r>
      <w:r w:rsidR="00CD7C3D">
        <w:t xml:space="preserve"> </w:t>
      </w:r>
      <w:r w:rsidR="00211661" w:rsidRPr="00211661">
        <w:t>η διευκόλυνση της πρόσβασης των πολύ μικρών, μι</w:t>
      </w:r>
      <w:r w:rsidR="00211661">
        <w:t>κρών και μεσαίων επιχειρήσεων στη χρηματοδότηση</w:t>
      </w:r>
      <w:r w:rsidR="00CD7C3D">
        <w:t>, καθώς και η</w:t>
      </w:r>
      <w:r w:rsidR="00211661" w:rsidRPr="00211661">
        <w:t xml:space="preserve"> ενίσχυση της επενδυτικής δραστηριότητας της χώρας.</w:t>
      </w:r>
    </w:p>
    <w:p w:rsidR="007D795F" w:rsidRDefault="007D795F" w:rsidP="00211661">
      <w:pPr>
        <w:jc w:val="both"/>
      </w:pPr>
      <w:r>
        <w:t xml:space="preserve">Μέσω του συγκεκριμένου χρηματοδοτικού προϊόντος, </w:t>
      </w:r>
      <w:r w:rsidR="00211661">
        <w:t xml:space="preserve"> παρέχονται επιχειρηματικά δάνεια</w:t>
      </w:r>
      <w:r w:rsidR="00211661" w:rsidRPr="00211661">
        <w:t xml:space="preserve"> με </w:t>
      </w:r>
      <w:r w:rsidR="00836E75">
        <w:t>ευνοϊκό επιτόκιο</w:t>
      </w:r>
      <w:r>
        <w:t>, καθώς</w:t>
      </w:r>
      <w:r w:rsidR="00211661" w:rsidRPr="00211661">
        <w:t xml:space="preserve"> το </w:t>
      </w:r>
      <w:r w:rsidR="00211661" w:rsidRPr="000C5319">
        <w:rPr>
          <w:b/>
        </w:rPr>
        <w:t>40%</w:t>
      </w:r>
      <w:r w:rsidR="00211661" w:rsidRPr="00211661">
        <w:t xml:space="preserve"> του </w:t>
      </w:r>
      <w:r>
        <w:t xml:space="preserve">χρηματοδοτικού </w:t>
      </w:r>
      <w:r w:rsidR="00211661" w:rsidRPr="00211661">
        <w:t>κεφαλαίου</w:t>
      </w:r>
      <w:r>
        <w:t xml:space="preserve"> ήτοι κεφάλαια ύψους 366 εκ. ευρώ</w:t>
      </w:r>
      <w:r w:rsidR="000B21A5">
        <w:t xml:space="preserve"> διατίθενται</w:t>
      </w:r>
      <w:r>
        <w:t xml:space="preserve"> </w:t>
      </w:r>
      <w:r w:rsidRPr="000C5319">
        <w:rPr>
          <w:b/>
        </w:rPr>
        <w:t>άτοκα</w:t>
      </w:r>
      <w:r>
        <w:t xml:space="preserve"> για τη χρηματοδότηση </w:t>
      </w:r>
      <w:proofErr w:type="spellStart"/>
      <w:r>
        <w:t>μικρο</w:t>
      </w:r>
      <w:proofErr w:type="spellEnd"/>
      <w:r>
        <w:t>-μεσαίων ελληνικών επιχειρήσεων.</w:t>
      </w:r>
      <w:r w:rsidR="00836E75">
        <w:t xml:space="preserve"> Ο</w:t>
      </w:r>
      <w:r w:rsidR="00211661" w:rsidRPr="00211661">
        <w:t>ι συνεργαζόμενες τράπεζες</w:t>
      </w:r>
      <w:r>
        <w:t xml:space="preserve"> συμμετέχουν στο πρόγραμμα με κεφάλαια ύψους 549 εκ. ευρώ,  συνεισφέροντας το </w:t>
      </w:r>
      <w:r w:rsidR="00836E75">
        <w:t>60% του κεφαλαίου κάθε δανείου</w:t>
      </w:r>
      <w:r>
        <w:t>.</w:t>
      </w:r>
    </w:p>
    <w:p w:rsidR="00836E75" w:rsidRDefault="00836E75" w:rsidP="00836E75">
      <w:pPr>
        <w:spacing w:after="0" w:line="288" w:lineRule="auto"/>
        <w:jc w:val="both"/>
      </w:pPr>
      <w:r w:rsidRPr="00836E75">
        <w:t>Τα προσφερόμενα δάνεια είναι δύο κατηγοριών:</w:t>
      </w:r>
    </w:p>
    <w:p w:rsidR="007D795F" w:rsidRPr="00836E75" w:rsidRDefault="007D795F" w:rsidP="00836E75">
      <w:pPr>
        <w:spacing w:after="0" w:line="288" w:lineRule="auto"/>
        <w:jc w:val="both"/>
      </w:pPr>
    </w:p>
    <w:p w:rsidR="00836E75" w:rsidRPr="00836E75" w:rsidRDefault="00836E75" w:rsidP="00836E75">
      <w:pPr>
        <w:spacing w:after="0" w:line="288" w:lineRule="auto"/>
        <w:jc w:val="both"/>
      </w:pPr>
      <w:r w:rsidRPr="00836E75">
        <w:t>1)   </w:t>
      </w:r>
      <w:r w:rsidRPr="00836E75">
        <w:rPr>
          <w:b/>
          <w:bCs/>
        </w:rPr>
        <w:t>Δάνεια επιχειρηματικής ανάπτυξης</w:t>
      </w:r>
      <w:r w:rsidRPr="00836E75">
        <w:t> ειδικού σκοπού (κεφάλαια κίνησης)</w:t>
      </w:r>
    </w:p>
    <w:p w:rsidR="007D795F" w:rsidRDefault="00836E75" w:rsidP="00836E75">
      <w:pPr>
        <w:numPr>
          <w:ilvl w:val="0"/>
          <w:numId w:val="1"/>
        </w:numPr>
        <w:spacing w:after="0" w:line="288" w:lineRule="auto"/>
        <w:jc w:val="both"/>
      </w:pPr>
      <w:r w:rsidRPr="00836E75">
        <w:t xml:space="preserve">ύψος δανείου </w:t>
      </w:r>
      <w:r w:rsidR="000C5319">
        <w:t xml:space="preserve">από </w:t>
      </w:r>
      <w:r w:rsidRPr="00836E75">
        <w:t xml:space="preserve">€10.000 έως €500.000 </w:t>
      </w:r>
    </w:p>
    <w:p w:rsidR="00836E75" w:rsidRPr="00836E75" w:rsidRDefault="007D795F" w:rsidP="00836E75">
      <w:pPr>
        <w:numPr>
          <w:ilvl w:val="0"/>
          <w:numId w:val="1"/>
        </w:numPr>
        <w:spacing w:after="0" w:line="288" w:lineRule="auto"/>
        <w:jc w:val="both"/>
      </w:pPr>
      <w:r>
        <w:t>διάρκεια αποπληρωμής</w:t>
      </w:r>
      <w:r w:rsidR="00836E75" w:rsidRPr="00836E75">
        <w:t xml:space="preserve"> έως 60 μήνες</w:t>
      </w:r>
      <w:r w:rsidR="000C5319">
        <w:t xml:space="preserve">, με </w:t>
      </w:r>
      <w:r w:rsidR="00836E75" w:rsidRPr="00836E75">
        <w:t>δυνατότητα περιόδου χάριτος έως 6 μήνες</w:t>
      </w:r>
    </w:p>
    <w:p w:rsidR="00836E75" w:rsidRPr="00836E75" w:rsidRDefault="00836E75" w:rsidP="00836E75">
      <w:pPr>
        <w:spacing w:after="0" w:line="288" w:lineRule="auto"/>
        <w:jc w:val="both"/>
      </w:pPr>
      <w:r w:rsidRPr="00836E75">
        <w:t>2)   </w:t>
      </w:r>
      <w:r w:rsidRPr="00836E75">
        <w:rPr>
          <w:b/>
          <w:bCs/>
        </w:rPr>
        <w:t>Δάνεια επενδυτικού σκοπού</w:t>
      </w:r>
    </w:p>
    <w:p w:rsidR="00836E75" w:rsidRPr="00836E75" w:rsidRDefault="000C5319" w:rsidP="00836E75">
      <w:pPr>
        <w:numPr>
          <w:ilvl w:val="0"/>
          <w:numId w:val="2"/>
        </w:numPr>
        <w:spacing w:after="0" w:line="288" w:lineRule="auto"/>
        <w:jc w:val="both"/>
      </w:pPr>
      <w:r>
        <w:t>ύψος δανείου</w:t>
      </w:r>
      <w:r w:rsidR="00836E75" w:rsidRPr="00836E75">
        <w:t xml:space="preserve"> </w:t>
      </w:r>
      <w:r>
        <w:t xml:space="preserve">από </w:t>
      </w:r>
      <w:r w:rsidR="00836E75" w:rsidRPr="00836E75">
        <w:t>€ 25.000 έως € 1.500.000</w:t>
      </w:r>
    </w:p>
    <w:p w:rsidR="00836E75" w:rsidRDefault="000C5319" w:rsidP="00836E75">
      <w:pPr>
        <w:numPr>
          <w:ilvl w:val="0"/>
          <w:numId w:val="2"/>
        </w:numPr>
        <w:spacing w:after="0" w:line="288" w:lineRule="auto"/>
        <w:jc w:val="both"/>
      </w:pPr>
      <w:r>
        <w:t xml:space="preserve">διάρκεια αποπληρωμής από </w:t>
      </w:r>
      <w:r w:rsidR="00836E75" w:rsidRPr="00836E75">
        <w:t>5</w:t>
      </w:r>
      <w:r>
        <w:t xml:space="preserve"> έως </w:t>
      </w:r>
      <w:r w:rsidR="00836E75" w:rsidRPr="00836E75">
        <w:t>10 έτη</w:t>
      </w:r>
      <w:r>
        <w:t>,</w:t>
      </w:r>
      <w:r w:rsidR="00836E75" w:rsidRPr="00836E75">
        <w:t xml:space="preserve"> με δυνατό</w:t>
      </w:r>
      <w:r>
        <w:t>τητα περιόδου χάριτος έως 2 έτη</w:t>
      </w:r>
    </w:p>
    <w:p w:rsidR="000C5319" w:rsidRPr="00836E75" w:rsidRDefault="000C5319" w:rsidP="000C5319">
      <w:pPr>
        <w:spacing w:after="0" w:line="288" w:lineRule="auto"/>
        <w:ind w:left="720"/>
        <w:jc w:val="both"/>
      </w:pPr>
    </w:p>
    <w:p w:rsidR="0036759E" w:rsidRPr="00F93ECF" w:rsidRDefault="00836E75" w:rsidP="00836E75">
      <w:pPr>
        <w:jc w:val="both"/>
        <w:rPr>
          <w:bCs/>
        </w:rPr>
      </w:pPr>
      <w:r w:rsidRPr="00F93ECF">
        <w:rPr>
          <w:bCs/>
        </w:rPr>
        <w:t xml:space="preserve">Η υποβολή αιτημάτων δανειοδότησης από </w:t>
      </w:r>
      <w:r w:rsidR="000C5319" w:rsidRPr="00F93ECF">
        <w:rPr>
          <w:bCs/>
        </w:rPr>
        <w:t xml:space="preserve">τις </w:t>
      </w:r>
      <w:r w:rsidRPr="00F93ECF">
        <w:rPr>
          <w:bCs/>
        </w:rPr>
        <w:t>ενδιαφερόμενες επιχειρήσεις γίνεται στον ηλεκτρο</w:t>
      </w:r>
      <w:r w:rsidR="00E02A8F" w:rsidRPr="00F93ECF">
        <w:rPr>
          <w:bCs/>
        </w:rPr>
        <w:t>νικό σύνδεσμο</w:t>
      </w:r>
      <w:r w:rsidRPr="00F93ECF">
        <w:rPr>
          <w:bCs/>
        </w:rPr>
        <w:t xml:space="preserve">: </w:t>
      </w:r>
      <w:hyperlink r:id="rId7" w:history="1">
        <w:r w:rsidRPr="00F93ECF">
          <w:rPr>
            <w:rStyle w:val="-"/>
          </w:rPr>
          <w:t>https://www.ependyseis.gr/mis</w:t>
        </w:r>
      </w:hyperlink>
      <w:r w:rsidRPr="00F93ECF">
        <w:t xml:space="preserve"> </w:t>
      </w:r>
      <w:r w:rsidRPr="00F93ECF">
        <w:rPr>
          <w:bCs/>
        </w:rPr>
        <w:t xml:space="preserve">και ακολούθως </w:t>
      </w:r>
      <w:r w:rsidR="000C5319" w:rsidRPr="00F93ECF">
        <w:rPr>
          <w:bCs/>
        </w:rPr>
        <w:t>υποχρεούνται να υποβάλλουν το</w:t>
      </w:r>
      <w:r w:rsidRPr="00F93ECF">
        <w:rPr>
          <w:bCs/>
        </w:rPr>
        <w:t xml:space="preserve"> φυσικό φάκελο σ</w:t>
      </w:r>
      <w:r w:rsidR="000C5319" w:rsidRPr="00F93ECF">
        <w:rPr>
          <w:bCs/>
        </w:rPr>
        <w:t xml:space="preserve">ε υποκατάστημα </w:t>
      </w:r>
      <w:r w:rsidRPr="00F93ECF">
        <w:rPr>
          <w:bCs/>
        </w:rPr>
        <w:t xml:space="preserve"> μία</w:t>
      </w:r>
      <w:r w:rsidR="000C5319" w:rsidRPr="00F93ECF">
        <w:rPr>
          <w:bCs/>
        </w:rPr>
        <w:t>ς</w:t>
      </w:r>
      <w:r w:rsidRPr="00F93ECF">
        <w:rPr>
          <w:bCs/>
        </w:rPr>
        <w:t xml:space="preserve"> εκ των</w:t>
      </w:r>
      <w:r w:rsidR="000C5319" w:rsidRPr="00F93ECF">
        <w:rPr>
          <w:bCs/>
        </w:rPr>
        <w:t xml:space="preserve"> συνεργαζόμενων τραπεζών.</w:t>
      </w:r>
      <w:r w:rsidRPr="00F93ECF">
        <w:rPr>
          <w:bCs/>
        </w:rPr>
        <w:t xml:space="preserve"> </w:t>
      </w:r>
    </w:p>
    <w:p w:rsidR="000D114D" w:rsidRDefault="000D114D" w:rsidP="00E02A8F">
      <w:pPr>
        <w:spacing w:after="0"/>
        <w:jc w:val="both"/>
      </w:pPr>
    </w:p>
    <w:p w:rsidR="000D114D" w:rsidRDefault="000D114D" w:rsidP="00E02A8F">
      <w:pPr>
        <w:spacing w:after="0"/>
        <w:jc w:val="both"/>
      </w:pPr>
    </w:p>
    <w:p w:rsidR="000D114D" w:rsidRDefault="000D114D" w:rsidP="00E02A8F">
      <w:pPr>
        <w:spacing w:after="0"/>
        <w:jc w:val="both"/>
      </w:pPr>
    </w:p>
    <w:p w:rsidR="000D114D" w:rsidRDefault="000D114D" w:rsidP="00E02A8F">
      <w:pPr>
        <w:spacing w:after="0"/>
        <w:jc w:val="both"/>
      </w:pPr>
    </w:p>
    <w:p w:rsidR="00E02A8F" w:rsidRDefault="00E02A8F" w:rsidP="00E02A8F">
      <w:pPr>
        <w:spacing w:after="0"/>
        <w:jc w:val="both"/>
      </w:pPr>
      <w:r w:rsidRPr="00836E75">
        <w:t>Συνεργαζόμενες Τράπεζες:</w:t>
      </w:r>
    </w:p>
    <w:p w:rsidR="000C5319" w:rsidRPr="00836E75" w:rsidRDefault="000C5319" w:rsidP="00E02A8F">
      <w:pPr>
        <w:spacing w:after="0"/>
        <w:jc w:val="both"/>
      </w:pPr>
    </w:p>
    <w:p w:rsidR="00E02A8F" w:rsidRPr="00836E75" w:rsidRDefault="00E02A8F" w:rsidP="00E02A8F">
      <w:pPr>
        <w:spacing w:after="0"/>
        <w:jc w:val="both"/>
      </w:pPr>
      <w:r w:rsidRPr="00836E75">
        <w:t xml:space="preserve">ΕΘΝΙΚΗ ΤΡΑΠΕΖΑ, ΤΡΑΠΕΖΑ ΠΕΙΡΑΙΩΣ, ALPHA BANK, EFG EUROBANK, ΤΡΑΠΕΖΑ ΑΤΤΙΚΗΣ, ΠΑΓΚΡΗΤΙΑ ΣΥΝΕΤΑΙΡΙΣΤΙΚΗ ΤΡΑΠΕΖΑ, ΣΥΝΕΤΑΙΡΙΣΤΙΚΗ ΤΡΑΠΕΖΑ ΗΠΕΙΡΟΥ, ΣΥΝΕΤΑΙΡΙΣΤΙΚΗ ΤΡΑΠΕΖΑ ΘΕΣΣΑΛΙΑΣ, ΣΥΝΕΤΑΙΡΙΣΤΙΚΗ ΤΡΑΠΕΖΑ ΚΑΡΔΙΤΣΑΣ, ΣΥΝΕΤΑΙΡΙΣΤΙΚΗ ΤΡΑΠΕΖΑ ΧΑΝΙΩΝ, </w:t>
      </w:r>
      <w:r w:rsidRPr="00F93ECF">
        <w:t>ΣΥΝΕΤΑΙΡΙΣΤΙΚΗ ΤΡΑΠΕΖΑ ΔΡΑΜΑΣ</w:t>
      </w:r>
    </w:p>
    <w:p w:rsidR="00E02A8F" w:rsidRPr="00F93ECF" w:rsidRDefault="00E02A8F" w:rsidP="00836E75">
      <w:pPr>
        <w:jc w:val="both"/>
      </w:pPr>
    </w:p>
    <w:p w:rsidR="00E02A8F" w:rsidRDefault="00E02A8F" w:rsidP="00E02A8F">
      <w:pPr>
        <w:jc w:val="center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3145673" cy="1143000"/>
            <wp:effectExtent l="0" t="0" r="0" b="0"/>
            <wp:docPr id="5" name="Εικόνα 5" descr="Z:\ΔΙΕΥΘ. ΜΑΡΚΕΤΙΝΓΚ\ΤΑΜΕΙΑ\ΤΕΠΙΧ ΙΙ\ΤΕΠΙΧ ΙΙ λογοτυπο 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ΔΙΕΥΘ. ΜΑΡΚΕΤΙΝΓΚ\ΤΑΜΕΙΑ\ΤΕΠΙΧ ΙΙ\ΤΕΠΙΧ ΙΙ λογοτυπο F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73" cy="114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8F" w:rsidRDefault="00E02A8F" w:rsidP="00E02A8F">
      <w:pPr>
        <w:jc w:val="both"/>
        <w:rPr>
          <w:bCs/>
        </w:rPr>
      </w:pPr>
      <w:r w:rsidRPr="00E02A8F">
        <w:rPr>
          <w:bCs/>
        </w:rPr>
        <w:t>Οι πόροι του Ταμείου συγχρηματοδοτούνται από το Ευρωπαϊκό Ταμείο Περιφερειακής Ανάπτυξης (ΕΤΠΑ) και το Ελληνικό Δημόσιο, και προέρχονται από την συνεισφορά πόρων από το Επιχειρησιακό Πρόγραμμα Ανταγωνιστικότητα, Επιχειρηματικότητα και Καινοτομία (</w:t>
      </w:r>
      <w:proofErr w:type="spellStart"/>
      <w:r w:rsidRPr="00E02A8F">
        <w:rPr>
          <w:bCs/>
        </w:rPr>
        <w:t>ΕΠΑνΕΚ</w:t>
      </w:r>
      <w:proofErr w:type="spellEnd"/>
      <w:r w:rsidRPr="00E02A8F">
        <w:rPr>
          <w:bCs/>
        </w:rPr>
        <w:t>), και τα Περιφερειακά Επιχειρησιακά Προγράμματα (ΠΕΠ).</w:t>
      </w:r>
    </w:p>
    <w:p w:rsidR="000D114D" w:rsidRDefault="000D114D" w:rsidP="00E02A8F">
      <w:pPr>
        <w:jc w:val="both"/>
        <w:rPr>
          <w:bCs/>
        </w:rPr>
      </w:pPr>
    </w:p>
    <w:p w:rsidR="000D114D" w:rsidRDefault="000D114D" w:rsidP="00E02A8F">
      <w:pPr>
        <w:jc w:val="both"/>
        <w:rPr>
          <w:bCs/>
        </w:rPr>
      </w:pPr>
    </w:p>
    <w:p w:rsidR="000D114D" w:rsidRDefault="000D114D" w:rsidP="00E02A8F">
      <w:pPr>
        <w:jc w:val="both"/>
        <w:rPr>
          <w:bCs/>
        </w:rPr>
      </w:pPr>
    </w:p>
    <w:p w:rsidR="000D114D" w:rsidRDefault="000D114D" w:rsidP="00E02A8F">
      <w:pPr>
        <w:jc w:val="both"/>
        <w:rPr>
          <w:bCs/>
        </w:rPr>
      </w:pPr>
    </w:p>
    <w:p w:rsidR="000D114D" w:rsidRDefault="000D114D" w:rsidP="00E02A8F">
      <w:pPr>
        <w:jc w:val="both"/>
        <w:rPr>
          <w:bCs/>
        </w:rPr>
      </w:pPr>
    </w:p>
    <w:p w:rsidR="000D114D" w:rsidRDefault="000D114D" w:rsidP="00E02A8F">
      <w:pPr>
        <w:jc w:val="both"/>
        <w:rPr>
          <w:bCs/>
        </w:rPr>
      </w:pPr>
    </w:p>
    <w:p w:rsidR="000D114D" w:rsidRDefault="000D114D" w:rsidP="00E02A8F">
      <w:pPr>
        <w:jc w:val="both"/>
        <w:rPr>
          <w:bCs/>
        </w:rPr>
      </w:pPr>
    </w:p>
    <w:p w:rsidR="00F25FC5" w:rsidRDefault="00F25FC5" w:rsidP="00E02A8F">
      <w:pPr>
        <w:jc w:val="both"/>
        <w:rPr>
          <w:bCs/>
        </w:rPr>
      </w:pPr>
    </w:p>
    <w:p w:rsidR="000D114D" w:rsidRDefault="000D114D" w:rsidP="00E02A8F">
      <w:pPr>
        <w:jc w:val="both"/>
        <w:rPr>
          <w:bCs/>
        </w:rPr>
      </w:pPr>
    </w:p>
    <w:p w:rsidR="000D114D" w:rsidRDefault="000D114D" w:rsidP="00E02A8F">
      <w:pPr>
        <w:jc w:val="both"/>
        <w:rPr>
          <w:bCs/>
        </w:rPr>
      </w:pPr>
    </w:p>
    <w:p w:rsidR="00E02A8F" w:rsidRDefault="00E02A8F" w:rsidP="00836E75">
      <w:pPr>
        <w:jc w:val="both"/>
        <w:rPr>
          <w:b/>
          <w:bCs/>
        </w:rPr>
      </w:pPr>
      <w:r>
        <w:rPr>
          <w:b/>
          <w:bCs/>
          <w:noProof/>
          <w:lang w:eastAsia="el-GR"/>
        </w:rPr>
        <w:drawing>
          <wp:inline distT="0" distB="0" distL="0" distR="0">
            <wp:extent cx="5274310" cy="1178358"/>
            <wp:effectExtent l="0" t="0" r="2540" b="3175"/>
            <wp:docPr id="4" name="Εικόνα 4" descr="C:\Users\etean11\AppData\Local\Microsoft\Windows\Temporary Internet Files\Content.Outlook\BOS3JKQG\λογότυπαΠΕ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ean11\AppData\Local\Microsoft\Windows\Temporary Internet Files\Content.Outlook\BOS3JKQG\λογότυπαΠΕ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8F" w:rsidRPr="00E02A8F" w:rsidRDefault="00E02A8F" w:rsidP="00836E75">
      <w:pPr>
        <w:jc w:val="both"/>
        <w:rPr>
          <w:b/>
          <w:bCs/>
        </w:rPr>
      </w:pPr>
    </w:p>
    <w:sectPr w:rsidR="00E02A8F" w:rsidRPr="00E02A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79D6"/>
    <w:multiLevelType w:val="multilevel"/>
    <w:tmpl w:val="C6DE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D415F"/>
    <w:multiLevelType w:val="multilevel"/>
    <w:tmpl w:val="4298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EF"/>
    <w:rsid w:val="000B21A5"/>
    <w:rsid w:val="000C5319"/>
    <w:rsid w:val="000D114D"/>
    <w:rsid w:val="00211661"/>
    <w:rsid w:val="0036759E"/>
    <w:rsid w:val="007D795F"/>
    <w:rsid w:val="00827824"/>
    <w:rsid w:val="00836E75"/>
    <w:rsid w:val="008A63F5"/>
    <w:rsid w:val="00CD7C3D"/>
    <w:rsid w:val="00D04735"/>
    <w:rsid w:val="00E02A8F"/>
    <w:rsid w:val="00E31974"/>
    <w:rsid w:val="00F25FC5"/>
    <w:rsid w:val="00F93ECF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166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36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1166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36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ependyseis.gr/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Ε. Καβαρνός</dc:creator>
  <cp:lastModifiedBy>ΓΕΩΡΓΑΚΑΚΗΣ ΑΝΤΩΝΗΣ</cp:lastModifiedBy>
  <cp:revision>9</cp:revision>
  <dcterms:created xsi:type="dcterms:W3CDTF">2019-03-20T07:53:00Z</dcterms:created>
  <dcterms:modified xsi:type="dcterms:W3CDTF">2019-03-21T16:24:00Z</dcterms:modified>
</cp:coreProperties>
</file>