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EA" w:rsidRPr="00047FA3" w:rsidRDefault="00CD37EA" w:rsidP="00CD37EA">
      <w:pPr>
        <w:ind w:left="720" w:firstLine="720"/>
        <w:jc w:val="right"/>
        <w:rPr>
          <w:rFonts w:asciiTheme="majorHAnsi" w:hAnsiTheme="majorHAnsi"/>
        </w:rPr>
      </w:pPr>
    </w:p>
    <w:tbl>
      <w:tblPr>
        <w:tblW w:w="0" w:type="auto"/>
        <w:tblInd w:w="250" w:type="dxa"/>
        <w:tblLook w:val="04A0"/>
      </w:tblPr>
      <w:tblGrid>
        <w:gridCol w:w="6662"/>
        <w:gridCol w:w="2835"/>
      </w:tblGrid>
      <w:tr w:rsidR="00CD37EA" w:rsidRPr="00047FA3" w:rsidTr="00047FA3">
        <w:tc>
          <w:tcPr>
            <w:tcW w:w="6662" w:type="dxa"/>
          </w:tcPr>
          <w:tbl>
            <w:tblPr>
              <w:tblW w:w="0" w:type="auto"/>
              <w:tblLook w:val="04A0"/>
            </w:tblPr>
            <w:tblGrid>
              <w:gridCol w:w="5495"/>
            </w:tblGrid>
            <w:tr w:rsidR="00CD37EA" w:rsidRPr="00047FA3" w:rsidTr="00047FA3">
              <w:tc>
                <w:tcPr>
                  <w:tcW w:w="5495" w:type="dxa"/>
                </w:tcPr>
                <w:p w:rsidR="00CD37EA" w:rsidRPr="00047FA3" w:rsidRDefault="00CD37EA" w:rsidP="00047FA3">
                  <w:pPr>
                    <w:rPr>
                      <w:rFonts w:asciiTheme="majorHAnsi" w:hAnsiTheme="majorHAnsi"/>
                    </w:rPr>
                  </w:pPr>
                  <w:r w:rsidRPr="00047FA3">
                    <w:rPr>
                      <w:rFonts w:asciiTheme="majorHAnsi" w:hAnsiTheme="majorHAnsi"/>
                      <w:lang w:val="en-US"/>
                    </w:rPr>
                    <w:t xml:space="preserve">                                </w:t>
                  </w:r>
                  <w:r w:rsidRPr="00047FA3">
                    <w:rPr>
                      <w:rFonts w:asciiTheme="majorHAnsi" w:hAnsiTheme="majorHAnsi"/>
                      <w:noProof/>
                    </w:rPr>
                    <w:drawing>
                      <wp:inline distT="0" distB="0" distL="0" distR="0">
                        <wp:extent cx="478155" cy="478155"/>
                        <wp:effectExtent l="19050" t="0" r="0" b="0"/>
                        <wp:docPr id="1" name="Picture 1" descr="ethn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2"/>
                                <pic:cNvPicPr>
                                  <a:picLocks noChangeAspect="1" noChangeArrowheads="1"/>
                                </pic:cNvPicPr>
                              </pic:nvPicPr>
                              <pic:blipFill>
                                <a:blip r:embed="rId7" cstate="print"/>
                                <a:srcRect/>
                                <a:stretch>
                                  <a:fillRect/>
                                </a:stretch>
                              </pic:blipFill>
                              <pic:spPr bwMode="auto">
                                <a:xfrm>
                                  <a:off x="0" y="0"/>
                                  <a:ext cx="478155" cy="478155"/>
                                </a:xfrm>
                                <a:prstGeom prst="rect">
                                  <a:avLst/>
                                </a:prstGeom>
                                <a:noFill/>
                                <a:ln w="9525">
                                  <a:noFill/>
                                  <a:miter lim="800000"/>
                                  <a:headEnd/>
                                  <a:tailEnd/>
                                </a:ln>
                              </pic:spPr>
                            </pic:pic>
                          </a:graphicData>
                        </a:graphic>
                      </wp:inline>
                    </w:drawing>
                  </w:r>
                </w:p>
              </w:tc>
            </w:tr>
            <w:tr w:rsidR="00CD37EA" w:rsidRPr="00047FA3" w:rsidTr="00047FA3">
              <w:tc>
                <w:tcPr>
                  <w:tcW w:w="5495" w:type="dxa"/>
                </w:tcPr>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ΠΡΕΣΒΕΙΑ ΤΗΣ ΕΛΛΑΔΟΣ ΣΤΗ ΣΤΟΚΧΟΛΜΗ</w:t>
                  </w:r>
                </w:p>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 xml:space="preserve">   ΓΡΑΦΕΙΟ ΟΙΚΟΝΟΜΙΚΩΝ &amp; ΕΜΠΟΡΙΚΩΝ        </w:t>
                  </w:r>
                </w:p>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 xml:space="preserve">                           ΥΠΟΘΕΣΕΩΝ                </w:t>
                  </w:r>
                </w:p>
                <w:p w:rsidR="00CD37EA" w:rsidRPr="00047FA3" w:rsidRDefault="00CD37EA" w:rsidP="00047FA3">
                  <w:pPr>
                    <w:pStyle w:val="Heading1"/>
                    <w:jc w:val="left"/>
                    <w:rPr>
                      <w:rFonts w:asciiTheme="majorHAnsi" w:hAnsiTheme="majorHAnsi"/>
                      <w:b/>
                      <w:bCs/>
                      <w:sz w:val="24"/>
                    </w:rPr>
                  </w:pPr>
                  <w:r w:rsidRPr="00047FA3">
                    <w:rPr>
                      <w:rFonts w:asciiTheme="majorHAnsi" w:hAnsiTheme="majorHAnsi"/>
                      <w:b/>
                      <w:bCs/>
                      <w:sz w:val="24"/>
                    </w:rPr>
                    <w:t xml:space="preserve">                         </w:t>
                  </w:r>
                </w:p>
              </w:tc>
            </w:tr>
          </w:tbl>
          <w:p w:rsidR="00CD37EA" w:rsidRPr="00047FA3" w:rsidRDefault="00CD37EA" w:rsidP="00047FA3">
            <w:pPr>
              <w:rPr>
                <w:rFonts w:asciiTheme="majorHAnsi" w:hAnsiTheme="majorHAnsi"/>
              </w:rPr>
            </w:pPr>
            <w:r w:rsidRPr="00047FA3">
              <w:rPr>
                <w:rFonts w:asciiTheme="majorHAnsi" w:hAnsiTheme="majorHAnsi"/>
                <w:lang w:val="pl-PL"/>
              </w:rPr>
              <w:t xml:space="preserve">Kommendorsgatan 16,  114 48 </w:t>
            </w:r>
            <w:r w:rsidRPr="00047FA3">
              <w:rPr>
                <w:rFonts w:asciiTheme="majorHAnsi" w:hAnsiTheme="majorHAnsi"/>
              </w:rPr>
              <w:t>Στοκχόλμη</w:t>
            </w:r>
          </w:p>
          <w:p w:rsidR="00CD37EA" w:rsidRPr="00047FA3" w:rsidRDefault="00CD37EA" w:rsidP="00047FA3">
            <w:pPr>
              <w:rPr>
                <w:rFonts w:asciiTheme="majorHAnsi" w:hAnsiTheme="majorHAnsi"/>
                <w:lang w:val="pl-PL"/>
              </w:rPr>
            </w:pPr>
            <w:r w:rsidRPr="00047FA3">
              <w:rPr>
                <w:rFonts w:asciiTheme="majorHAnsi" w:hAnsiTheme="majorHAnsi"/>
                <w:lang w:val="pl-PL"/>
              </w:rPr>
              <w:t>Tel.: 004</w:t>
            </w:r>
            <w:r w:rsidRPr="00047FA3">
              <w:rPr>
                <w:rFonts w:asciiTheme="majorHAnsi" w:hAnsiTheme="majorHAnsi"/>
              </w:rPr>
              <w:t>6 8 545 66016</w:t>
            </w:r>
            <w:r w:rsidRPr="00047FA3">
              <w:rPr>
                <w:rFonts w:asciiTheme="majorHAnsi" w:hAnsiTheme="majorHAnsi"/>
                <w:lang w:val="pl-PL"/>
              </w:rPr>
              <w:t xml:space="preserve">, </w:t>
            </w:r>
          </w:p>
          <w:p w:rsidR="00CD37EA" w:rsidRPr="00047FA3" w:rsidRDefault="00CD37EA" w:rsidP="00047FA3">
            <w:pPr>
              <w:rPr>
                <w:rFonts w:asciiTheme="majorHAnsi" w:hAnsiTheme="majorHAnsi"/>
                <w:lang w:val="pl-PL"/>
              </w:rPr>
            </w:pPr>
            <w:r w:rsidRPr="00047FA3">
              <w:rPr>
                <w:rFonts w:asciiTheme="majorHAnsi" w:hAnsiTheme="majorHAnsi"/>
                <w:lang w:val="pl-PL"/>
              </w:rPr>
              <w:t>Fax: 004</w:t>
            </w:r>
            <w:r w:rsidRPr="00047FA3">
              <w:rPr>
                <w:rFonts w:asciiTheme="majorHAnsi" w:hAnsiTheme="majorHAnsi"/>
              </w:rPr>
              <w:t>6 8 660 5470</w:t>
            </w:r>
          </w:p>
          <w:p w:rsidR="00CD37EA" w:rsidRPr="00047FA3" w:rsidRDefault="00CD37EA" w:rsidP="00047FA3">
            <w:pPr>
              <w:pStyle w:val="Header"/>
              <w:rPr>
                <w:rFonts w:asciiTheme="majorHAnsi" w:hAnsiTheme="majorHAnsi"/>
                <w:lang w:val="en-US"/>
              </w:rPr>
            </w:pPr>
            <w:r w:rsidRPr="00047FA3">
              <w:rPr>
                <w:rFonts w:asciiTheme="majorHAnsi" w:hAnsiTheme="majorHAnsi"/>
              </w:rPr>
              <w:t>Ε</w:t>
            </w:r>
            <w:r w:rsidRPr="00047FA3">
              <w:rPr>
                <w:rFonts w:asciiTheme="majorHAnsi" w:hAnsiTheme="majorHAnsi"/>
                <w:lang w:val="en-US"/>
              </w:rPr>
              <w:t>-mail: commerce.stockholm@mfa.gr</w:t>
            </w:r>
          </w:p>
        </w:tc>
        <w:tc>
          <w:tcPr>
            <w:tcW w:w="2835" w:type="dxa"/>
            <w:vAlign w:val="bottom"/>
          </w:tcPr>
          <w:p w:rsidR="00CD37EA" w:rsidRPr="00047FA3" w:rsidRDefault="00CD37EA" w:rsidP="00047FA3">
            <w:pPr>
              <w:pStyle w:val="Header"/>
              <w:rPr>
                <w:rFonts w:asciiTheme="majorHAnsi" w:hAnsiTheme="majorHAnsi"/>
                <w:lang w:val="en-US"/>
              </w:rPr>
            </w:pPr>
          </w:p>
          <w:p w:rsidR="00CD37EA" w:rsidRPr="00047FA3" w:rsidRDefault="00CD37EA" w:rsidP="00047FA3">
            <w:pPr>
              <w:pStyle w:val="Header"/>
              <w:rPr>
                <w:rFonts w:asciiTheme="majorHAnsi" w:hAnsiTheme="majorHAnsi"/>
                <w:lang w:val="en-US"/>
              </w:rPr>
            </w:pPr>
          </w:p>
          <w:p w:rsidR="00CD37EA" w:rsidRPr="00047FA3" w:rsidRDefault="00CD37EA" w:rsidP="00047FA3">
            <w:pPr>
              <w:pStyle w:val="Header"/>
              <w:rPr>
                <w:rFonts w:asciiTheme="majorHAnsi" w:hAnsiTheme="majorHAnsi"/>
                <w:lang w:val="en-US"/>
              </w:rPr>
            </w:pPr>
          </w:p>
          <w:p w:rsidR="00CD37EA" w:rsidRPr="00047FA3" w:rsidRDefault="00CD37EA" w:rsidP="00047FA3">
            <w:pPr>
              <w:pStyle w:val="Header"/>
              <w:rPr>
                <w:rFonts w:asciiTheme="majorHAnsi" w:hAnsiTheme="majorHAnsi"/>
                <w:b/>
              </w:rPr>
            </w:pPr>
            <w:r w:rsidRPr="00047FA3">
              <w:rPr>
                <w:rFonts w:asciiTheme="majorHAnsi" w:hAnsiTheme="majorHAnsi"/>
                <w:lang w:val="en-US"/>
              </w:rPr>
              <w:t xml:space="preserve">       </w:t>
            </w:r>
            <w:r w:rsidRPr="00047FA3">
              <w:rPr>
                <w:rFonts w:asciiTheme="majorHAnsi" w:hAnsiTheme="majorHAnsi"/>
                <w:b/>
              </w:rPr>
              <w:t>ΑΔΙΑΒΑΘΜΗΤΟ</w:t>
            </w:r>
          </w:p>
          <w:p w:rsidR="00CD37EA" w:rsidRPr="00047FA3" w:rsidRDefault="00CD37EA" w:rsidP="00047FA3">
            <w:pPr>
              <w:rPr>
                <w:rFonts w:asciiTheme="majorHAnsi" w:hAnsiTheme="majorHAnsi"/>
                <w:b/>
              </w:rPr>
            </w:pPr>
            <w:r w:rsidRPr="00047FA3">
              <w:rPr>
                <w:rFonts w:asciiTheme="majorHAnsi" w:hAnsiTheme="majorHAnsi"/>
              </w:rPr>
              <w:t xml:space="preserve">            </w:t>
            </w:r>
            <w:r w:rsidRPr="00047FA3">
              <w:rPr>
                <w:rFonts w:asciiTheme="majorHAnsi" w:hAnsiTheme="majorHAnsi"/>
                <w:b/>
              </w:rPr>
              <w:t>ΚΑΝΟΝΙΚΟ</w:t>
            </w:r>
          </w:p>
          <w:p w:rsidR="00CD37EA" w:rsidRPr="00047FA3" w:rsidRDefault="00CD37EA" w:rsidP="00047FA3">
            <w:pPr>
              <w:ind w:firstLine="7371"/>
              <w:rPr>
                <w:rFonts w:asciiTheme="majorHAnsi" w:hAnsiTheme="majorHAnsi"/>
                <w:b/>
              </w:rPr>
            </w:pPr>
            <w:r w:rsidRPr="00047FA3">
              <w:rPr>
                <w:rFonts w:asciiTheme="majorHAnsi" w:hAnsiTheme="majorHAnsi"/>
                <w:lang w:val="en-US"/>
              </w:rPr>
              <w:t>X</w:t>
            </w:r>
            <w:r w:rsidRPr="00047FA3">
              <w:rPr>
                <w:rFonts w:asciiTheme="majorHAnsi" w:hAnsiTheme="majorHAnsi"/>
              </w:rPr>
              <w:t xml:space="preserve">    </w:t>
            </w:r>
          </w:p>
          <w:p w:rsidR="00CD37EA" w:rsidRPr="00047FA3" w:rsidRDefault="00CD37EA" w:rsidP="00047FA3">
            <w:pPr>
              <w:pStyle w:val="Header"/>
              <w:rPr>
                <w:rFonts w:asciiTheme="majorHAnsi" w:hAnsiTheme="majorHAnsi"/>
              </w:rPr>
            </w:pPr>
            <w:r w:rsidRPr="00047FA3">
              <w:rPr>
                <w:rFonts w:asciiTheme="majorHAnsi" w:hAnsiTheme="majorHAnsi"/>
              </w:rPr>
              <w:t xml:space="preserve"> </w:t>
            </w:r>
          </w:p>
          <w:p w:rsidR="00CD37EA" w:rsidRPr="00047FA3" w:rsidRDefault="000A6D3C" w:rsidP="00047FA3">
            <w:pPr>
              <w:pStyle w:val="Header"/>
              <w:rPr>
                <w:rFonts w:asciiTheme="majorHAnsi" w:hAnsiTheme="majorHAnsi"/>
              </w:rPr>
            </w:pPr>
            <w:r>
              <w:rPr>
                <w:rFonts w:asciiTheme="majorHAnsi" w:hAnsiTheme="majorHAnsi"/>
              </w:rPr>
              <w:t xml:space="preserve">  2 </w:t>
            </w:r>
            <w:r w:rsidR="00D606BC">
              <w:rPr>
                <w:rFonts w:asciiTheme="majorHAnsi" w:hAnsiTheme="majorHAnsi"/>
              </w:rPr>
              <w:t xml:space="preserve"> </w:t>
            </w:r>
            <w:proofErr w:type="spellStart"/>
            <w:r w:rsidR="00D606BC">
              <w:rPr>
                <w:rFonts w:asciiTheme="majorHAnsi" w:hAnsiTheme="majorHAnsi"/>
              </w:rPr>
              <w:t>Μαϊου</w:t>
            </w:r>
            <w:proofErr w:type="spellEnd"/>
            <w:r w:rsidR="00DD7D72" w:rsidRPr="00047FA3">
              <w:rPr>
                <w:rFonts w:asciiTheme="majorHAnsi" w:hAnsiTheme="majorHAnsi"/>
              </w:rPr>
              <w:t xml:space="preserve"> </w:t>
            </w:r>
            <w:r w:rsidR="00CD37EA" w:rsidRPr="00047FA3">
              <w:rPr>
                <w:rFonts w:asciiTheme="majorHAnsi" w:hAnsiTheme="majorHAnsi"/>
              </w:rPr>
              <w:t>201</w:t>
            </w:r>
            <w:r w:rsidR="00DD7D72" w:rsidRPr="00047FA3">
              <w:rPr>
                <w:rFonts w:asciiTheme="majorHAnsi" w:hAnsiTheme="majorHAnsi"/>
              </w:rPr>
              <w:t>8</w:t>
            </w:r>
          </w:p>
          <w:p w:rsidR="00CD37EA" w:rsidRPr="00047FA3" w:rsidRDefault="00CD37EA" w:rsidP="00047FA3">
            <w:pPr>
              <w:pStyle w:val="Header"/>
              <w:rPr>
                <w:rFonts w:asciiTheme="majorHAnsi" w:hAnsiTheme="majorHAnsi"/>
                <w:lang w:val="en-US"/>
              </w:rPr>
            </w:pPr>
            <w:r w:rsidRPr="00047FA3">
              <w:rPr>
                <w:rFonts w:asciiTheme="majorHAnsi" w:hAnsiTheme="majorHAnsi"/>
              </w:rPr>
              <w:t xml:space="preserve">     </w:t>
            </w:r>
          </w:p>
          <w:p w:rsidR="00CD37EA" w:rsidRPr="00047FA3" w:rsidRDefault="00CD37EA" w:rsidP="00047FA3">
            <w:pPr>
              <w:pStyle w:val="Header"/>
              <w:rPr>
                <w:rFonts w:asciiTheme="majorHAnsi" w:hAnsiTheme="majorHAnsi"/>
              </w:rPr>
            </w:pPr>
          </w:p>
        </w:tc>
      </w:tr>
    </w:tbl>
    <w:p w:rsidR="00D606BC" w:rsidRDefault="00CD37EA" w:rsidP="00CD37EA">
      <w:pPr>
        <w:rPr>
          <w:rFonts w:asciiTheme="majorHAnsi" w:hAnsiTheme="majorHAnsi"/>
          <w:b/>
        </w:rPr>
      </w:pPr>
      <w:r w:rsidRPr="00047FA3">
        <w:rPr>
          <w:rFonts w:asciiTheme="majorHAnsi" w:hAnsiTheme="majorHAnsi"/>
          <w:b/>
        </w:rPr>
        <w:t xml:space="preserve">   </w:t>
      </w:r>
    </w:p>
    <w:p w:rsidR="00CD37EA" w:rsidRPr="00047FA3" w:rsidRDefault="00CD37EA" w:rsidP="00CD37EA">
      <w:pPr>
        <w:rPr>
          <w:rFonts w:asciiTheme="majorHAnsi" w:hAnsiTheme="majorHAnsi"/>
          <w:b/>
        </w:rPr>
      </w:pPr>
      <w:r w:rsidRPr="00047FA3">
        <w:rPr>
          <w:rFonts w:asciiTheme="majorHAnsi" w:hAnsiTheme="majorHAnsi"/>
          <w:b/>
        </w:rPr>
        <w:t xml:space="preserve">                                                                                                            </w:t>
      </w:r>
    </w:p>
    <w:p w:rsidR="00CD37EA" w:rsidRPr="00047FA3" w:rsidRDefault="00CD37EA" w:rsidP="00CD37EA">
      <w:pPr>
        <w:tabs>
          <w:tab w:val="left" w:pos="1134"/>
        </w:tabs>
        <w:ind w:firstLine="142"/>
        <w:rPr>
          <w:rFonts w:asciiTheme="majorHAnsi" w:hAnsiTheme="majorHAnsi"/>
        </w:rPr>
      </w:pPr>
      <w:r w:rsidRPr="00047FA3">
        <w:rPr>
          <w:rFonts w:asciiTheme="majorHAnsi" w:hAnsiTheme="majorHAnsi"/>
          <w:b/>
        </w:rPr>
        <w:t>Πληροφορίες</w:t>
      </w:r>
      <w:r w:rsidRPr="00047FA3">
        <w:rPr>
          <w:rFonts w:asciiTheme="majorHAnsi" w:hAnsiTheme="majorHAnsi"/>
        </w:rPr>
        <w:t xml:space="preserve">: Μαρία </w:t>
      </w:r>
      <w:proofErr w:type="spellStart"/>
      <w:r w:rsidRPr="00047FA3">
        <w:rPr>
          <w:rFonts w:asciiTheme="majorHAnsi" w:hAnsiTheme="majorHAnsi"/>
        </w:rPr>
        <w:t>Κουμουτσάκου</w:t>
      </w:r>
      <w:proofErr w:type="spellEnd"/>
    </w:p>
    <w:p w:rsidR="00CD37EA" w:rsidRPr="00047FA3" w:rsidRDefault="00CD37EA" w:rsidP="00CD37EA">
      <w:pPr>
        <w:tabs>
          <w:tab w:val="left" w:pos="1134"/>
        </w:tabs>
        <w:ind w:firstLine="142"/>
        <w:rPr>
          <w:rFonts w:asciiTheme="majorHAnsi" w:hAnsiTheme="majorHAnsi"/>
        </w:rPr>
      </w:pPr>
      <w:r w:rsidRPr="00047FA3">
        <w:rPr>
          <w:rFonts w:asciiTheme="majorHAnsi" w:hAnsiTheme="majorHAnsi"/>
        </w:rPr>
        <w:t xml:space="preserve">                               Γραμματέας ΟΕΥ Α΄</w:t>
      </w:r>
    </w:p>
    <w:p w:rsidR="00CD37EA" w:rsidRPr="00047FA3" w:rsidRDefault="00CD37EA" w:rsidP="00CD37EA">
      <w:pPr>
        <w:ind w:left="720" w:firstLine="720"/>
        <w:jc w:val="right"/>
        <w:rPr>
          <w:rFonts w:asciiTheme="majorHAnsi" w:hAnsiTheme="majorHAnsi"/>
        </w:rPr>
      </w:pPr>
    </w:p>
    <w:p w:rsidR="00D606BC" w:rsidRDefault="00D606BC" w:rsidP="00CD37EA">
      <w:pPr>
        <w:ind w:left="720" w:firstLine="720"/>
        <w:jc w:val="right"/>
        <w:rPr>
          <w:rFonts w:asciiTheme="majorHAnsi" w:hAnsiTheme="majorHAnsi"/>
        </w:rPr>
      </w:pPr>
    </w:p>
    <w:p w:rsidR="00CD37EA" w:rsidRPr="00047FA3" w:rsidRDefault="00CD37EA" w:rsidP="00CD37EA">
      <w:pPr>
        <w:ind w:left="720" w:firstLine="720"/>
        <w:jc w:val="right"/>
        <w:rPr>
          <w:rFonts w:asciiTheme="majorHAnsi" w:hAnsiTheme="majorHAnsi"/>
        </w:rPr>
      </w:pPr>
      <w:r w:rsidRPr="00047FA3">
        <w:rPr>
          <w:rFonts w:asciiTheme="majorHAnsi" w:hAnsiTheme="majorHAnsi"/>
        </w:rPr>
        <w:t xml:space="preserve">                                                                                                       </w:t>
      </w:r>
    </w:p>
    <w:p w:rsidR="00CD37EA" w:rsidRPr="00047FA3" w:rsidRDefault="00CD37EA" w:rsidP="00CD37EA">
      <w:pPr>
        <w:pStyle w:val="Heading1"/>
        <w:rPr>
          <w:rFonts w:asciiTheme="majorHAnsi" w:hAnsiTheme="majorHAnsi"/>
          <w:b/>
          <w:sz w:val="24"/>
        </w:rPr>
      </w:pPr>
      <w:r w:rsidRPr="00047FA3">
        <w:rPr>
          <w:rFonts w:asciiTheme="majorHAnsi" w:hAnsiTheme="majorHAnsi"/>
          <w:b/>
          <w:sz w:val="24"/>
        </w:rPr>
        <w:t xml:space="preserve">Οικονομικό &amp; Επιχειρηματικό Δελτίο Σουηδίας </w:t>
      </w:r>
    </w:p>
    <w:p w:rsidR="00CD37EA" w:rsidRPr="00047FA3" w:rsidRDefault="00CD37EA" w:rsidP="00CD37EA">
      <w:pPr>
        <w:jc w:val="center"/>
        <w:rPr>
          <w:rFonts w:asciiTheme="majorHAnsi" w:hAnsiTheme="majorHAnsi"/>
          <w:b/>
          <w:bCs/>
        </w:rPr>
      </w:pPr>
      <w:r w:rsidRPr="00047FA3">
        <w:rPr>
          <w:rFonts w:asciiTheme="majorHAnsi" w:hAnsiTheme="majorHAnsi"/>
          <w:b/>
          <w:bCs/>
        </w:rPr>
        <w:t>Αριθμός</w:t>
      </w:r>
      <w:r w:rsidRPr="00047FA3">
        <w:rPr>
          <w:rFonts w:asciiTheme="majorHAnsi" w:hAnsiTheme="majorHAnsi"/>
        </w:rPr>
        <w:t xml:space="preserve"> </w:t>
      </w:r>
      <w:r w:rsidR="00324720">
        <w:rPr>
          <w:rFonts w:asciiTheme="majorHAnsi" w:hAnsiTheme="majorHAnsi"/>
          <w:b/>
        </w:rPr>
        <w:t>2</w:t>
      </w:r>
    </w:p>
    <w:p w:rsidR="00CD37EA" w:rsidRPr="00047FA3" w:rsidRDefault="00CD37EA" w:rsidP="00CD37EA">
      <w:pPr>
        <w:jc w:val="both"/>
        <w:rPr>
          <w:rFonts w:asciiTheme="majorHAnsi" w:hAnsiTheme="majorHAnsi"/>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
        <w:gridCol w:w="4776"/>
        <w:gridCol w:w="3743"/>
        <w:gridCol w:w="367"/>
      </w:tblGrid>
      <w:tr w:rsidR="00CD37EA" w:rsidRPr="00047FA3" w:rsidTr="00047FA3">
        <w:tc>
          <w:tcPr>
            <w:tcW w:w="573" w:type="dxa"/>
            <w:tcBorders>
              <w:bottom w:val="single" w:sz="4" w:space="0" w:color="auto"/>
            </w:tcBorders>
            <w:shd w:val="clear" w:color="auto" w:fill="BFBFBF"/>
          </w:tcPr>
          <w:p w:rsidR="00CD37EA" w:rsidRPr="00047FA3" w:rsidRDefault="00032557" w:rsidP="00047FA3">
            <w:pPr>
              <w:snapToGrid w:val="0"/>
              <w:rPr>
                <w:rFonts w:asciiTheme="majorHAnsi" w:hAnsiTheme="majorHAnsi"/>
                <w:b/>
                <w:bCs/>
              </w:rPr>
            </w:pPr>
            <w:r>
              <w:rPr>
                <w:rFonts w:asciiTheme="majorHAnsi" w:hAnsiTheme="majorHAnsi"/>
                <w:b/>
                <w:bCs/>
              </w:rPr>
              <w:t>1</w:t>
            </w:r>
            <w:r w:rsidR="00CD37EA" w:rsidRPr="00047FA3">
              <w:rPr>
                <w:rFonts w:asciiTheme="majorHAnsi" w:hAnsiTheme="majorHAnsi"/>
                <w:b/>
                <w:bCs/>
              </w:rPr>
              <w:t>.</w:t>
            </w:r>
          </w:p>
        </w:tc>
        <w:tc>
          <w:tcPr>
            <w:tcW w:w="8886" w:type="dxa"/>
            <w:gridSpan w:val="3"/>
            <w:tcBorders>
              <w:bottom w:val="single" w:sz="4" w:space="0" w:color="auto"/>
            </w:tcBorders>
            <w:shd w:val="clear" w:color="auto" w:fill="BFBFBF"/>
          </w:tcPr>
          <w:p w:rsidR="00CD37EA" w:rsidRPr="00047FA3" w:rsidRDefault="00CD37EA" w:rsidP="00047FA3">
            <w:pPr>
              <w:autoSpaceDE w:val="0"/>
              <w:jc w:val="both"/>
              <w:rPr>
                <w:rFonts w:asciiTheme="majorHAnsi" w:hAnsiTheme="majorHAnsi"/>
                <w:b/>
              </w:rPr>
            </w:pPr>
            <w:r w:rsidRPr="00047FA3">
              <w:rPr>
                <w:rFonts w:asciiTheme="majorHAnsi" w:hAnsiTheme="majorHAnsi"/>
                <w:b/>
              </w:rPr>
              <w:t>Σουηδική Οικονομία</w:t>
            </w:r>
          </w:p>
        </w:tc>
      </w:tr>
      <w:tr w:rsidR="00E95437" w:rsidRPr="00047FA3" w:rsidTr="00047FA3">
        <w:tc>
          <w:tcPr>
            <w:tcW w:w="573" w:type="dxa"/>
            <w:tcBorders>
              <w:bottom w:val="single" w:sz="4" w:space="0" w:color="auto"/>
            </w:tcBorders>
          </w:tcPr>
          <w:p w:rsidR="00E95437" w:rsidRPr="00047FA3" w:rsidRDefault="00E95437" w:rsidP="00047FA3">
            <w:pPr>
              <w:snapToGrid w:val="0"/>
              <w:jc w:val="center"/>
              <w:rPr>
                <w:rFonts w:asciiTheme="majorHAnsi" w:hAnsiTheme="majorHAnsi"/>
                <w:bCs/>
              </w:rPr>
            </w:pPr>
          </w:p>
        </w:tc>
        <w:tc>
          <w:tcPr>
            <w:tcW w:w="8886" w:type="dxa"/>
            <w:gridSpan w:val="3"/>
            <w:tcBorders>
              <w:bottom w:val="single" w:sz="4" w:space="0" w:color="auto"/>
            </w:tcBorders>
          </w:tcPr>
          <w:p w:rsidR="00E95437" w:rsidRPr="00E95437" w:rsidRDefault="00E95437" w:rsidP="00E95437">
            <w:pPr>
              <w:pStyle w:val="Heading2"/>
              <w:spacing w:before="0"/>
              <w:jc w:val="both"/>
              <w:rPr>
                <w:b w:val="0"/>
                <w:color w:val="000000" w:themeColor="text1"/>
                <w:sz w:val="24"/>
                <w:szCs w:val="24"/>
              </w:rPr>
            </w:pPr>
            <w:r>
              <w:rPr>
                <w:b w:val="0"/>
                <w:color w:val="000000" w:themeColor="text1"/>
                <w:sz w:val="24"/>
                <w:szCs w:val="24"/>
              </w:rPr>
              <w:t>1.1.</w:t>
            </w:r>
            <w:r w:rsidRPr="00E95437">
              <w:rPr>
                <w:b w:val="0"/>
                <w:color w:val="000000" w:themeColor="text1"/>
                <w:sz w:val="24"/>
                <w:szCs w:val="24"/>
              </w:rPr>
              <w:t>Κατάθεση εαρινού σχεδίου δημοσιονομικής πολιτικής, τροποποιήσεις σε Προϋπολογισμό 2018.</w:t>
            </w:r>
          </w:p>
        </w:tc>
      </w:tr>
      <w:tr w:rsidR="00CD37EA" w:rsidRPr="00047FA3" w:rsidTr="00047FA3">
        <w:tc>
          <w:tcPr>
            <w:tcW w:w="573" w:type="dxa"/>
            <w:tcBorders>
              <w:bottom w:val="single" w:sz="4" w:space="0" w:color="auto"/>
            </w:tcBorders>
          </w:tcPr>
          <w:p w:rsidR="00CD37EA" w:rsidRPr="00047FA3"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CD37EA" w:rsidRPr="00811304" w:rsidRDefault="00032557" w:rsidP="00BC4EF3">
            <w:pPr>
              <w:overflowPunct w:val="0"/>
              <w:autoSpaceDE w:val="0"/>
              <w:autoSpaceDN w:val="0"/>
              <w:adjustRightInd w:val="0"/>
              <w:jc w:val="both"/>
              <w:textAlignment w:val="baseline"/>
              <w:rPr>
                <w:rFonts w:asciiTheme="majorHAnsi" w:hAnsiTheme="majorHAnsi"/>
              </w:rPr>
            </w:pPr>
            <w:r>
              <w:rPr>
                <w:rFonts w:asciiTheme="majorHAnsi" w:hAnsiTheme="majorHAnsi"/>
              </w:rPr>
              <w:t>1</w:t>
            </w:r>
            <w:r w:rsidR="00E95437">
              <w:rPr>
                <w:rFonts w:asciiTheme="majorHAnsi" w:hAnsiTheme="majorHAnsi"/>
              </w:rPr>
              <w:t>.2</w:t>
            </w:r>
            <w:r w:rsidR="00C82638" w:rsidRPr="00811304">
              <w:rPr>
                <w:rFonts w:asciiTheme="majorHAnsi" w:hAnsiTheme="majorHAnsi"/>
              </w:rPr>
              <w:t xml:space="preserve">. </w:t>
            </w:r>
            <w:r w:rsidR="000A6D3C" w:rsidRPr="000A6D3C">
              <w:rPr>
                <w:rFonts w:asciiTheme="majorHAnsi" w:hAnsiTheme="majorHAnsi" w:cs="Calibri"/>
                <w:bCs/>
              </w:rPr>
              <w:t>Συνεχιζόμενη υποτίμηση της Σουηδικής Κορώνας και νομισματική πολιτική της Σουηδικής Κεντρικής Τράπεζας</w:t>
            </w:r>
          </w:p>
        </w:tc>
      </w:tr>
      <w:tr w:rsidR="00CD37EA" w:rsidRPr="00047FA3" w:rsidTr="00047FA3">
        <w:tc>
          <w:tcPr>
            <w:tcW w:w="573" w:type="dxa"/>
            <w:tcBorders>
              <w:bottom w:val="single" w:sz="4" w:space="0" w:color="auto"/>
            </w:tcBorders>
          </w:tcPr>
          <w:p w:rsidR="00CD37EA" w:rsidRPr="00047FA3"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CD37EA" w:rsidRPr="00811304" w:rsidRDefault="00032557" w:rsidP="00324720">
            <w:pPr>
              <w:overflowPunct w:val="0"/>
              <w:autoSpaceDE w:val="0"/>
              <w:autoSpaceDN w:val="0"/>
              <w:adjustRightInd w:val="0"/>
              <w:jc w:val="both"/>
              <w:textAlignment w:val="baseline"/>
              <w:rPr>
                <w:rFonts w:asciiTheme="majorHAnsi" w:hAnsiTheme="majorHAnsi"/>
              </w:rPr>
            </w:pPr>
            <w:r>
              <w:rPr>
                <w:rFonts w:asciiTheme="majorHAnsi" w:hAnsiTheme="majorHAnsi"/>
              </w:rPr>
              <w:t>1</w:t>
            </w:r>
            <w:r w:rsidR="00E95437">
              <w:rPr>
                <w:rFonts w:asciiTheme="majorHAnsi" w:hAnsiTheme="majorHAnsi"/>
              </w:rPr>
              <w:t>.3</w:t>
            </w:r>
            <w:r w:rsidR="00C82638" w:rsidRPr="00811304">
              <w:rPr>
                <w:rFonts w:asciiTheme="majorHAnsi" w:hAnsiTheme="majorHAnsi"/>
              </w:rPr>
              <w:t xml:space="preserve">. </w:t>
            </w:r>
            <w:r w:rsidR="00324720">
              <w:rPr>
                <w:rFonts w:asciiTheme="majorHAnsi" w:hAnsiTheme="majorHAnsi"/>
              </w:rPr>
              <w:t>Αύξηση της κατανάλωσης των νοικοκυριών στη Σουηδία</w:t>
            </w:r>
          </w:p>
        </w:tc>
      </w:tr>
      <w:tr w:rsidR="00CD37EA" w:rsidRPr="00047FA3" w:rsidTr="00047FA3">
        <w:tc>
          <w:tcPr>
            <w:tcW w:w="573" w:type="dxa"/>
            <w:tcBorders>
              <w:bottom w:val="single" w:sz="4" w:space="0" w:color="auto"/>
            </w:tcBorders>
            <w:shd w:val="clear" w:color="auto" w:fill="BFBFBF"/>
          </w:tcPr>
          <w:p w:rsidR="00CD37EA" w:rsidRPr="00047FA3" w:rsidRDefault="000A6D3C" w:rsidP="00047FA3">
            <w:pPr>
              <w:snapToGrid w:val="0"/>
              <w:rPr>
                <w:rFonts w:asciiTheme="majorHAnsi" w:hAnsiTheme="majorHAnsi"/>
                <w:b/>
                <w:bCs/>
              </w:rPr>
            </w:pPr>
            <w:r>
              <w:rPr>
                <w:rFonts w:asciiTheme="majorHAnsi" w:hAnsiTheme="majorHAnsi"/>
                <w:b/>
                <w:bCs/>
              </w:rPr>
              <w:t>2</w:t>
            </w:r>
            <w:r w:rsidR="00CD37EA" w:rsidRPr="00047FA3">
              <w:rPr>
                <w:rFonts w:asciiTheme="majorHAnsi" w:hAnsiTheme="majorHAnsi"/>
                <w:b/>
                <w:bCs/>
              </w:rPr>
              <w:t>.</w:t>
            </w:r>
          </w:p>
        </w:tc>
        <w:tc>
          <w:tcPr>
            <w:tcW w:w="8886" w:type="dxa"/>
            <w:gridSpan w:val="3"/>
            <w:tcBorders>
              <w:bottom w:val="single" w:sz="4" w:space="0" w:color="auto"/>
            </w:tcBorders>
            <w:shd w:val="clear" w:color="auto" w:fill="BFBFBF"/>
          </w:tcPr>
          <w:p w:rsidR="00CD37EA" w:rsidRPr="00047FA3" w:rsidRDefault="00CD37EA" w:rsidP="00047FA3">
            <w:pPr>
              <w:autoSpaceDE w:val="0"/>
              <w:jc w:val="both"/>
              <w:rPr>
                <w:rFonts w:asciiTheme="majorHAnsi" w:hAnsiTheme="majorHAnsi"/>
                <w:b/>
              </w:rPr>
            </w:pPr>
            <w:r w:rsidRPr="00047FA3">
              <w:rPr>
                <w:rFonts w:asciiTheme="majorHAnsi" w:hAnsiTheme="majorHAnsi"/>
                <w:b/>
              </w:rPr>
              <w:t>Επιχειρηματικές Ειδήσεις</w:t>
            </w:r>
            <w:r w:rsidRPr="00047FA3" w:rsidDel="00A979AB">
              <w:rPr>
                <w:rFonts w:asciiTheme="majorHAnsi" w:hAnsiTheme="majorHAnsi"/>
                <w:b/>
                <w:bCs/>
              </w:rPr>
              <w:t xml:space="preserve"> </w:t>
            </w:r>
          </w:p>
        </w:tc>
      </w:tr>
      <w:tr w:rsidR="00CD37EA" w:rsidRPr="00047FA3" w:rsidTr="00047FA3">
        <w:tc>
          <w:tcPr>
            <w:tcW w:w="573" w:type="dxa"/>
            <w:tcBorders>
              <w:bottom w:val="single" w:sz="4" w:space="0" w:color="auto"/>
            </w:tcBorders>
          </w:tcPr>
          <w:p w:rsidR="00CD37EA" w:rsidRPr="00047FA3"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6F7966" w:rsidRPr="00D606BC" w:rsidRDefault="000A6D3C" w:rsidP="006F7966">
            <w:pPr>
              <w:autoSpaceDE w:val="0"/>
              <w:autoSpaceDN w:val="0"/>
              <w:adjustRightInd w:val="0"/>
              <w:jc w:val="both"/>
              <w:rPr>
                <w:rFonts w:asciiTheme="majorHAnsi" w:hAnsiTheme="majorHAnsi"/>
                <w:bCs/>
              </w:rPr>
            </w:pPr>
            <w:r w:rsidRPr="00D606BC">
              <w:rPr>
                <w:rFonts w:asciiTheme="majorHAnsi" w:hAnsiTheme="majorHAnsi"/>
                <w:bCs/>
              </w:rPr>
              <w:t>2</w:t>
            </w:r>
            <w:r w:rsidR="00AC322A" w:rsidRPr="00D606BC">
              <w:rPr>
                <w:rFonts w:asciiTheme="majorHAnsi" w:hAnsiTheme="majorHAnsi"/>
                <w:bCs/>
              </w:rPr>
              <w:t xml:space="preserve">.1. </w:t>
            </w:r>
            <w:r w:rsidR="006F7966" w:rsidRPr="00D606BC">
              <w:rPr>
                <w:rFonts w:asciiTheme="majorHAnsi" w:hAnsiTheme="majorHAnsi"/>
                <w:bCs/>
              </w:rPr>
              <w:t xml:space="preserve">Τομέας τροφίμων – ποτών </w:t>
            </w:r>
          </w:p>
          <w:p w:rsidR="00CD37EA" w:rsidRPr="00047FA3" w:rsidRDefault="000A6D3C" w:rsidP="006F7966">
            <w:pPr>
              <w:autoSpaceDE w:val="0"/>
              <w:autoSpaceDN w:val="0"/>
              <w:adjustRightInd w:val="0"/>
              <w:jc w:val="both"/>
              <w:rPr>
                <w:rFonts w:asciiTheme="majorHAnsi" w:hAnsiTheme="majorHAnsi"/>
                <w:bCs/>
              </w:rPr>
            </w:pPr>
            <w:r>
              <w:rPr>
                <w:rFonts w:asciiTheme="majorHAnsi" w:hAnsiTheme="majorHAnsi"/>
                <w:bCs/>
              </w:rPr>
              <w:t>2</w:t>
            </w:r>
            <w:r w:rsidR="006F7966" w:rsidRPr="006F7966">
              <w:rPr>
                <w:rFonts w:asciiTheme="majorHAnsi" w:hAnsiTheme="majorHAnsi"/>
                <w:bCs/>
              </w:rPr>
              <w:t>.1.1 Σουηδία: έθνος με γούστο στη διατροφή και παγκόσμιας  κλάσης κουζίνα</w:t>
            </w:r>
          </w:p>
        </w:tc>
      </w:tr>
      <w:tr w:rsidR="00CD37EA" w:rsidRPr="00047FA3" w:rsidTr="00047FA3">
        <w:tc>
          <w:tcPr>
            <w:tcW w:w="573" w:type="dxa"/>
            <w:tcBorders>
              <w:bottom w:val="single" w:sz="4" w:space="0" w:color="auto"/>
            </w:tcBorders>
          </w:tcPr>
          <w:p w:rsidR="00CD37EA" w:rsidRPr="00047FA3" w:rsidRDefault="00CD37EA" w:rsidP="00047FA3">
            <w:pPr>
              <w:snapToGrid w:val="0"/>
              <w:jc w:val="center"/>
              <w:rPr>
                <w:rFonts w:asciiTheme="majorHAnsi" w:hAnsiTheme="majorHAnsi"/>
                <w:bCs/>
              </w:rPr>
            </w:pPr>
          </w:p>
        </w:tc>
        <w:tc>
          <w:tcPr>
            <w:tcW w:w="8886" w:type="dxa"/>
            <w:gridSpan w:val="3"/>
            <w:tcBorders>
              <w:bottom w:val="single" w:sz="4" w:space="0" w:color="auto"/>
            </w:tcBorders>
          </w:tcPr>
          <w:p w:rsidR="00CD37EA" w:rsidRPr="00047FA3" w:rsidDel="00A979AB" w:rsidRDefault="000A6D3C" w:rsidP="006F7966">
            <w:pPr>
              <w:autoSpaceDE w:val="0"/>
              <w:autoSpaceDN w:val="0"/>
              <w:adjustRightInd w:val="0"/>
              <w:jc w:val="both"/>
              <w:rPr>
                <w:rFonts w:asciiTheme="majorHAnsi" w:hAnsiTheme="majorHAnsi"/>
                <w:bCs/>
              </w:rPr>
            </w:pPr>
            <w:r>
              <w:rPr>
                <w:rFonts w:asciiTheme="majorHAnsi" w:hAnsiTheme="majorHAnsi"/>
                <w:bCs/>
              </w:rPr>
              <w:t>2</w:t>
            </w:r>
            <w:r w:rsidR="00811304" w:rsidRPr="00811304">
              <w:rPr>
                <w:rFonts w:asciiTheme="majorHAnsi" w:hAnsiTheme="majorHAnsi"/>
                <w:bCs/>
              </w:rPr>
              <w:t>.</w:t>
            </w:r>
            <w:r w:rsidR="006F7966">
              <w:rPr>
                <w:rFonts w:asciiTheme="majorHAnsi" w:hAnsiTheme="majorHAnsi"/>
                <w:bCs/>
              </w:rPr>
              <w:t>1</w:t>
            </w:r>
            <w:r w:rsidR="00811304" w:rsidRPr="00811304">
              <w:rPr>
                <w:rFonts w:asciiTheme="majorHAnsi" w:hAnsiTheme="majorHAnsi"/>
                <w:bCs/>
              </w:rPr>
              <w:t>.</w:t>
            </w:r>
            <w:r w:rsidR="006F7966">
              <w:rPr>
                <w:rFonts w:asciiTheme="majorHAnsi" w:hAnsiTheme="majorHAnsi"/>
                <w:bCs/>
              </w:rPr>
              <w:t>2</w:t>
            </w:r>
            <w:r w:rsidR="00811304" w:rsidRPr="00811304">
              <w:rPr>
                <w:rFonts w:asciiTheme="majorHAnsi" w:hAnsiTheme="majorHAnsi"/>
                <w:bCs/>
              </w:rPr>
              <w:t xml:space="preserve"> </w:t>
            </w:r>
            <w:r w:rsidR="006F7966" w:rsidRPr="00811304">
              <w:rPr>
                <w:rFonts w:asciiTheme="majorHAnsi" w:hAnsiTheme="majorHAnsi"/>
                <w:bCs/>
              </w:rPr>
              <w:t xml:space="preserve">Διεθνής Εμπορική Έκθεση </w:t>
            </w:r>
            <w:proofErr w:type="spellStart"/>
            <w:r w:rsidR="006F7966" w:rsidRPr="00811304">
              <w:rPr>
                <w:rFonts w:asciiTheme="majorHAnsi" w:hAnsiTheme="majorHAnsi"/>
                <w:bCs/>
              </w:rPr>
              <w:t>Gastronord</w:t>
            </w:r>
            <w:proofErr w:type="spellEnd"/>
            <w:r w:rsidR="006F7966" w:rsidRPr="00811304">
              <w:rPr>
                <w:rFonts w:asciiTheme="majorHAnsi" w:hAnsiTheme="majorHAnsi"/>
                <w:bCs/>
              </w:rPr>
              <w:t xml:space="preserve">  - </w:t>
            </w:r>
            <w:proofErr w:type="spellStart"/>
            <w:r w:rsidR="006F7966" w:rsidRPr="00811304">
              <w:rPr>
                <w:rFonts w:asciiTheme="majorHAnsi" w:hAnsiTheme="majorHAnsi"/>
                <w:bCs/>
              </w:rPr>
              <w:t>Vinordic</w:t>
            </w:r>
            <w:proofErr w:type="spellEnd"/>
            <w:r w:rsidR="006F7966" w:rsidRPr="00811304">
              <w:rPr>
                <w:rFonts w:asciiTheme="majorHAnsi" w:hAnsiTheme="majorHAnsi"/>
                <w:bCs/>
              </w:rPr>
              <w:t xml:space="preserve"> (24-27 Απριλίου 2018)</w:t>
            </w:r>
          </w:p>
        </w:tc>
      </w:tr>
      <w:tr w:rsidR="00CD37EA" w:rsidRPr="00047FA3" w:rsidTr="00047FA3">
        <w:tc>
          <w:tcPr>
            <w:tcW w:w="573" w:type="dxa"/>
          </w:tcPr>
          <w:p w:rsidR="00CD37EA" w:rsidRPr="00047FA3" w:rsidRDefault="00CD37EA" w:rsidP="00047FA3">
            <w:pPr>
              <w:jc w:val="center"/>
              <w:rPr>
                <w:rFonts w:asciiTheme="majorHAnsi" w:hAnsiTheme="majorHAnsi"/>
                <w:b/>
              </w:rPr>
            </w:pPr>
          </w:p>
        </w:tc>
        <w:tc>
          <w:tcPr>
            <w:tcW w:w="8886" w:type="dxa"/>
            <w:gridSpan w:val="3"/>
          </w:tcPr>
          <w:p w:rsidR="00CD37EA" w:rsidRPr="00D606BC" w:rsidRDefault="000A6D3C" w:rsidP="008454ED">
            <w:pPr>
              <w:autoSpaceDE w:val="0"/>
              <w:autoSpaceDN w:val="0"/>
              <w:adjustRightInd w:val="0"/>
              <w:jc w:val="both"/>
              <w:rPr>
                <w:rFonts w:asciiTheme="majorHAnsi" w:hAnsiTheme="majorHAnsi"/>
                <w:bCs/>
              </w:rPr>
            </w:pPr>
            <w:r w:rsidRPr="00D606BC">
              <w:rPr>
                <w:rFonts w:asciiTheme="majorHAnsi" w:hAnsiTheme="majorHAnsi"/>
                <w:bCs/>
              </w:rPr>
              <w:t>2</w:t>
            </w:r>
            <w:r w:rsidR="006F7966" w:rsidRPr="00D606BC">
              <w:rPr>
                <w:rFonts w:asciiTheme="majorHAnsi" w:hAnsiTheme="majorHAnsi"/>
                <w:bCs/>
              </w:rPr>
              <w:t xml:space="preserve">.2. </w:t>
            </w:r>
            <w:r w:rsidR="008454ED" w:rsidRPr="00D606BC">
              <w:rPr>
                <w:rFonts w:asciiTheme="majorHAnsi" w:hAnsiTheme="majorHAnsi"/>
                <w:bCs/>
              </w:rPr>
              <w:t>Κλάδος Α.Π.Ε.</w:t>
            </w:r>
          </w:p>
        </w:tc>
      </w:tr>
      <w:tr w:rsidR="00CD37EA" w:rsidRPr="00047FA3" w:rsidTr="00047FA3">
        <w:tc>
          <w:tcPr>
            <w:tcW w:w="573" w:type="dxa"/>
          </w:tcPr>
          <w:p w:rsidR="00CD37EA" w:rsidRPr="00047FA3" w:rsidRDefault="00CD37EA" w:rsidP="00047FA3">
            <w:pPr>
              <w:snapToGrid w:val="0"/>
              <w:rPr>
                <w:rFonts w:asciiTheme="majorHAnsi" w:hAnsiTheme="majorHAnsi"/>
                <w:b/>
                <w:bCs/>
              </w:rPr>
            </w:pPr>
          </w:p>
        </w:tc>
        <w:tc>
          <w:tcPr>
            <w:tcW w:w="8886" w:type="dxa"/>
            <w:gridSpan w:val="3"/>
          </w:tcPr>
          <w:p w:rsidR="00CD37EA" w:rsidRPr="00047FA3" w:rsidRDefault="000A6D3C" w:rsidP="00047FA3">
            <w:pPr>
              <w:autoSpaceDE w:val="0"/>
              <w:snapToGrid w:val="0"/>
              <w:rPr>
                <w:rFonts w:asciiTheme="majorHAnsi" w:hAnsiTheme="majorHAnsi"/>
                <w:b/>
                <w:bCs/>
              </w:rPr>
            </w:pPr>
            <w:r w:rsidRPr="00D606BC">
              <w:rPr>
                <w:rFonts w:asciiTheme="majorHAnsi" w:hAnsiTheme="majorHAnsi"/>
                <w:bCs/>
              </w:rPr>
              <w:t>2</w:t>
            </w:r>
            <w:r w:rsidR="006F7966" w:rsidRPr="00D606BC">
              <w:rPr>
                <w:rFonts w:asciiTheme="majorHAnsi" w:hAnsiTheme="majorHAnsi"/>
                <w:bCs/>
              </w:rPr>
              <w:t>.2.1.</w:t>
            </w:r>
            <w:r w:rsidR="006F7966">
              <w:t xml:space="preserve"> </w:t>
            </w:r>
            <w:r w:rsidR="006F7966" w:rsidRPr="006F7966">
              <w:rPr>
                <w:rFonts w:asciiTheme="majorHAnsi" w:hAnsiTheme="majorHAnsi"/>
                <w:bCs/>
              </w:rPr>
              <w:t>Εγκαίνια του πρώτου αυτοκινητόδρομου με ικανότητα φόρτισης ηλεκτρικών οχημάτων στη Σουηδία.</w:t>
            </w:r>
          </w:p>
        </w:tc>
      </w:tr>
      <w:tr w:rsidR="00622BF1" w:rsidRPr="00047FA3" w:rsidTr="00047FA3">
        <w:tc>
          <w:tcPr>
            <w:tcW w:w="573" w:type="dxa"/>
          </w:tcPr>
          <w:p w:rsidR="00622BF1" w:rsidRPr="00047FA3" w:rsidRDefault="00622BF1" w:rsidP="00047FA3">
            <w:pPr>
              <w:snapToGrid w:val="0"/>
              <w:rPr>
                <w:rFonts w:asciiTheme="majorHAnsi" w:hAnsiTheme="majorHAnsi"/>
                <w:b/>
                <w:bCs/>
              </w:rPr>
            </w:pPr>
          </w:p>
        </w:tc>
        <w:tc>
          <w:tcPr>
            <w:tcW w:w="8886" w:type="dxa"/>
            <w:gridSpan w:val="3"/>
          </w:tcPr>
          <w:p w:rsidR="00622BF1" w:rsidRDefault="000A6D3C" w:rsidP="00622BF1">
            <w:pPr>
              <w:autoSpaceDE w:val="0"/>
              <w:snapToGrid w:val="0"/>
              <w:rPr>
                <w:rFonts w:asciiTheme="majorHAnsi" w:hAnsiTheme="majorHAnsi"/>
                <w:b/>
                <w:bCs/>
              </w:rPr>
            </w:pPr>
            <w:r w:rsidRPr="00D606BC">
              <w:rPr>
                <w:rFonts w:asciiTheme="majorHAnsi" w:hAnsiTheme="majorHAnsi"/>
                <w:bCs/>
              </w:rPr>
              <w:t>2</w:t>
            </w:r>
            <w:r w:rsidR="00622BF1" w:rsidRPr="00D606BC">
              <w:rPr>
                <w:rFonts w:asciiTheme="majorHAnsi" w:hAnsiTheme="majorHAnsi"/>
                <w:bCs/>
              </w:rPr>
              <w:t>.2.2.</w:t>
            </w:r>
            <w:r w:rsidR="00E95437">
              <w:rPr>
                <w:rFonts w:asciiTheme="majorHAnsi" w:hAnsiTheme="majorHAnsi"/>
                <w:b/>
              </w:rPr>
              <w:t xml:space="preserve"> </w:t>
            </w:r>
            <w:r w:rsidR="00E95437" w:rsidRPr="00E95437">
              <w:rPr>
                <w:rFonts w:asciiTheme="majorHAnsi" w:hAnsiTheme="majorHAnsi"/>
              </w:rPr>
              <w:t xml:space="preserve">Επένδυση της </w:t>
            </w:r>
            <w:proofErr w:type="spellStart"/>
            <w:r w:rsidR="00E95437" w:rsidRPr="00E95437">
              <w:rPr>
                <w:rFonts w:asciiTheme="majorHAnsi" w:hAnsiTheme="majorHAnsi"/>
              </w:rPr>
              <w:t>NorthVolt</w:t>
            </w:r>
            <w:proofErr w:type="spellEnd"/>
            <w:r w:rsidR="00E95437" w:rsidRPr="00E95437">
              <w:rPr>
                <w:rFonts w:asciiTheme="majorHAnsi" w:hAnsiTheme="majorHAnsi"/>
              </w:rPr>
              <w:t xml:space="preserve"> στον κλάδο μπαταριών </w:t>
            </w:r>
            <w:proofErr w:type="spellStart"/>
            <w:r w:rsidR="00E95437" w:rsidRPr="00E95437">
              <w:rPr>
                <w:rFonts w:asciiTheme="majorHAnsi" w:hAnsiTheme="majorHAnsi"/>
              </w:rPr>
              <w:t>λιθίου</w:t>
            </w:r>
            <w:proofErr w:type="spellEnd"/>
          </w:p>
        </w:tc>
      </w:tr>
      <w:tr w:rsidR="00622BF1" w:rsidRPr="00047FA3" w:rsidTr="00047FA3">
        <w:tc>
          <w:tcPr>
            <w:tcW w:w="573" w:type="dxa"/>
          </w:tcPr>
          <w:p w:rsidR="00622BF1" w:rsidRPr="00047FA3" w:rsidRDefault="00622BF1" w:rsidP="00047FA3">
            <w:pPr>
              <w:snapToGrid w:val="0"/>
              <w:rPr>
                <w:rFonts w:asciiTheme="majorHAnsi" w:hAnsiTheme="majorHAnsi"/>
                <w:b/>
                <w:bCs/>
              </w:rPr>
            </w:pPr>
          </w:p>
        </w:tc>
        <w:tc>
          <w:tcPr>
            <w:tcW w:w="8886" w:type="dxa"/>
            <w:gridSpan w:val="3"/>
          </w:tcPr>
          <w:p w:rsidR="00622BF1" w:rsidRDefault="000A6D3C" w:rsidP="00047FA3">
            <w:pPr>
              <w:autoSpaceDE w:val="0"/>
              <w:snapToGrid w:val="0"/>
              <w:rPr>
                <w:rFonts w:asciiTheme="majorHAnsi" w:hAnsiTheme="majorHAnsi"/>
                <w:b/>
                <w:bCs/>
              </w:rPr>
            </w:pPr>
            <w:r w:rsidRPr="00D606BC">
              <w:rPr>
                <w:rFonts w:asciiTheme="majorHAnsi" w:hAnsiTheme="majorHAnsi"/>
                <w:bCs/>
              </w:rPr>
              <w:t>2</w:t>
            </w:r>
            <w:r w:rsidR="00622BF1" w:rsidRPr="00D606BC">
              <w:rPr>
                <w:rFonts w:asciiTheme="majorHAnsi" w:hAnsiTheme="majorHAnsi"/>
                <w:bCs/>
              </w:rPr>
              <w:t>.2.3</w:t>
            </w:r>
            <w:r w:rsidR="00D606BC" w:rsidRPr="00D606BC">
              <w:rPr>
                <w:rFonts w:asciiTheme="majorHAnsi" w:hAnsiTheme="majorHAnsi"/>
                <w:bCs/>
              </w:rPr>
              <w:t>.</w:t>
            </w:r>
            <w:r w:rsidR="00622BF1">
              <w:rPr>
                <w:rFonts w:asciiTheme="majorHAnsi" w:hAnsiTheme="majorHAnsi"/>
                <w:b/>
                <w:bCs/>
              </w:rPr>
              <w:t xml:space="preserve"> </w:t>
            </w:r>
            <w:r w:rsidR="00622BF1" w:rsidRPr="00622BF1">
              <w:rPr>
                <w:rFonts w:asciiTheme="majorHAnsi" w:hAnsiTheme="majorHAnsi"/>
                <w:bCs/>
              </w:rPr>
              <w:t xml:space="preserve">Επένδυση καναδικής </w:t>
            </w:r>
            <w:proofErr w:type="spellStart"/>
            <w:r w:rsidR="00622BF1" w:rsidRPr="00622BF1">
              <w:rPr>
                <w:rFonts w:asciiTheme="majorHAnsi" w:hAnsiTheme="majorHAnsi"/>
                <w:bCs/>
              </w:rPr>
              <w:t>Leading</w:t>
            </w:r>
            <w:proofErr w:type="spellEnd"/>
            <w:r w:rsidR="00622BF1" w:rsidRPr="00622BF1">
              <w:rPr>
                <w:rFonts w:asciiTheme="majorHAnsi" w:hAnsiTheme="majorHAnsi"/>
                <w:bCs/>
              </w:rPr>
              <w:t xml:space="preserve"> </w:t>
            </w:r>
            <w:proofErr w:type="spellStart"/>
            <w:r w:rsidR="00622BF1" w:rsidRPr="00622BF1">
              <w:rPr>
                <w:rFonts w:asciiTheme="majorHAnsi" w:hAnsiTheme="majorHAnsi"/>
                <w:bCs/>
              </w:rPr>
              <w:t>Edge</w:t>
            </w:r>
            <w:proofErr w:type="spellEnd"/>
            <w:r w:rsidR="00622BF1" w:rsidRPr="00622BF1">
              <w:rPr>
                <w:rFonts w:asciiTheme="majorHAnsi" w:hAnsiTheme="majorHAnsi"/>
                <w:bCs/>
              </w:rPr>
              <w:t xml:space="preserve"> </w:t>
            </w:r>
            <w:proofErr w:type="spellStart"/>
            <w:r w:rsidR="00622BF1" w:rsidRPr="00622BF1">
              <w:rPr>
                <w:rFonts w:asciiTheme="majorHAnsi" w:hAnsiTheme="majorHAnsi"/>
                <w:bCs/>
              </w:rPr>
              <w:t>Materials</w:t>
            </w:r>
            <w:proofErr w:type="spellEnd"/>
            <w:r w:rsidR="00622BF1" w:rsidRPr="00622BF1">
              <w:rPr>
                <w:rFonts w:asciiTheme="majorHAnsi" w:hAnsiTheme="majorHAnsi"/>
                <w:bCs/>
              </w:rPr>
              <w:t xml:space="preserve"> </w:t>
            </w:r>
            <w:proofErr w:type="spellStart"/>
            <w:r w:rsidR="00622BF1" w:rsidRPr="00622BF1">
              <w:rPr>
                <w:rFonts w:asciiTheme="majorHAnsi" w:hAnsiTheme="majorHAnsi"/>
                <w:bCs/>
              </w:rPr>
              <w:t>Corp</w:t>
            </w:r>
            <w:proofErr w:type="spellEnd"/>
            <w:r w:rsidR="00622BF1" w:rsidRPr="00622BF1">
              <w:rPr>
                <w:rFonts w:asciiTheme="majorHAnsi" w:hAnsiTheme="majorHAnsi"/>
                <w:bCs/>
              </w:rPr>
              <w:t xml:space="preserve">. σε σουηδική βιομηχανία εξόρυξης  </w:t>
            </w:r>
          </w:p>
        </w:tc>
      </w:tr>
      <w:tr w:rsidR="00CD37EA" w:rsidRPr="00047FA3" w:rsidTr="00047FA3">
        <w:tc>
          <w:tcPr>
            <w:tcW w:w="573" w:type="dxa"/>
          </w:tcPr>
          <w:p w:rsidR="00CD37EA" w:rsidRPr="00047FA3" w:rsidRDefault="00CD37EA" w:rsidP="00047FA3">
            <w:pPr>
              <w:jc w:val="center"/>
              <w:rPr>
                <w:rFonts w:asciiTheme="majorHAnsi" w:hAnsiTheme="majorHAnsi"/>
                <w:b/>
              </w:rPr>
            </w:pPr>
          </w:p>
        </w:tc>
        <w:tc>
          <w:tcPr>
            <w:tcW w:w="8886" w:type="dxa"/>
            <w:gridSpan w:val="3"/>
          </w:tcPr>
          <w:p w:rsidR="00CD37EA" w:rsidRPr="00047FA3" w:rsidRDefault="00CD37EA" w:rsidP="00047FA3">
            <w:pPr>
              <w:autoSpaceDE w:val="0"/>
              <w:jc w:val="right"/>
              <w:rPr>
                <w:rFonts w:asciiTheme="majorHAnsi" w:hAnsiTheme="majorHAnsi"/>
                <w:b/>
                <w:bCs/>
              </w:rPr>
            </w:pPr>
            <w:r w:rsidRPr="00047FA3">
              <w:rPr>
                <w:rFonts w:asciiTheme="majorHAnsi" w:hAnsiTheme="majorHAnsi"/>
                <w:b/>
                <w:bCs/>
              </w:rPr>
              <w:t>Τρέχουσα ισοτιμία Κορόνας-Ευρώ:</w:t>
            </w:r>
          </w:p>
          <w:p w:rsidR="00CD37EA" w:rsidRPr="00047FA3" w:rsidRDefault="00CD37EA" w:rsidP="006F7966">
            <w:pPr>
              <w:tabs>
                <w:tab w:val="left" w:pos="6765"/>
                <w:tab w:val="right" w:pos="8670"/>
              </w:tabs>
              <w:autoSpaceDE w:val="0"/>
              <w:jc w:val="right"/>
              <w:rPr>
                <w:rFonts w:asciiTheme="majorHAnsi" w:hAnsiTheme="majorHAnsi"/>
                <w:b/>
                <w:bCs/>
              </w:rPr>
            </w:pPr>
            <w:r w:rsidRPr="00047FA3">
              <w:rPr>
                <w:rFonts w:asciiTheme="majorHAnsi" w:hAnsiTheme="majorHAnsi"/>
                <w:b/>
                <w:bCs/>
                <w:lang w:val="en-US"/>
              </w:rPr>
              <w:t>SEK</w:t>
            </w:r>
            <w:r w:rsidR="006F7966">
              <w:rPr>
                <w:rFonts w:asciiTheme="majorHAnsi" w:hAnsiTheme="majorHAnsi"/>
                <w:b/>
                <w:bCs/>
              </w:rPr>
              <w:t xml:space="preserve"> 10,4478</w:t>
            </w:r>
            <w:r w:rsidRPr="00047FA3">
              <w:rPr>
                <w:rFonts w:asciiTheme="majorHAnsi" w:hAnsiTheme="majorHAnsi"/>
                <w:b/>
                <w:bCs/>
              </w:rPr>
              <w:t xml:space="preserve"> / EUR 1</w:t>
            </w:r>
          </w:p>
        </w:tc>
      </w:tr>
      <w:tr w:rsidR="00CD37EA" w:rsidRPr="00047FA3" w:rsidTr="00047FA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5349" w:type="dxa"/>
          <w:wAfter w:w="367" w:type="dxa"/>
          <w:jc w:val="right"/>
        </w:trPr>
        <w:tc>
          <w:tcPr>
            <w:tcW w:w="3743" w:type="dxa"/>
          </w:tcPr>
          <w:p w:rsidR="00CD37EA" w:rsidRDefault="00CD37EA" w:rsidP="00047FA3">
            <w:pPr>
              <w:jc w:val="center"/>
              <w:outlineLvl w:val="0"/>
              <w:rPr>
                <w:rFonts w:asciiTheme="majorHAnsi" w:hAnsiTheme="majorHAnsi"/>
              </w:rPr>
            </w:pPr>
            <w:r w:rsidRPr="00047FA3">
              <w:rPr>
                <w:rFonts w:asciiTheme="majorHAnsi" w:hAnsiTheme="majorHAnsi"/>
              </w:rPr>
              <w:t xml:space="preserve"> </w:t>
            </w:r>
          </w:p>
          <w:p w:rsidR="00D606BC" w:rsidRPr="00047FA3" w:rsidRDefault="00D606BC" w:rsidP="00047FA3">
            <w:pPr>
              <w:jc w:val="center"/>
              <w:outlineLvl w:val="0"/>
              <w:rPr>
                <w:rFonts w:asciiTheme="majorHAnsi" w:hAnsiTheme="majorHAnsi"/>
              </w:rPr>
            </w:pPr>
          </w:p>
          <w:p w:rsidR="00CD37EA" w:rsidRPr="00047FA3" w:rsidRDefault="00CD37EA" w:rsidP="00047FA3">
            <w:pPr>
              <w:jc w:val="center"/>
              <w:outlineLvl w:val="0"/>
              <w:rPr>
                <w:rFonts w:asciiTheme="majorHAnsi" w:hAnsiTheme="majorHAnsi"/>
              </w:rPr>
            </w:pPr>
          </w:p>
          <w:p w:rsidR="00CD37EA" w:rsidRPr="00047FA3" w:rsidRDefault="00CD37EA" w:rsidP="00047FA3">
            <w:pPr>
              <w:jc w:val="center"/>
              <w:outlineLvl w:val="0"/>
              <w:rPr>
                <w:rFonts w:asciiTheme="majorHAnsi" w:hAnsiTheme="majorHAnsi"/>
              </w:rPr>
            </w:pPr>
            <w:r w:rsidRPr="00047FA3">
              <w:rPr>
                <w:rFonts w:asciiTheme="majorHAnsi" w:hAnsiTheme="majorHAnsi"/>
              </w:rPr>
              <w:t xml:space="preserve">         </w:t>
            </w:r>
            <w:r w:rsidR="00D606BC">
              <w:rPr>
                <w:rFonts w:asciiTheme="majorHAnsi" w:hAnsiTheme="majorHAnsi"/>
              </w:rPr>
              <w:t xml:space="preserve">     </w:t>
            </w:r>
            <w:r w:rsidRPr="00047FA3">
              <w:rPr>
                <w:rFonts w:asciiTheme="majorHAnsi" w:hAnsiTheme="majorHAnsi"/>
              </w:rPr>
              <w:t xml:space="preserve">Ο Προϊστάμενος </w:t>
            </w:r>
          </w:p>
        </w:tc>
      </w:tr>
    </w:tbl>
    <w:p w:rsidR="00CD37EA" w:rsidRPr="00047FA3" w:rsidRDefault="00CD37EA" w:rsidP="00CD37EA">
      <w:pPr>
        <w:pStyle w:val="Heading4"/>
        <w:rPr>
          <w:rFonts w:asciiTheme="majorHAnsi" w:hAnsiTheme="majorHAnsi"/>
          <w:b w:val="0"/>
          <w:bCs w:val="0"/>
          <w:sz w:val="24"/>
        </w:rPr>
      </w:pPr>
      <w:r w:rsidRPr="00047FA3">
        <w:rPr>
          <w:rFonts w:asciiTheme="majorHAnsi" w:hAnsiTheme="majorHAnsi"/>
          <w:sz w:val="24"/>
        </w:rPr>
        <w:t xml:space="preserve">  </w:t>
      </w:r>
    </w:p>
    <w:p w:rsidR="00CD37EA" w:rsidRPr="00047FA3" w:rsidRDefault="00CD37EA" w:rsidP="00CD37EA">
      <w:pPr>
        <w:jc w:val="center"/>
        <w:outlineLvl w:val="0"/>
        <w:rPr>
          <w:rFonts w:asciiTheme="majorHAnsi" w:hAnsiTheme="majorHAnsi"/>
        </w:rPr>
      </w:pPr>
      <w:r w:rsidRPr="00047FA3">
        <w:rPr>
          <w:rFonts w:asciiTheme="majorHAnsi" w:hAnsiTheme="majorHAnsi"/>
        </w:rPr>
        <w:t xml:space="preserve">                                                                                                          Παντελής </w:t>
      </w:r>
      <w:proofErr w:type="spellStart"/>
      <w:r w:rsidRPr="00047FA3">
        <w:rPr>
          <w:rFonts w:asciiTheme="majorHAnsi" w:hAnsiTheme="majorHAnsi"/>
        </w:rPr>
        <w:t>Γιαννούλης</w:t>
      </w:r>
      <w:proofErr w:type="spellEnd"/>
    </w:p>
    <w:p w:rsidR="00CD37EA" w:rsidRPr="00047FA3" w:rsidRDefault="00CD37EA" w:rsidP="00CD37EA">
      <w:pPr>
        <w:jc w:val="center"/>
        <w:outlineLvl w:val="0"/>
        <w:rPr>
          <w:rFonts w:asciiTheme="majorHAnsi" w:hAnsiTheme="majorHAnsi"/>
        </w:rPr>
      </w:pPr>
      <w:r w:rsidRPr="00047FA3">
        <w:rPr>
          <w:rFonts w:asciiTheme="majorHAnsi" w:hAnsiTheme="majorHAnsi"/>
        </w:rPr>
        <w:t xml:space="preserve">                                                                                                         Σύμβουλος ΟΕΥ Α΄</w:t>
      </w:r>
    </w:p>
    <w:p w:rsidR="00CD37EA" w:rsidRPr="00047FA3" w:rsidRDefault="00CD37EA" w:rsidP="00665AEE">
      <w:pPr>
        <w:autoSpaceDE w:val="0"/>
        <w:autoSpaceDN w:val="0"/>
        <w:adjustRightInd w:val="0"/>
        <w:jc w:val="both"/>
        <w:rPr>
          <w:rFonts w:asciiTheme="majorHAnsi" w:hAnsiTheme="majorHAnsi"/>
          <w:b/>
          <w:u w:val="single"/>
        </w:rPr>
        <w:sectPr w:rsidR="00CD37EA" w:rsidRPr="00047FA3" w:rsidSect="00CD37EA">
          <w:footerReference w:type="even" r:id="rId8"/>
          <w:footerReference w:type="default" r:id="rId9"/>
          <w:pgSz w:w="11906" w:h="16838"/>
          <w:pgMar w:top="709" w:right="1274" w:bottom="1134" w:left="993" w:header="709" w:footer="709" w:gutter="0"/>
          <w:cols w:space="233"/>
          <w:docGrid w:linePitch="360"/>
        </w:sectPr>
      </w:pPr>
      <w:r w:rsidRPr="00047FA3">
        <w:rPr>
          <w:rFonts w:asciiTheme="majorHAnsi" w:hAnsiTheme="majorHAnsi"/>
          <w:b/>
          <w:u w:val="single"/>
        </w:rPr>
        <w:br w:type="page"/>
      </w:r>
    </w:p>
    <w:p w:rsidR="00CD37EA" w:rsidRPr="00E95437" w:rsidRDefault="00032557" w:rsidP="00E95437">
      <w:pPr>
        <w:pStyle w:val="ListParagraph"/>
        <w:numPr>
          <w:ilvl w:val="0"/>
          <w:numId w:val="2"/>
        </w:numPr>
        <w:autoSpaceDE w:val="0"/>
        <w:autoSpaceDN w:val="0"/>
        <w:adjustRightInd w:val="0"/>
        <w:jc w:val="both"/>
        <w:rPr>
          <w:rFonts w:asciiTheme="majorHAnsi" w:hAnsiTheme="majorHAnsi"/>
          <w:b/>
          <w:color w:val="000000" w:themeColor="text1"/>
          <w:u w:val="single"/>
        </w:rPr>
      </w:pPr>
      <w:r w:rsidRPr="00E95437">
        <w:rPr>
          <w:rFonts w:asciiTheme="majorHAnsi" w:hAnsiTheme="majorHAnsi"/>
          <w:b/>
          <w:color w:val="000000" w:themeColor="text1"/>
          <w:u w:val="single"/>
        </w:rPr>
        <w:lastRenderedPageBreak/>
        <w:t xml:space="preserve">Σουηδική Οικονομία </w:t>
      </w:r>
      <w:r w:rsidR="003B24FA" w:rsidRPr="00E95437">
        <w:rPr>
          <w:rFonts w:asciiTheme="majorHAnsi" w:hAnsiTheme="majorHAnsi"/>
          <w:b/>
          <w:color w:val="000000" w:themeColor="text1"/>
          <w:u w:val="single"/>
        </w:rPr>
        <w:t xml:space="preserve"> </w:t>
      </w:r>
      <w:r w:rsidR="00CD37EA" w:rsidRPr="00E95437">
        <w:rPr>
          <w:rFonts w:asciiTheme="majorHAnsi" w:hAnsiTheme="majorHAnsi"/>
          <w:b/>
          <w:color w:val="000000" w:themeColor="text1"/>
          <w:u w:val="single"/>
        </w:rPr>
        <w:t xml:space="preserve"> </w:t>
      </w:r>
    </w:p>
    <w:p w:rsidR="00E95437" w:rsidRPr="00E95437" w:rsidRDefault="00E95437" w:rsidP="00E95437">
      <w:pPr>
        <w:pStyle w:val="ListParagraph"/>
        <w:autoSpaceDE w:val="0"/>
        <w:autoSpaceDN w:val="0"/>
        <w:adjustRightInd w:val="0"/>
        <w:ind w:left="420"/>
        <w:jc w:val="both"/>
        <w:rPr>
          <w:rFonts w:asciiTheme="majorHAnsi" w:hAnsiTheme="majorHAnsi"/>
          <w:b/>
          <w:color w:val="548DD4" w:themeColor="text2" w:themeTint="99"/>
          <w:sz w:val="28"/>
          <w:szCs w:val="28"/>
          <w:u w:val="single"/>
        </w:rPr>
      </w:pPr>
    </w:p>
    <w:p w:rsidR="001611D1" w:rsidRDefault="001611D1" w:rsidP="001611D1">
      <w:pPr>
        <w:pStyle w:val="Heading2"/>
        <w:spacing w:before="0"/>
        <w:jc w:val="both"/>
        <w:rPr>
          <w:color w:val="000000" w:themeColor="text1"/>
          <w:sz w:val="24"/>
          <w:szCs w:val="24"/>
        </w:rPr>
      </w:pPr>
      <w:r>
        <w:rPr>
          <w:color w:val="000000" w:themeColor="text1"/>
          <w:sz w:val="24"/>
          <w:szCs w:val="24"/>
        </w:rPr>
        <w:t>1.1.</w:t>
      </w:r>
      <w:r w:rsidRPr="001611D1">
        <w:rPr>
          <w:color w:val="000000" w:themeColor="text1"/>
          <w:sz w:val="24"/>
          <w:szCs w:val="24"/>
        </w:rPr>
        <w:t xml:space="preserve"> Κατάθεση εαρινού σχεδίου δημοσιονομικής πολιτικής, τροποποιήσεις σε Προϋπολογισμό 2018.</w:t>
      </w:r>
    </w:p>
    <w:p w:rsidR="001611D1" w:rsidRDefault="001611D1" w:rsidP="001611D1">
      <w:pPr>
        <w:pStyle w:val="Heading2"/>
        <w:spacing w:before="0"/>
        <w:jc w:val="both"/>
        <w:rPr>
          <w:b w:val="0"/>
          <w:color w:val="auto"/>
          <w:sz w:val="24"/>
          <w:szCs w:val="24"/>
        </w:rPr>
      </w:pPr>
      <w:r w:rsidRPr="001611D1">
        <w:rPr>
          <w:b w:val="0"/>
          <w:color w:val="auto"/>
          <w:sz w:val="24"/>
          <w:szCs w:val="24"/>
        </w:rPr>
        <w:t xml:space="preserve">Στις 16 Απριλίου </w:t>
      </w:r>
      <w:proofErr w:type="spellStart"/>
      <w:r w:rsidRPr="001611D1">
        <w:rPr>
          <w:b w:val="0"/>
          <w:color w:val="auto"/>
          <w:sz w:val="24"/>
          <w:szCs w:val="24"/>
        </w:rPr>
        <w:t>τ.έ</w:t>
      </w:r>
      <w:proofErr w:type="spellEnd"/>
      <w:r w:rsidRPr="001611D1">
        <w:rPr>
          <w:b w:val="0"/>
          <w:color w:val="auto"/>
          <w:sz w:val="24"/>
          <w:szCs w:val="24"/>
        </w:rPr>
        <w:t>. η Σ/Κυβέρνηση κατέθεσε στο Κοινοβούλιο, το Νομοσχέδιο για την εαρινή δημοσιονομική πολιτική και τις προτεινόμενες τροποποιήσεις στον Προϋπολογισμό του τρέχοντος έτους. Στο ανωτέρω Νομοσχέδιο παρουσιάζεται η μέχρι σήμερα αξιολόγηση και η προτεινόμενη κατεύθυνση της δημοσιονομικής πολιτικής πριν από τον Προϋπολογισμό του 2019, ενώ ο διορθωτικός προϋπολογισμός παρουσιάζει τις τροποποιήσεις που προτείνει η Κυβέρνηση για τον προϋπολογισμό του τρέχοντος έτους.</w:t>
      </w:r>
    </w:p>
    <w:p w:rsidR="001611D1" w:rsidRPr="001611D1" w:rsidRDefault="001611D1" w:rsidP="001611D1">
      <w:pPr>
        <w:pStyle w:val="Heading2"/>
        <w:spacing w:before="0"/>
        <w:jc w:val="both"/>
        <w:rPr>
          <w:color w:val="000000" w:themeColor="text1"/>
          <w:sz w:val="24"/>
          <w:szCs w:val="24"/>
        </w:rPr>
      </w:pPr>
      <w:r w:rsidRPr="001611D1">
        <w:rPr>
          <w:rFonts w:cs="Arial"/>
          <w:b w:val="0"/>
          <w:color w:val="111111"/>
          <w:sz w:val="24"/>
          <w:szCs w:val="24"/>
        </w:rPr>
        <w:t xml:space="preserve">Σύμφωνα με την Υπουργό Οικονομικών κα </w:t>
      </w:r>
      <w:r w:rsidRPr="001611D1">
        <w:rPr>
          <w:rFonts w:cs="Arial"/>
          <w:b w:val="0"/>
          <w:color w:val="111111"/>
          <w:sz w:val="24"/>
          <w:szCs w:val="24"/>
          <w:lang w:val="en-US"/>
        </w:rPr>
        <w:t>Magdalena</w:t>
      </w:r>
      <w:r w:rsidRPr="001611D1">
        <w:rPr>
          <w:rFonts w:cs="Arial"/>
          <w:b w:val="0"/>
          <w:color w:val="111111"/>
          <w:sz w:val="24"/>
          <w:szCs w:val="24"/>
        </w:rPr>
        <w:t xml:space="preserve"> </w:t>
      </w:r>
      <w:proofErr w:type="spellStart"/>
      <w:r w:rsidRPr="001611D1">
        <w:rPr>
          <w:rFonts w:cs="Arial"/>
          <w:b w:val="0"/>
          <w:color w:val="111111"/>
          <w:sz w:val="24"/>
          <w:szCs w:val="24"/>
          <w:lang w:val="en-US"/>
        </w:rPr>
        <w:t>Andersson</w:t>
      </w:r>
      <w:proofErr w:type="spellEnd"/>
      <w:r w:rsidRPr="001611D1">
        <w:rPr>
          <w:rFonts w:cs="Arial"/>
          <w:b w:val="0"/>
          <w:color w:val="111111"/>
          <w:sz w:val="24"/>
          <w:szCs w:val="24"/>
        </w:rPr>
        <w:t>, "αναμένεται να υπάρξουν αυξανόμενες ανάγκες στο σύστημα κοινωνικής πρόνοιας στα επόμενα χρόνια, καθώς αυξάνεται τόσο το προσδόκιμο ζωής όσο και ο ρυθμός των γεννήσεων, άρα χρειάζονται μεγαλύτερες δαπάνες στον τομέα, τομέας που αποτελεί βασική προτεραιότητα, μαζί με τα θέματα της προστασίας του περιβάλλοντος και της ασφάλειας’’</w:t>
      </w:r>
      <w:r>
        <w:rPr>
          <w:rFonts w:cs="Arial"/>
          <w:color w:val="111111"/>
        </w:rPr>
        <w:t xml:space="preserve">.  </w:t>
      </w:r>
    </w:p>
    <w:p w:rsidR="001611D1" w:rsidRDefault="001611D1" w:rsidP="001611D1">
      <w:pPr>
        <w:pStyle w:val="NormalWeb"/>
        <w:shd w:val="clear" w:color="auto" w:fill="FFFFFF"/>
        <w:spacing w:before="0" w:beforeAutospacing="0" w:after="0" w:afterAutospacing="0"/>
        <w:jc w:val="both"/>
        <w:rPr>
          <w:rFonts w:asciiTheme="majorHAnsi" w:hAnsiTheme="majorHAnsi" w:cs="Arial"/>
          <w:color w:val="111111"/>
        </w:rPr>
      </w:pPr>
      <w:r>
        <w:rPr>
          <w:rFonts w:asciiTheme="majorHAnsi" w:hAnsiTheme="majorHAnsi" w:cs="Arial"/>
          <w:color w:val="111111"/>
        </w:rPr>
        <w:t xml:space="preserve">Παράλληλα η κα Υπουργός τόνισε ότι η Σ/Οικονομία παραμένει ισχυρή, με ρυθμό ανάπτυξης που υπολογίζεται στο 3% για το </w:t>
      </w:r>
      <w:proofErr w:type="spellStart"/>
      <w:r>
        <w:rPr>
          <w:rFonts w:asciiTheme="majorHAnsi" w:hAnsiTheme="majorHAnsi" w:cs="Arial"/>
          <w:color w:val="111111"/>
        </w:rPr>
        <w:t>τ.έ</w:t>
      </w:r>
      <w:proofErr w:type="spellEnd"/>
      <w:r>
        <w:rPr>
          <w:rFonts w:asciiTheme="majorHAnsi" w:hAnsiTheme="majorHAnsi" w:cs="Arial"/>
          <w:color w:val="111111"/>
        </w:rPr>
        <w:t>., το ποσοστό απασχόλησης είναι το υψηλότερο που έχει σημειωθεί κατά τα προηγούμενα 25 χρόνια, το ποσοστό ανεργίας μειώνεται συνεχώς και αναμένεται να αγγίξει το 6% για το επόμενο έτος, ο προϋπολογισμός εμφανίζει πλεόνασμα, ενώ και το Δημόσιο Χρέος αποκλιμακώθηκε κατά 10 ποσοστιαίες μονάδες. Τα δημόσια οικονομικά παραμένουν σε πολύ καλή πορεία</w:t>
      </w:r>
      <w:r w:rsidRPr="0069016B">
        <w:rPr>
          <w:rFonts w:asciiTheme="majorHAnsi" w:hAnsiTheme="majorHAnsi" w:cs="Arial"/>
          <w:color w:val="111111"/>
        </w:rPr>
        <w:t xml:space="preserve">, </w:t>
      </w:r>
      <w:r>
        <w:rPr>
          <w:rFonts w:asciiTheme="majorHAnsi" w:hAnsiTheme="majorHAnsi" w:cs="Arial"/>
          <w:color w:val="111111"/>
        </w:rPr>
        <w:t>ενώ οι μέχρι σήμερα μ</w:t>
      </w:r>
      <w:r w:rsidRPr="0069016B">
        <w:rPr>
          <w:rFonts w:asciiTheme="majorHAnsi" w:hAnsiTheme="majorHAnsi" w:cs="Arial"/>
          <w:color w:val="111111"/>
        </w:rPr>
        <w:t xml:space="preserve">εταρρυθμίσεις </w:t>
      </w:r>
      <w:r>
        <w:rPr>
          <w:rFonts w:asciiTheme="majorHAnsi" w:hAnsiTheme="majorHAnsi" w:cs="Arial"/>
          <w:color w:val="111111"/>
        </w:rPr>
        <w:t xml:space="preserve">έφεραν εξαιρετικά </w:t>
      </w:r>
      <w:r w:rsidRPr="0069016B">
        <w:rPr>
          <w:rFonts w:asciiTheme="majorHAnsi" w:hAnsiTheme="majorHAnsi" w:cs="Arial"/>
          <w:color w:val="111111"/>
        </w:rPr>
        <w:t>αποτελέσματα</w:t>
      </w:r>
      <w:r>
        <w:rPr>
          <w:rFonts w:asciiTheme="majorHAnsi" w:hAnsiTheme="majorHAnsi" w:cs="Arial"/>
          <w:color w:val="111111"/>
        </w:rPr>
        <w:t>, με περίπου 250.000 περισσότερους εργαζομένους, με περισσότερους από 100.</w:t>
      </w:r>
      <w:r w:rsidRPr="0069016B">
        <w:rPr>
          <w:rFonts w:asciiTheme="majorHAnsi" w:hAnsiTheme="majorHAnsi" w:cs="Arial"/>
          <w:color w:val="111111"/>
        </w:rPr>
        <w:t xml:space="preserve">000 </w:t>
      </w:r>
      <w:r>
        <w:rPr>
          <w:rFonts w:asciiTheme="majorHAnsi" w:hAnsiTheme="majorHAnsi" w:cs="Arial"/>
          <w:color w:val="111111"/>
        </w:rPr>
        <w:t xml:space="preserve">επιπλέον, να </w:t>
      </w:r>
      <w:r w:rsidRPr="0069016B">
        <w:rPr>
          <w:rFonts w:asciiTheme="majorHAnsi" w:hAnsiTheme="majorHAnsi" w:cs="Arial"/>
          <w:color w:val="111111"/>
        </w:rPr>
        <w:t>εργάζονται στο</w:t>
      </w:r>
      <w:r>
        <w:rPr>
          <w:rFonts w:asciiTheme="majorHAnsi" w:hAnsiTheme="majorHAnsi" w:cs="Arial"/>
          <w:color w:val="111111"/>
        </w:rPr>
        <w:t>ν τομέα της κοινωνικής πρόνοιας -από 128 εργαζομένους/</w:t>
      </w:r>
      <w:r w:rsidRPr="0069016B">
        <w:rPr>
          <w:rFonts w:asciiTheme="majorHAnsi" w:hAnsiTheme="majorHAnsi" w:cs="Arial"/>
          <w:color w:val="111111"/>
        </w:rPr>
        <w:t>1000 κατοίκους το 2014</w:t>
      </w:r>
      <w:r>
        <w:rPr>
          <w:rFonts w:asciiTheme="majorHAnsi" w:hAnsiTheme="majorHAnsi" w:cs="Arial"/>
          <w:color w:val="111111"/>
        </w:rPr>
        <w:t>, σε 135 υπαλλήλους/</w:t>
      </w:r>
      <w:r w:rsidRPr="0069016B">
        <w:rPr>
          <w:rFonts w:asciiTheme="majorHAnsi" w:hAnsiTheme="majorHAnsi" w:cs="Arial"/>
          <w:color w:val="111111"/>
        </w:rPr>
        <w:t>1000 κατοίκους το 2018</w:t>
      </w:r>
      <w:r>
        <w:rPr>
          <w:rFonts w:asciiTheme="majorHAnsi" w:hAnsiTheme="majorHAnsi" w:cs="Arial"/>
          <w:color w:val="111111"/>
        </w:rPr>
        <w:t>-, ενώ σημειώθηκε και ταχύτερος ρυθμός</w:t>
      </w:r>
      <w:r w:rsidRPr="0069016B">
        <w:rPr>
          <w:rFonts w:asciiTheme="majorHAnsi" w:hAnsiTheme="majorHAnsi" w:cs="Arial"/>
          <w:color w:val="111111"/>
        </w:rPr>
        <w:t xml:space="preserve"> </w:t>
      </w:r>
      <w:r>
        <w:rPr>
          <w:rFonts w:asciiTheme="majorHAnsi" w:hAnsiTheme="majorHAnsi" w:cs="Arial"/>
          <w:color w:val="111111"/>
        </w:rPr>
        <w:t xml:space="preserve">εύρεσης εργασίας και </w:t>
      </w:r>
      <w:r w:rsidRPr="0069016B">
        <w:rPr>
          <w:rFonts w:asciiTheme="majorHAnsi" w:hAnsiTheme="majorHAnsi" w:cs="Arial"/>
          <w:color w:val="111111"/>
        </w:rPr>
        <w:t xml:space="preserve">για </w:t>
      </w:r>
      <w:r>
        <w:rPr>
          <w:rFonts w:asciiTheme="majorHAnsi" w:hAnsiTheme="majorHAnsi" w:cs="Arial"/>
          <w:color w:val="111111"/>
        </w:rPr>
        <w:t xml:space="preserve">τους </w:t>
      </w:r>
      <w:proofErr w:type="spellStart"/>
      <w:r w:rsidRPr="0069016B">
        <w:rPr>
          <w:rFonts w:asciiTheme="majorHAnsi" w:hAnsiTheme="majorHAnsi" w:cs="Arial"/>
          <w:color w:val="111111"/>
        </w:rPr>
        <w:t>νεοαφιχθέντες</w:t>
      </w:r>
      <w:proofErr w:type="spellEnd"/>
      <w:r w:rsidRPr="0069016B">
        <w:rPr>
          <w:rFonts w:asciiTheme="majorHAnsi" w:hAnsiTheme="majorHAnsi" w:cs="Arial"/>
          <w:color w:val="111111"/>
        </w:rPr>
        <w:t xml:space="preserve"> μετανάστες</w:t>
      </w:r>
      <w:r>
        <w:rPr>
          <w:rFonts w:asciiTheme="majorHAnsi" w:hAnsiTheme="majorHAnsi" w:cs="Arial"/>
          <w:color w:val="111111"/>
        </w:rPr>
        <w:t>.</w:t>
      </w:r>
    </w:p>
    <w:p w:rsidR="001611D1" w:rsidRPr="00F031C0" w:rsidRDefault="001611D1" w:rsidP="001611D1">
      <w:pPr>
        <w:pStyle w:val="NormalWeb"/>
        <w:shd w:val="clear" w:color="auto" w:fill="FFFFFF"/>
        <w:spacing w:before="0" w:beforeAutospacing="0" w:after="0" w:afterAutospacing="0"/>
        <w:jc w:val="both"/>
        <w:rPr>
          <w:rFonts w:asciiTheme="majorHAnsi" w:hAnsiTheme="majorHAnsi"/>
        </w:rPr>
      </w:pPr>
      <w:r>
        <w:rPr>
          <w:rFonts w:asciiTheme="majorHAnsi" w:hAnsiTheme="majorHAnsi" w:cs="Arial"/>
          <w:color w:val="111111"/>
        </w:rPr>
        <w:lastRenderedPageBreak/>
        <w:t xml:space="preserve">     </w:t>
      </w:r>
      <w:r w:rsidRPr="00F031C0">
        <w:rPr>
          <w:rFonts w:asciiTheme="majorHAnsi" w:hAnsiTheme="majorHAnsi" w:cs="Arial"/>
          <w:color w:val="111111"/>
        </w:rPr>
        <w:t xml:space="preserve">Αναλυτικότερα στις τροποποιήσεις του Προϋπολογισμού, προβλέπονται επιπρόσθετες δαπάνες ύψους 2,6 </w:t>
      </w:r>
      <w:proofErr w:type="spellStart"/>
      <w:r w:rsidRPr="00F031C0">
        <w:rPr>
          <w:rFonts w:asciiTheme="majorHAnsi" w:hAnsiTheme="majorHAnsi" w:cs="Arial"/>
          <w:color w:val="111111"/>
        </w:rPr>
        <w:t>δισ.Σ</w:t>
      </w:r>
      <w:proofErr w:type="spellEnd"/>
      <w:r w:rsidRPr="00F031C0">
        <w:rPr>
          <w:rFonts w:asciiTheme="majorHAnsi" w:hAnsiTheme="majorHAnsi" w:cs="Arial"/>
          <w:color w:val="111111"/>
        </w:rPr>
        <w:t xml:space="preserve">/Κορωνών (περίπου 270 </w:t>
      </w:r>
      <w:proofErr w:type="spellStart"/>
      <w:r w:rsidRPr="00F031C0">
        <w:rPr>
          <w:rFonts w:asciiTheme="majorHAnsi" w:hAnsiTheme="majorHAnsi" w:cs="Arial"/>
          <w:color w:val="111111"/>
        </w:rPr>
        <w:t>εκ.Ευρώ</w:t>
      </w:r>
      <w:proofErr w:type="spellEnd"/>
      <w:r w:rsidRPr="00F031C0">
        <w:rPr>
          <w:rFonts w:asciiTheme="majorHAnsi" w:hAnsiTheme="majorHAnsi" w:cs="Arial"/>
          <w:color w:val="111111"/>
        </w:rPr>
        <w:t xml:space="preserve">), οι οποίες θα κατευθυνθούν, όπως προαναφέρθηκε, σε κοινωνικές δαπάνες, ασφάλειας και περιβάλλοντος, εκ των οποίων σημειώνονται, τα 600 εκ. Σ/Κορωνών που θα κατευθυνθούν στην καλύτερη πρόσβαση στην υγεία και περίθαλψη,  350 εκ. Σ/Κορωνών για την ασφάλεια των ηλικιωμένων, 270 εκ. Σ/Κορωνών </w:t>
      </w:r>
      <w:r w:rsidRPr="00F031C0">
        <w:rPr>
          <w:rFonts w:asciiTheme="majorHAnsi" w:hAnsiTheme="majorHAnsi"/>
        </w:rPr>
        <w:t xml:space="preserve">για επιδοτήσεις μείωσης εκπομπών μεθανίου, </w:t>
      </w:r>
      <w:r w:rsidRPr="00F031C0">
        <w:rPr>
          <w:rFonts w:asciiTheme="majorHAnsi" w:hAnsiTheme="majorHAnsi" w:cs="Arial"/>
          <w:color w:val="111111"/>
        </w:rPr>
        <w:t>200 εκ. Σ/Κορωνών για μέτρα ταχύτερης ενσωμάτωσης μεταναστών, 200 εκ. Σ/Κορωνών</w:t>
      </w:r>
      <w:r w:rsidRPr="00F031C0">
        <w:rPr>
          <w:rFonts w:asciiTheme="majorHAnsi" w:hAnsiTheme="majorHAnsi"/>
        </w:rPr>
        <w:t xml:space="preserve"> για μέτρα επαρκέστερης αστυνόμευσης, </w:t>
      </w:r>
      <w:r w:rsidRPr="00F031C0">
        <w:rPr>
          <w:rFonts w:asciiTheme="majorHAnsi" w:hAnsiTheme="majorHAnsi" w:cs="Arial"/>
          <w:color w:val="111111"/>
        </w:rPr>
        <w:t>170 εκ. Σ/Κορωνών για επιχορηγήσεις χρησιμοποίησης ηλιακών κυττάρων κλπ.</w:t>
      </w:r>
    </w:p>
    <w:p w:rsidR="001611D1" w:rsidRDefault="001611D1" w:rsidP="001611D1">
      <w:pPr>
        <w:pStyle w:val="NormalWeb"/>
        <w:shd w:val="clear" w:color="auto" w:fill="FFFFFF"/>
        <w:spacing w:before="0" w:beforeAutospacing="0" w:after="0" w:afterAutospacing="0"/>
        <w:jc w:val="both"/>
        <w:rPr>
          <w:rFonts w:asciiTheme="majorHAnsi" w:hAnsiTheme="majorHAnsi" w:cs="Arial"/>
          <w:color w:val="111111"/>
        </w:rPr>
      </w:pPr>
      <w:r w:rsidRPr="00F031C0">
        <w:rPr>
          <w:rFonts w:asciiTheme="majorHAnsi" w:hAnsiTheme="majorHAnsi" w:cs="Arial"/>
          <w:color w:val="111111"/>
        </w:rPr>
        <w:t xml:space="preserve">     </w:t>
      </w:r>
      <w:r>
        <w:rPr>
          <w:rFonts w:asciiTheme="majorHAnsi" w:hAnsiTheme="majorHAnsi" w:cs="Arial"/>
          <w:color w:val="111111"/>
        </w:rPr>
        <w:t>Σύμφωνα με τη συνήθη διαδικασία, από τη στιγμή που κατατέθηκε το Νομοσχέδιο στο Κοινοβούλιο, οι βουλευτές έχουν διάστημα 2 εβδομάδων για να το μελετήσουν και να υποβάλλουν τις προτάσεις τους, ώστε στη συνέχεια να προωθηθεί στην Επιτροπή Οικονομικών της Βουλής προς εξέταση και υποβολή προς ψήφιση από το Κοινοβούλιο έως τις 15</w:t>
      </w:r>
      <w:r w:rsidRPr="00997EFF">
        <w:rPr>
          <w:rFonts w:asciiTheme="majorHAnsi" w:hAnsiTheme="majorHAnsi" w:cs="Arial"/>
          <w:color w:val="111111"/>
          <w:vertAlign w:val="superscript"/>
        </w:rPr>
        <w:t>ης</w:t>
      </w:r>
      <w:r>
        <w:rPr>
          <w:rFonts w:asciiTheme="majorHAnsi" w:hAnsiTheme="majorHAnsi" w:cs="Arial"/>
          <w:color w:val="111111"/>
        </w:rPr>
        <w:t xml:space="preserve"> Ιουνίου </w:t>
      </w:r>
      <w:proofErr w:type="spellStart"/>
      <w:r>
        <w:rPr>
          <w:rFonts w:asciiTheme="majorHAnsi" w:hAnsiTheme="majorHAnsi" w:cs="Arial"/>
          <w:color w:val="111111"/>
        </w:rPr>
        <w:t>τ.έ</w:t>
      </w:r>
      <w:proofErr w:type="spellEnd"/>
      <w:r>
        <w:rPr>
          <w:rFonts w:asciiTheme="majorHAnsi" w:hAnsiTheme="majorHAnsi" w:cs="Arial"/>
          <w:color w:val="111111"/>
        </w:rPr>
        <w:t>..</w:t>
      </w:r>
    </w:p>
    <w:p w:rsidR="00E95437" w:rsidRDefault="00E95437" w:rsidP="001611D1">
      <w:pPr>
        <w:pStyle w:val="NormalWeb"/>
        <w:shd w:val="clear" w:color="auto" w:fill="FFFFFF"/>
        <w:spacing w:before="0" w:beforeAutospacing="0" w:after="0" w:afterAutospacing="0"/>
        <w:jc w:val="both"/>
        <w:rPr>
          <w:rFonts w:asciiTheme="majorHAnsi" w:hAnsiTheme="majorHAnsi" w:cs="Arial"/>
          <w:color w:val="111111"/>
        </w:rPr>
      </w:pPr>
    </w:p>
    <w:p w:rsidR="00032557" w:rsidRDefault="001611D1" w:rsidP="00032557">
      <w:pPr>
        <w:pStyle w:val="Heading2"/>
        <w:jc w:val="both"/>
        <w:rPr>
          <w:color w:val="000000" w:themeColor="text1"/>
          <w:sz w:val="24"/>
          <w:szCs w:val="24"/>
        </w:rPr>
      </w:pPr>
      <w:r>
        <w:rPr>
          <w:color w:val="000000" w:themeColor="text1"/>
          <w:sz w:val="24"/>
          <w:szCs w:val="24"/>
        </w:rPr>
        <w:t>1.2</w:t>
      </w:r>
      <w:r w:rsidR="002E3997" w:rsidRPr="00047FA3">
        <w:rPr>
          <w:color w:val="000000" w:themeColor="text1"/>
          <w:sz w:val="24"/>
          <w:szCs w:val="24"/>
        </w:rPr>
        <w:t xml:space="preserve">. </w:t>
      </w:r>
      <w:r w:rsidR="000A6D3C" w:rsidRPr="000A6D3C">
        <w:rPr>
          <w:rFonts w:cs="Calibri"/>
          <w:color w:val="auto"/>
          <w:sz w:val="24"/>
          <w:szCs w:val="24"/>
        </w:rPr>
        <w:t>Συνεχιζόμενη υποτίμηση της Σουηδικής Κορώνας και νομισματική πολιτική της Σουηδικής Κεντρικής Τράπεζας</w:t>
      </w:r>
      <w:r>
        <w:rPr>
          <w:rFonts w:cs="Calibri"/>
          <w:color w:val="auto"/>
          <w:sz w:val="24"/>
          <w:szCs w:val="24"/>
        </w:rPr>
        <w:t>.</w:t>
      </w:r>
    </w:p>
    <w:p w:rsidR="000A6D3C" w:rsidRPr="00781393" w:rsidRDefault="000A6D3C" w:rsidP="000A6D3C">
      <w:pPr>
        <w:jc w:val="both"/>
        <w:outlineLvl w:val="0"/>
        <w:rPr>
          <w:rFonts w:asciiTheme="majorHAnsi" w:hAnsiTheme="majorHAnsi" w:cs="Courier New"/>
        </w:rPr>
      </w:pPr>
      <w:r w:rsidRPr="00781393">
        <w:rPr>
          <w:rFonts w:asciiTheme="majorHAnsi" w:hAnsiTheme="majorHAnsi" w:cs="Courier New"/>
        </w:rPr>
        <w:t xml:space="preserve">Η σουηδική κορόνα συνεχίζει την πτωτική της πορεία και στον Απρίλιο του </w:t>
      </w:r>
      <w:proofErr w:type="spellStart"/>
      <w:r w:rsidRPr="00781393">
        <w:rPr>
          <w:rFonts w:asciiTheme="majorHAnsi" w:hAnsiTheme="majorHAnsi" w:cs="Courier New"/>
        </w:rPr>
        <w:t>τ.έ</w:t>
      </w:r>
      <w:proofErr w:type="spellEnd"/>
      <w:r w:rsidRPr="00781393">
        <w:rPr>
          <w:rFonts w:asciiTheme="majorHAnsi" w:hAnsiTheme="majorHAnsi" w:cs="Courier New"/>
        </w:rPr>
        <w:t xml:space="preserve">., ενώ έφθασε στο χαμηλότερο επίπεδο των τελευταίων  ετών,  προσεγγίζοντας μάλιστα τα επίπεδα συναλλαγματικής ισοτιμίας της χρηματοπιστωτικής κρίσης του 2009. </w:t>
      </w:r>
    </w:p>
    <w:p w:rsidR="000A6D3C" w:rsidRDefault="000A6D3C" w:rsidP="000A6D3C">
      <w:pPr>
        <w:jc w:val="both"/>
        <w:outlineLvl w:val="0"/>
        <w:rPr>
          <w:rFonts w:asciiTheme="majorHAnsi" w:hAnsiTheme="majorHAnsi" w:cs="Courier New"/>
        </w:rPr>
      </w:pPr>
      <w:r w:rsidRPr="00781393">
        <w:rPr>
          <w:rFonts w:asciiTheme="majorHAnsi" w:hAnsiTheme="majorHAnsi" w:cs="Courier New"/>
        </w:rPr>
        <w:t>Η  τρέχουσα ισοτιμία με βάση τα στοιχεία της Ευρωπαϊκής Κεντρικής Τράπεζας ξεπερνάει τις 10,4 σουηδικές κορώνες ανά ευρώ, σημειώνοντας μείωση της αξίας της κατά 9,5% περίπου, σε σχέση με τον Απρίλιο του προηγούμενου έτους.</w:t>
      </w:r>
    </w:p>
    <w:p w:rsidR="000A6D3C" w:rsidRDefault="000A6D3C" w:rsidP="000A6D3C">
      <w:pPr>
        <w:jc w:val="both"/>
        <w:outlineLvl w:val="0"/>
        <w:rPr>
          <w:rFonts w:asciiTheme="majorHAnsi" w:hAnsiTheme="majorHAnsi" w:cs="Courier New"/>
          <w:shd w:val="clear" w:color="auto" w:fill="FDFDFD"/>
        </w:rPr>
      </w:pPr>
      <w:r w:rsidRPr="00781393">
        <w:rPr>
          <w:rFonts w:asciiTheme="majorHAnsi" w:hAnsiTheme="majorHAnsi"/>
        </w:rPr>
        <w:t>Η πτώση της κορώνας αποδίδεται, από τους εδώ αναλυτές στην σύμπτωση εγχώριων και διεθνών παραγόντων. Όσον αφορά στον εγχώριο παρ</w:t>
      </w:r>
      <w:r>
        <w:rPr>
          <w:rFonts w:asciiTheme="majorHAnsi" w:hAnsiTheme="majorHAnsi"/>
        </w:rPr>
        <w:t xml:space="preserve">άγοντα, </w:t>
      </w:r>
      <w:r w:rsidRPr="00781393">
        <w:rPr>
          <w:rFonts w:asciiTheme="majorHAnsi" w:hAnsiTheme="majorHAnsi"/>
        </w:rPr>
        <w:t xml:space="preserve">πάγιο θέμα αποτελεί η αστάθεια και οι κίνδυνοι από την αγορά ακινήτων, ενώ όσον αφορά </w:t>
      </w:r>
      <w:r w:rsidRPr="00781393">
        <w:rPr>
          <w:rFonts w:asciiTheme="majorHAnsi" w:hAnsiTheme="majorHAnsi"/>
        </w:rPr>
        <w:lastRenderedPageBreak/>
        <w:t xml:space="preserve">στο διεθνή παράγοντα –στον οποίο κυρίως οφείλεται η συνεχιζόμενη υποτίμηση- είναι  ο αυξανόμενος κίνδυνος ότι η επιβολή δασμών άνθρακα και χάλυβα που ανακοινώθηκε από τις Η.Π.Α., θα επηρεάζει ιδιαίτερα αρνητικά την Σουηδία -μία από τις πιο ανοικτές οικονομίες  στο εμπόριο - καθώς </w:t>
      </w:r>
      <w:r w:rsidRPr="00781393">
        <w:rPr>
          <w:rFonts w:asciiTheme="majorHAnsi" w:hAnsiTheme="majorHAnsi" w:cs="Courier New"/>
          <w:shd w:val="clear" w:color="auto" w:fill="FDFDFD"/>
        </w:rPr>
        <w:t xml:space="preserve">τα εξαγόμενα προϊόντα των ομάδων </w:t>
      </w:r>
      <w:r w:rsidRPr="00781393">
        <w:rPr>
          <w:rFonts w:asciiTheme="majorHAnsi" w:hAnsiTheme="majorHAnsi" w:cs="Courier New"/>
          <w:shd w:val="clear" w:color="auto" w:fill="FDFDFD"/>
          <w:lang w:val="en-US"/>
        </w:rPr>
        <w:t>CN</w:t>
      </w:r>
      <w:r w:rsidRPr="00781393">
        <w:rPr>
          <w:rFonts w:asciiTheme="majorHAnsi" w:hAnsiTheme="majorHAnsi" w:cs="Courier New"/>
          <w:shd w:val="clear" w:color="auto" w:fill="FDFDFD"/>
        </w:rPr>
        <w:t>-72,73 και 76 (χάλυβας, αλουμίνιο) από σουηδικής πλευράς προς τις ΗΠΑ –στοιχεία Σ/Στατιστικής Αρχής</w:t>
      </w:r>
      <w:r w:rsidRPr="00453FC9">
        <w:rPr>
          <w:rFonts w:asciiTheme="majorHAnsi" w:hAnsiTheme="majorHAnsi" w:cs="Courier New"/>
          <w:shd w:val="clear" w:color="auto" w:fill="FDFDFD"/>
        </w:rPr>
        <w:t xml:space="preserve">-, έφθασαν κατά το 2017 , στα περίπου 700 </w:t>
      </w:r>
      <w:proofErr w:type="spellStart"/>
      <w:r w:rsidRPr="00453FC9">
        <w:rPr>
          <w:rFonts w:asciiTheme="majorHAnsi" w:hAnsiTheme="majorHAnsi" w:cs="Courier New"/>
          <w:shd w:val="clear" w:color="auto" w:fill="FDFDFD"/>
        </w:rPr>
        <w:t>εκ.Ευρώ</w:t>
      </w:r>
      <w:proofErr w:type="spellEnd"/>
      <w:r w:rsidRPr="00453FC9">
        <w:rPr>
          <w:rFonts w:asciiTheme="majorHAnsi" w:hAnsiTheme="majorHAnsi" w:cs="Courier New"/>
          <w:shd w:val="clear" w:color="auto" w:fill="FDFDFD"/>
        </w:rPr>
        <w:t>,</w:t>
      </w:r>
      <w:r w:rsidRPr="00781393">
        <w:rPr>
          <w:rFonts w:asciiTheme="majorHAnsi" w:hAnsiTheme="majorHAnsi" w:cs="Courier New"/>
          <w:shd w:val="clear" w:color="auto" w:fill="FDFDFD"/>
        </w:rPr>
        <w:t xml:space="preserve"> αντιπροσωπεύοντας ποσοστά μεταξύ 4-8% στις συνολικές σουηδικές εξαγωγές των ομάδων </w:t>
      </w:r>
      <w:r w:rsidRPr="00781393">
        <w:rPr>
          <w:rFonts w:asciiTheme="majorHAnsi" w:hAnsiTheme="majorHAnsi" w:cs="Courier New"/>
          <w:shd w:val="clear" w:color="auto" w:fill="FDFDFD"/>
          <w:lang w:val="en-US"/>
        </w:rPr>
        <w:t>CN</w:t>
      </w:r>
      <w:r w:rsidRPr="00781393">
        <w:rPr>
          <w:rFonts w:asciiTheme="majorHAnsi" w:hAnsiTheme="majorHAnsi" w:cs="Courier New"/>
          <w:shd w:val="clear" w:color="auto" w:fill="FDFDFD"/>
        </w:rPr>
        <w:t>-72,73 και 76</w:t>
      </w:r>
      <w:r>
        <w:rPr>
          <w:rFonts w:asciiTheme="majorHAnsi" w:hAnsiTheme="majorHAnsi" w:cs="Courier New"/>
          <w:shd w:val="clear" w:color="auto" w:fill="FDFDFD"/>
        </w:rPr>
        <w:t>, ενώ παράλληλα οι σουηδικές εξαγωγές αντιστοιχούν στο 48% του ΑΕΠ.</w:t>
      </w:r>
    </w:p>
    <w:p w:rsidR="000A6D3C" w:rsidRPr="000A6D3C" w:rsidRDefault="000A6D3C" w:rsidP="000A6D3C">
      <w:pPr>
        <w:jc w:val="both"/>
        <w:outlineLvl w:val="0"/>
        <w:rPr>
          <w:rFonts w:asciiTheme="majorHAnsi" w:hAnsiTheme="majorHAnsi" w:cs="Courier New"/>
        </w:rPr>
      </w:pPr>
      <w:r w:rsidRPr="00781393">
        <w:rPr>
          <w:rFonts w:asciiTheme="majorHAnsi" w:hAnsiTheme="majorHAnsi"/>
        </w:rPr>
        <w:t>Η ασθενής σουηδική κορώνα δέχεται ακόμα μεγαλύτερη πίεση, μετά την πρόσφατη ανακοίνωση της Κεντρικής Τράπεζας (</w:t>
      </w:r>
      <w:r w:rsidRPr="00781393">
        <w:rPr>
          <w:rFonts w:asciiTheme="majorHAnsi" w:hAnsiTheme="majorHAnsi"/>
          <w:lang w:val="sv-SE"/>
        </w:rPr>
        <w:t>Riksbank</w:t>
      </w:r>
      <w:r w:rsidRPr="00781393">
        <w:rPr>
          <w:rFonts w:asciiTheme="majorHAnsi" w:hAnsiTheme="majorHAnsi"/>
        </w:rPr>
        <w:t xml:space="preserve">) ότι το επιτόκιο επαναγοράς θα παραμείνει αμετάβλητο στο αρνητικό επίπεδο του -0,5% </w:t>
      </w:r>
      <w:r>
        <w:rPr>
          <w:rFonts w:asciiTheme="majorHAnsi" w:hAnsiTheme="majorHAnsi"/>
        </w:rPr>
        <w:t xml:space="preserve">στο οποίο παραμένει κατά </w:t>
      </w:r>
      <w:r w:rsidRPr="00781393">
        <w:rPr>
          <w:rFonts w:asciiTheme="majorHAnsi" w:hAnsiTheme="majorHAnsi"/>
        </w:rPr>
        <w:t xml:space="preserve">τα τελευταία τρία χρόνια. </w:t>
      </w:r>
    </w:p>
    <w:p w:rsidR="000A6D3C" w:rsidRDefault="000A6D3C" w:rsidP="000A6D3C">
      <w:pPr>
        <w:jc w:val="both"/>
        <w:outlineLvl w:val="0"/>
        <w:rPr>
          <w:rFonts w:asciiTheme="majorHAnsi" w:hAnsiTheme="majorHAnsi"/>
        </w:rPr>
      </w:pPr>
      <w:r w:rsidRPr="00781393">
        <w:rPr>
          <w:rFonts w:asciiTheme="majorHAnsi" w:hAnsiTheme="majorHAnsi"/>
        </w:rPr>
        <w:t xml:space="preserve">Σύμφωνα με την </w:t>
      </w:r>
      <w:proofErr w:type="spellStart"/>
      <w:r w:rsidRPr="00781393">
        <w:rPr>
          <w:rFonts w:asciiTheme="majorHAnsi" w:hAnsiTheme="majorHAnsi"/>
        </w:rPr>
        <w:t>Riksbank</w:t>
      </w:r>
      <w:proofErr w:type="spellEnd"/>
      <w:r w:rsidRPr="00781393">
        <w:rPr>
          <w:rFonts w:asciiTheme="majorHAnsi" w:hAnsiTheme="majorHAnsi"/>
        </w:rPr>
        <w:t xml:space="preserve"> η οικονομική δραστηριότητα στη Σουηδία εξακολουθεί να είναι ισχυρή</w:t>
      </w:r>
      <w:r>
        <w:rPr>
          <w:rFonts w:asciiTheme="majorHAnsi" w:hAnsiTheme="majorHAnsi"/>
        </w:rPr>
        <w:t xml:space="preserve">, με τον ρυθμό </w:t>
      </w:r>
      <w:r w:rsidRPr="00781393">
        <w:rPr>
          <w:rFonts w:asciiTheme="majorHAnsi" w:hAnsiTheme="majorHAnsi"/>
        </w:rPr>
        <w:t xml:space="preserve"> ανάπτυξη</w:t>
      </w:r>
      <w:r>
        <w:rPr>
          <w:rFonts w:asciiTheme="majorHAnsi" w:hAnsiTheme="majorHAnsi"/>
        </w:rPr>
        <w:t xml:space="preserve">ς να κυμαίνεται </w:t>
      </w:r>
      <w:r w:rsidRPr="00781393">
        <w:rPr>
          <w:rFonts w:asciiTheme="majorHAnsi" w:hAnsiTheme="majorHAnsi"/>
        </w:rPr>
        <w:t xml:space="preserve">περίπου </w:t>
      </w:r>
      <w:r>
        <w:rPr>
          <w:rFonts w:asciiTheme="majorHAnsi" w:hAnsiTheme="majorHAnsi"/>
        </w:rPr>
        <w:t>στο 2,8%, την</w:t>
      </w:r>
      <w:r w:rsidRPr="00781393">
        <w:rPr>
          <w:rFonts w:asciiTheme="majorHAnsi" w:hAnsiTheme="majorHAnsi"/>
        </w:rPr>
        <w:t xml:space="preserve"> ανεργία </w:t>
      </w:r>
      <w:r>
        <w:rPr>
          <w:rFonts w:asciiTheme="majorHAnsi" w:hAnsiTheme="majorHAnsi"/>
        </w:rPr>
        <w:t xml:space="preserve">να αποκλιμακώνεται στο </w:t>
      </w:r>
      <w:r w:rsidRPr="00781393">
        <w:rPr>
          <w:rFonts w:asciiTheme="majorHAnsi" w:hAnsiTheme="majorHAnsi"/>
        </w:rPr>
        <w:t xml:space="preserve">περίπου </w:t>
      </w:r>
      <w:r>
        <w:rPr>
          <w:rFonts w:asciiTheme="majorHAnsi" w:hAnsiTheme="majorHAnsi"/>
        </w:rPr>
        <w:t xml:space="preserve">6,4% </w:t>
      </w:r>
      <w:r w:rsidRPr="00781393">
        <w:rPr>
          <w:rFonts w:asciiTheme="majorHAnsi" w:hAnsiTheme="majorHAnsi"/>
        </w:rPr>
        <w:t xml:space="preserve">και </w:t>
      </w:r>
      <w:r>
        <w:rPr>
          <w:rFonts w:asciiTheme="majorHAnsi" w:hAnsiTheme="majorHAnsi"/>
        </w:rPr>
        <w:t>τ</w:t>
      </w:r>
      <w:r w:rsidRPr="00781393">
        <w:rPr>
          <w:rFonts w:asciiTheme="majorHAnsi" w:hAnsiTheme="majorHAnsi"/>
        </w:rPr>
        <w:t>ο</w:t>
      </w:r>
      <w:r>
        <w:rPr>
          <w:rFonts w:asciiTheme="majorHAnsi" w:hAnsiTheme="majorHAnsi"/>
        </w:rPr>
        <w:t xml:space="preserve">ν πληθωρισμό να </w:t>
      </w:r>
      <w:r w:rsidRPr="00781393">
        <w:rPr>
          <w:rFonts w:asciiTheme="majorHAnsi" w:hAnsiTheme="majorHAnsi"/>
        </w:rPr>
        <w:t xml:space="preserve"> βρίσκεται κοντά στον στόχο του 2%.  </w:t>
      </w:r>
    </w:p>
    <w:p w:rsidR="000A6D3C" w:rsidRPr="00781393" w:rsidRDefault="000A6D3C" w:rsidP="000A6D3C">
      <w:pPr>
        <w:jc w:val="both"/>
        <w:outlineLvl w:val="0"/>
        <w:rPr>
          <w:rFonts w:asciiTheme="majorHAnsi" w:hAnsiTheme="majorHAnsi"/>
        </w:rPr>
      </w:pPr>
      <w:r w:rsidRPr="00781393">
        <w:rPr>
          <w:rFonts w:asciiTheme="majorHAnsi" w:hAnsiTheme="majorHAnsi"/>
        </w:rPr>
        <w:t>Ωστόσο, ο πληθωρισμός εμφανίζεται κάπως χαμηλότερος από ό, τι αναμενόταν, γεγονός που εγείρει ερωτήματα σχετικά με τη δυναμική της εξέλιξης του</w:t>
      </w:r>
      <w:r>
        <w:rPr>
          <w:rFonts w:asciiTheme="majorHAnsi" w:hAnsiTheme="majorHAnsi"/>
        </w:rPr>
        <w:t xml:space="preserve"> π.χ. αυξανόμενες τιμές ενέργειας, περαιτέρω ύφεση στην κτηματαγορά</w:t>
      </w:r>
      <w:r w:rsidRPr="00781393">
        <w:rPr>
          <w:rFonts w:asciiTheme="majorHAnsi" w:hAnsiTheme="majorHAnsi"/>
        </w:rPr>
        <w:t>. Προκειμένου ο πληθωρισμός να παραμείνει κοντά στον επιδιωκόμενο στόχο</w:t>
      </w:r>
      <w:r>
        <w:rPr>
          <w:rFonts w:asciiTheme="majorHAnsi" w:hAnsiTheme="majorHAnsi"/>
        </w:rPr>
        <w:t xml:space="preserve"> του 2%</w:t>
      </w:r>
      <w:r w:rsidRPr="00781393">
        <w:rPr>
          <w:rFonts w:asciiTheme="majorHAnsi" w:hAnsiTheme="majorHAnsi"/>
        </w:rPr>
        <w:t>, απαιτε</w:t>
      </w:r>
      <w:r>
        <w:rPr>
          <w:rFonts w:asciiTheme="majorHAnsi" w:hAnsiTheme="majorHAnsi"/>
        </w:rPr>
        <w:t>ίται συνεχής στήριξη με τη συνεχιζόμενη εφαρμογή αυτής της</w:t>
      </w:r>
      <w:r w:rsidRPr="00781393">
        <w:rPr>
          <w:rFonts w:asciiTheme="majorHAnsi" w:hAnsiTheme="majorHAnsi"/>
        </w:rPr>
        <w:t xml:space="preserve"> </w:t>
      </w:r>
      <w:r>
        <w:rPr>
          <w:rFonts w:asciiTheme="majorHAnsi" w:hAnsiTheme="majorHAnsi"/>
        </w:rPr>
        <w:t xml:space="preserve">επεκτατικής </w:t>
      </w:r>
      <w:r w:rsidRPr="00781393">
        <w:rPr>
          <w:rFonts w:asciiTheme="majorHAnsi" w:hAnsiTheme="majorHAnsi"/>
        </w:rPr>
        <w:t>νομισματική</w:t>
      </w:r>
      <w:r>
        <w:rPr>
          <w:rFonts w:asciiTheme="majorHAnsi" w:hAnsiTheme="majorHAnsi"/>
        </w:rPr>
        <w:t>ς</w:t>
      </w:r>
      <w:r w:rsidRPr="00781393">
        <w:rPr>
          <w:rFonts w:asciiTheme="majorHAnsi" w:hAnsiTheme="majorHAnsi"/>
        </w:rPr>
        <w:t xml:space="preserve"> πολιτική</w:t>
      </w:r>
      <w:r>
        <w:rPr>
          <w:rFonts w:asciiTheme="majorHAnsi" w:hAnsiTheme="majorHAnsi"/>
        </w:rPr>
        <w:t>ς</w:t>
      </w:r>
      <w:r w:rsidRPr="00781393">
        <w:rPr>
          <w:rFonts w:asciiTheme="majorHAnsi" w:hAnsiTheme="majorHAnsi"/>
        </w:rPr>
        <w:t xml:space="preserve">. Ως εκ τούτου, η Εκτελεστική Επιτροπή αποφάσισε να διατηρήσει το επιτόκιο των συμφωνιών επαναγοράς αμετάβλητο στο -0,50% και </w:t>
      </w:r>
      <w:r>
        <w:rPr>
          <w:rFonts w:asciiTheme="majorHAnsi" w:hAnsiTheme="majorHAnsi"/>
        </w:rPr>
        <w:t xml:space="preserve">παράλληλα </w:t>
      </w:r>
      <w:r w:rsidRPr="00781393">
        <w:rPr>
          <w:rFonts w:asciiTheme="majorHAnsi" w:hAnsiTheme="majorHAnsi"/>
        </w:rPr>
        <w:t xml:space="preserve">εκτιμά ότι το επιτόκιο </w:t>
      </w:r>
      <w:r>
        <w:rPr>
          <w:rFonts w:asciiTheme="majorHAnsi" w:hAnsiTheme="majorHAnsi"/>
        </w:rPr>
        <w:t xml:space="preserve">μπορεί να αυξηθεί </w:t>
      </w:r>
      <w:r w:rsidRPr="00781393">
        <w:rPr>
          <w:rFonts w:asciiTheme="majorHAnsi" w:hAnsiTheme="majorHAnsi"/>
        </w:rPr>
        <w:t xml:space="preserve">προς το τέλος του έτους.  </w:t>
      </w:r>
    </w:p>
    <w:p w:rsidR="000A6D3C" w:rsidRDefault="000A6D3C" w:rsidP="00665AEE">
      <w:pPr>
        <w:autoSpaceDE w:val="0"/>
        <w:autoSpaceDN w:val="0"/>
        <w:adjustRightInd w:val="0"/>
        <w:jc w:val="both"/>
        <w:rPr>
          <w:rFonts w:asciiTheme="majorHAnsi" w:eastAsiaTheme="majorEastAsia" w:hAnsiTheme="majorHAnsi" w:cstheme="majorBidi"/>
          <w:b/>
          <w:bCs/>
          <w:color w:val="000000" w:themeColor="text1"/>
        </w:rPr>
      </w:pPr>
    </w:p>
    <w:p w:rsidR="00D606BC" w:rsidRDefault="00D606BC" w:rsidP="00665AEE">
      <w:pPr>
        <w:autoSpaceDE w:val="0"/>
        <w:autoSpaceDN w:val="0"/>
        <w:adjustRightInd w:val="0"/>
        <w:jc w:val="both"/>
        <w:rPr>
          <w:rFonts w:asciiTheme="majorHAnsi" w:eastAsiaTheme="majorEastAsia" w:hAnsiTheme="majorHAnsi" w:cstheme="majorBidi"/>
          <w:b/>
          <w:bCs/>
          <w:color w:val="000000" w:themeColor="text1"/>
        </w:rPr>
      </w:pPr>
    </w:p>
    <w:p w:rsidR="00665AEE" w:rsidRPr="00047FA3" w:rsidRDefault="00324720" w:rsidP="00665AEE">
      <w:pPr>
        <w:autoSpaceDE w:val="0"/>
        <w:autoSpaceDN w:val="0"/>
        <w:adjustRightInd w:val="0"/>
        <w:jc w:val="both"/>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rPr>
        <w:t>1</w:t>
      </w:r>
      <w:r w:rsidR="001F48A1" w:rsidRPr="00047FA3">
        <w:rPr>
          <w:rFonts w:asciiTheme="majorHAnsi" w:eastAsiaTheme="majorEastAsia" w:hAnsiTheme="majorHAnsi" w:cstheme="majorBidi"/>
          <w:b/>
          <w:bCs/>
          <w:color w:val="000000" w:themeColor="text1"/>
        </w:rPr>
        <w:t>.</w:t>
      </w:r>
      <w:r w:rsidR="00E95437">
        <w:rPr>
          <w:rFonts w:asciiTheme="majorHAnsi" w:eastAsiaTheme="majorEastAsia" w:hAnsiTheme="majorHAnsi" w:cstheme="majorBidi"/>
          <w:b/>
          <w:bCs/>
          <w:color w:val="000000" w:themeColor="text1"/>
        </w:rPr>
        <w:t>3</w:t>
      </w:r>
      <w:r w:rsidR="001F48A1" w:rsidRPr="00047FA3">
        <w:rPr>
          <w:rFonts w:asciiTheme="majorHAnsi" w:eastAsiaTheme="majorEastAsia" w:hAnsiTheme="majorHAnsi" w:cstheme="majorBidi"/>
          <w:b/>
          <w:bCs/>
          <w:color w:val="000000" w:themeColor="text1"/>
        </w:rPr>
        <w:t xml:space="preserve">. </w:t>
      </w:r>
      <w:r w:rsidRPr="00324720">
        <w:rPr>
          <w:rFonts w:asciiTheme="majorHAnsi" w:eastAsiaTheme="majorEastAsia" w:hAnsiTheme="majorHAnsi" w:cstheme="majorBidi"/>
          <w:b/>
          <w:bCs/>
          <w:color w:val="000000" w:themeColor="text1"/>
        </w:rPr>
        <w:t>Αύξηση της κατανάλωσης των νοικοκυριών στη Σουηδία</w:t>
      </w:r>
    </w:p>
    <w:p w:rsidR="00324720" w:rsidRPr="00324720" w:rsidRDefault="00324720" w:rsidP="00324720">
      <w:pPr>
        <w:jc w:val="both"/>
        <w:rPr>
          <w:rFonts w:asciiTheme="majorHAnsi" w:hAnsiTheme="majorHAnsi"/>
        </w:rPr>
      </w:pPr>
      <w:r w:rsidRPr="00324720">
        <w:rPr>
          <w:rFonts w:asciiTheme="majorHAnsi" w:hAnsiTheme="majorHAnsi"/>
        </w:rPr>
        <w:t xml:space="preserve">Η κατανάλωση νοικοκυριών αυξήθηκε κατά 0,5% σε εποχικά διορθωμένα στοιχεία </w:t>
      </w:r>
      <w:r w:rsidRPr="00324720">
        <w:rPr>
          <w:rFonts w:asciiTheme="majorHAnsi" w:hAnsiTheme="majorHAnsi"/>
        </w:rPr>
        <w:lastRenderedPageBreak/>
        <w:t>μεταξύ Ιανουαρίου και Φεβρουαρίου. Κατά τη διάρκεια του τελευταίου τριμήνου, η κατανάλωση αυξήθηκε κατά 0,2% σε εποχικά διορθωμένα στοιχεία σε σύγκριση με την προηγούμενη τρίμηνη περίοδο. Η κατανάλωση των νοικοκυριών αυξήθηκε κατά 1,7% σε σταθερές τιμές και σε διορθωμένα με βάση τις εργάσιμες ημέρες στοιχεία το Φεβρουάριο του 2018 σε σύγκριση με το Φεβρουάριο του 2017.</w:t>
      </w:r>
    </w:p>
    <w:p w:rsidR="00324720" w:rsidRPr="00324720" w:rsidRDefault="00324720" w:rsidP="00324720">
      <w:pPr>
        <w:jc w:val="both"/>
        <w:rPr>
          <w:rFonts w:asciiTheme="majorHAnsi" w:hAnsiTheme="majorHAnsi"/>
        </w:rPr>
      </w:pPr>
      <w:r w:rsidRPr="00324720">
        <w:rPr>
          <w:rFonts w:asciiTheme="majorHAnsi" w:hAnsiTheme="majorHAnsi"/>
        </w:rPr>
        <w:t xml:space="preserve">Η στέγαση, η ηλεκτρική ενέργεια, το φυσικό αέριο και η θέρμανση ήταν </w:t>
      </w:r>
      <w:r>
        <w:rPr>
          <w:rFonts w:asciiTheme="majorHAnsi" w:hAnsiTheme="majorHAnsi"/>
        </w:rPr>
        <w:t>οι δραστηριότητες</w:t>
      </w:r>
      <w:r w:rsidRPr="00324720">
        <w:rPr>
          <w:rFonts w:asciiTheme="majorHAnsi" w:hAnsiTheme="majorHAnsi"/>
        </w:rPr>
        <w:t xml:space="preserve"> με τη μεγαλύτερη σταθμισμένη συμβολή στη συνολική αύξηση της κατανάλωσης. </w:t>
      </w:r>
    </w:p>
    <w:p w:rsidR="00324720" w:rsidRPr="003148BC" w:rsidRDefault="00324720" w:rsidP="00324720">
      <w:pPr>
        <w:jc w:val="both"/>
        <w:rPr>
          <w:rFonts w:asciiTheme="majorHAnsi" w:hAnsiTheme="majorHAnsi"/>
        </w:rPr>
      </w:pPr>
    </w:p>
    <w:p w:rsidR="00CD37EA" w:rsidRDefault="000A6D3C" w:rsidP="009F1C25">
      <w:pPr>
        <w:pStyle w:val="Heading2"/>
        <w:jc w:val="both"/>
        <w:rPr>
          <w:color w:val="000000" w:themeColor="text1"/>
          <w:sz w:val="24"/>
          <w:szCs w:val="24"/>
          <w:u w:val="single"/>
        </w:rPr>
      </w:pPr>
      <w:r>
        <w:rPr>
          <w:color w:val="000000" w:themeColor="text1"/>
          <w:sz w:val="24"/>
          <w:szCs w:val="24"/>
          <w:u w:val="single"/>
        </w:rPr>
        <w:t>2</w:t>
      </w:r>
      <w:r w:rsidR="00CD37EA" w:rsidRPr="009759DC">
        <w:rPr>
          <w:color w:val="000000" w:themeColor="text1"/>
          <w:sz w:val="24"/>
          <w:szCs w:val="24"/>
          <w:u w:val="single"/>
        </w:rPr>
        <w:t>.Επιχειρηματικές Ειδήσεις</w:t>
      </w:r>
    </w:p>
    <w:p w:rsidR="006F7966" w:rsidRDefault="006F7966" w:rsidP="006F7966"/>
    <w:p w:rsidR="006F7966" w:rsidRPr="006F7966" w:rsidRDefault="000A6D3C" w:rsidP="006F7966">
      <w:pPr>
        <w:rPr>
          <w:rFonts w:asciiTheme="majorHAnsi" w:hAnsiTheme="majorHAnsi"/>
          <w:b/>
        </w:rPr>
      </w:pPr>
      <w:r>
        <w:rPr>
          <w:rFonts w:asciiTheme="majorHAnsi" w:hAnsiTheme="majorHAnsi"/>
          <w:b/>
        </w:rPr>
        <w:t>2</w:t>
      </w:r>
      <w:r w:rsidR="006F7966" w:rsidRPr="006F7966">
        <w:rPr>
          <w:rFonts w:asciiTheme="majorHAnsi" w:hAnsiTheme="majorHAnsi"/>
          <w:b/>
        </w:rPr>
        <w:t xml:space="preserve">.1. Κλάδος τροφίμων – ποτών </w:t>
      </w:r>
    </w:p>
    <w:p w:rsidR="00CD37EA" w:rsidRPr="00047FA3" w:rsidRDefault="00CD37EA" w:rsidP="00F17AEF">
      <w:pPr>
        <w:autoSpaceDE w:val="0"/>
        <w:autoSpaceDN w:val="0"/>
        <w:adjustRightInd w:val="0"/>
        <w:jc w:val="both"/>
        <w:rPr>
          <w:rFonts w:asciiTheme="majorHAnsi" w:hAnsiTheme="majorHAnsi"/>
          <w:b/>
        </w:rPr>
      </w:pPr>
    </w:p>
    <w:p w:rsidR="006F7966" w:rsidRPr="006F7966" w:rsidRDefault="000A6D3C" w:rsidP="006F7966">
      <w:pPr>
        <w:autoSpaceDE w:val="0"/>
        <w:autoSpaceDN w:val="0"/>
        <w:adjustRightInd w:val="0"/>
        <w:jc w:val="both"/>
        <w:rPr>
          <w:rFonts w:asciiTheme="majorHAnsi" w:hAnsiTheme="majorHAnsi"/>
          <w:b/>
        </w:rPr>
      </w:pPr>
      <w:r>
        <w:rPr>
          <w:rFonts w:asciiTheme="majorHAnsi" w:hAnsiTheme="majorHAnsi"/>
          <w:b/>
        </w:rPr>
        <w:t>2</w:t>
      </w:r>
      <w:r w:rsidR="006F7966">
        <w:rPr>
          <w:rFonts w:asciiTheme="majorHAnsi" w:hAnsiTheme="majorHAnsi"/>
          <w:b/>
        </w:rPr>
        <w:t xml:space="preserve">.1.1 </w:t>
      </w:r>
      <w:r w:rsidR="006F7966" w:rsidRPr="006F7966">
        <w:rPr>
          <w:rFonts w:asciiTheme="majorHAnsi" w:hAnsiTheme="majorHAnsi"/>
          <w:b/>
        </w:rPr>
        <w:t>Σουηδία: έθνος με γούστο στη διατροφή και παγκόσμιας  κλάσης κουζίνα</w:t>
      </w:r>
    </w:p>
    <w:p w:rsidR="006F7966" w:rsidRPr="006F7966" w:rsidRDefault="006F7966" w:rsidP="006F7966">
      <w:pPr>
        <w:autoSpaceDE w:val="0"/>
        <w:autoSpaceDN w:val="0"/>
        <w:adjustRightInd w:val="0"/>
        <w:jc w:val="both"/>
        <w:rPr>
          <w:rFonts w:asciiTheme="majorHAnsi" w:hAnsiTheme="majorHAnsi"/>
        </w:rPr>
      </w:pPr>
      <w:r w:rsidRPr="006F7966">
        <w:rPr>
          <w:rFonts w:asciiTheme="majorHAnsi" w:hAnsiTheme="majorHAnsi"/>
        </w:rPr>
        <w:t xml:space="preserve">Σύμφωνα με πρόσφατη </w:t>
      </w:r>
      <w:r w:rsidR="000A6D3C">
        <w:rPr>
          <w:rFonts w:asciiTheme="majorHAnsi" w:hAnsiTheme="majorHAnsi"/>
        </w:rPr>
        <w:t xml:space="preserve">δημοσίευση του </w:t>
      </w:r>
      <w:proofErr w:type="spellStart"/>
      <w:r w:rsidR="000A6D3C">
        <w:rPr>
          <w:rFonts w:asciiTheme="majorHAnsi" w:hAnsiTheme="majorHAnsi"/>
        </w:rPr>
        <w:t>Business</w:t>
      </w:r>
      <w:proofErr w:type="spellEnd"/>
      <w:r w:rsidR="000A6D3C">
        <w:rPr>
          <w:rFonts w:asciiTheme="majorHAnsi" w:hAnsiTheme="majorHAnsi"/>
        </w:rPr>
        <w:t xml:space="preserve"> </w:t>
      </w:r>
      <w:proofErr w:type="spellStart"/>
      <w:r w:rsidR="000A6D3C">
        <w:rPr>
          <w:rFonts w:asciiTheme="majorHAnsi" w:hAnsiTheme="majorHAnsi"/>
        </w:rPr>
        <w:t>Sweden</w:t>
      </w:r>
      <w:proofErr w:type="spellEnd"/>
      <w:r w:rsidR="000A6D3C">
        <w:rPr>
          <w:rFonts w:asciiTheme="majorHAnsi" w:hAnsiTheme="majorHAnsi"/>
        </w:rPr>
        <w:t xml:space="preserve"> (ο </w:t>
      </w:r>
      <w:r w:rsidRPr="006F7966">
        <w:rPr>
          <w:rFonts w:asciiTheme="majorHAnsi" w:hAnsiTheme="majorHAnsi"/>
        </w:rPr>
        <w:t>φορέας προώθησης εμπορίου και επενδύσεων</w:t>
      </w:r>
      <w:r w:rsidR="000A6D3C">
        <w:rPr>
          <w:rFonts w:asciiTheme="majorHAnsi" w:hAnsiTheme="majorHAnsi"/>
        </w:rPr>
        <w:t>)</w:t>
      </w:r>
      <w:r w:rsidRPr="006F7966">
        <w:rPr>
          <w:rFonts w:asciiTheme="majorHAnsi" w:hAnsiTheme="majorHAnsi"/>
        </w:rPr>
        <w:t xml:space="preserve">, το ενδιαφέρον </w:t>
      </w:r>
      <w:r w:rsidR="000A6D3C">
        <w:rPr>
          <w:rFonts w:asciiTheme="majorHAnsi" w:hAnsiTheme="majorHAnsi"/>
        </w:rPr>
        <w:t xml:space="preserve">των σουηδών καταναλωτών </w:t>
      </w:r>
      <w:r w:rsidRPr="006F7966">
        <w:rPr>
          <w:rFonts w:asciiTheme="majorHAnsi" w:hAnsiTheme="majorHAnsi"/>
        </w:rPr>
        <w:t>για διατροφικές εμπειρίες είναι διάχυτο</w:t>
      </w:r>
      <w:r w:rsidR="000A6D3C">
        <w:rPr>
          <w:rFonts w:asciiTheme="majorHAnsi" w:hAnsiTheme="majorHAnsi"/>
        </w:rPr>
        <w:t>.</w:t>
      </w:r>
      <w:r w:rsidRPr="006F7966">
        <w:rPr>
          <w:rFonts w:asciiTheme="majorHAnsi" w:hAnsiTheme="majorHAnsi"/>
        </w:rPr>
        <w:t xml:space="preserve"> Οι καινοτόμοι στο χώρο των τροφίμων/ποτών  </w:t>
      </w:r>
      <w:r w:rsidR="000A6D3C">
        <w:rPr>
          <w:rFonts w:asciiTheme="majorHAnsi" w:hAnsiTheme="majorHAnsi"/>
        </w:rPr>
        <w:t>κερδίζουν</w:t>
      </w:r>
      <w:r w:rsidRPr="006F7966">
        <w:rPr>
          <w:rFonts w:asciiTheme="majorHAnsi" w:hAnsiTheme="majorHAnsi"/>
        </w:rPr>
        <w:t xml:space="preserve"> διεθνή φήμη, και οι καταναλωτές  γευματίζο</w:t>
      </w:r>
      <w:r w:rsidR="000A6D3C">
        <w:rPr>
          <w:rFonts w:asciiTheme="majorHAnsi" w:hAnsiTheme="majorHAnsi"/>
        </w:rPr>
        <w:t xml:space="preserve">υν στα εστιατόρια όσο πότε πριν, δαπανώντας όλο και μεγαλύτερο ποσοστό </w:t>
      </w:r>
      <w:r w:rsidRPr="006F7966">
        <w:rPr>
          <w:rFonts w:asciiTheme="majorHAnsi" w:hAnsiTheme="majorHAnsi"/>
        </w:rPr>
        <w:t>σε τρόφ</w:t>
      </w:r>
      <w:r w:rsidR="000A6D3C">
        <w:rPr>
          <w:rFonts w:asciiTheme="majorHAnsi" w:hAnsiTheme="majorHAnsi"/>
        </w:rPr>
        <w:t>ιμα και ποτά</w:t>
      </w:r>
      <w:r w:rsidRPr="006F7966">
        <w:rPr>
          <w:rFonts w:asciiTheme="majorHAnsi" w:hAnsiTheme="majorHAnsi"/>
        </w:rPr>
        <w:t xml:space="preserve">. </w:t>
      </w:r>
    </w:p>
    <w:p w:rsidR="006F7966" w:rsidRPr="006F7966" w:rsidRDefault="006F7966" w:rsidP="006F7966">
      <w:pPr>
        <w:autoSpaceDE w:val="0"/>
        <w:autoSpaceDN w:val="0"/>
        <w:adjustRightInd w:val="0"/>
        <w:jc w:val="both"/>
        <w:rPr>
          <w:rFonts w:asciiTheme="majorHAnsi" w:hAnsiTheme="majorHAnsi"/>
        </w:rPr>
      </w:pPr>
      <w:r w:rsidRPr="006F7966">
        <w:rPr>
          <w:rFonts w:asciiTheme="majorHAnsi" w:hAnsiTheme="majorHAnsi"/>
        </w:rPr>
        <w:t xml:space="preserve"> Ο κύκλος εργασιών της βιομηχανίας εστιατορίων αυξάνεται ταχύτατα και αγγίζει ένα υψ</w:t>
      </w:r>
      <w:r w:rsidR="000A6D3C">
        <w:rPr>
          <w:rFonts w:asciiTheme="majorHAnsi" w:hAnsiTheme="majorHAnsi"/>
        </w:rPr>
        <w:t>ηλό  ρεκόρ υψηλό των SEK 127 δισ</w:t>
      </w:r>
      <w:r w:rsidRPr="006F7966">
        <w:rPr>
          <w:rFonts w:asciiTheme="majorHAnsi" w:hAnsiTheme="majorHAnsi"/>
        </w:rPr>
        <w:t>. κατά το 2016</w:t>
      </w:r>
      <w:r w:rsidR="000A6D3C">
        <w:rPr>
          <w:rFonts w:asciiTheme="majorHAnsi" w:hAnsiTheme="majorHAnsi"/>
        </w:rPr>
        <w:t xml:space="preserve"> (περίπου 12,7 </w:t>
      </w:r>
      <w:proofErr w:type="spellStart"/>
      <w:r w:rsidR="000A6D3C">
        <w:rPr>
          <w:rFonts w:asciiTheme="majorHAnsi" w:hAnsiTheme="majorHAnsi"/>
        </w:rPr>
        <w:t>δισ.Ευρώ</w:t>
      </w:r>
      <w:proofErr w:type="spellEnd"/>
      <w:r w:rsidR="000A6D3C">
        <w:rPr>
          <w:rFonts w:asciiTheme="majorHAnsi" w:hAnsiTheme="majorHAnsi"/>
        </w:rPr>
        <w:t>)</w:t>
      </w:r>
      <w:r w:rsidRPr="006F7966">
        <w:rPr>
          <w:rFonts w:asciiTheme="majorHAnsi" w:hAnsiTheme="majorHAnsi"/>
        </w:rPr>
        <w:t>, καταγράφοντας  α</w:t>
      </w:r>
      <w:r w:rsidR="000A6D3C">
        <w:rPr>
          <w:rFonts w:asciiTheme="majorHAnsi" w:hAnsiTheme="majorHAnsi"/>
        </w:rPr>
        <w:t xml:space="preserve">ύξηση κατά 7% σε σχέση με </w:t>
      </w:r>
      <w:r w:rsidRPr="006F7966">
        <w:rPr>
          <w:rFonts w:asciiTheme="majorHAnsi" w:hAnsiTheme="majorHAnsi"/>
        </w:rPr>
        <w:t xml:space="preserve">το προηγούμενο έτος.  Όπως χαρακτηριστικά αναφέρει το </w:t>
      </w:r>
      <w:proofErr w:type="spellStart"/>
      <w:r w:rsidRPr="006F7966">
        <w:rPr>
          <w:rFonts w:asciiTheme="majorHAnsi" w:hAnsiTheme="majorHAnsi"/>
        </w:rPr>
        <w:t>Business</w:t>
      </w:r>
      <w:proofErr w:type="spellEnd"/>
      <w:r w:rsidRPr="006F7966">
        <w:rPr>
          <w:rFonts w:asciiTheme="majorHAnsi" w:hAnsiTheme="majorHAnsi"/>
        </w:rPr>
        <w:t xml:space="preserve"> </w:t>
      </w:r>
      <w:proofErr w:type="spellStart"/>
      <w:r w:rsidRPr="006F7966">
        <w:rPr>
          <w:rFonts w:asciiTheme="majorHAnsi" w:hAnsiTheme="majorHAnsi"/>
        </w:rPr>
        <w:t>Sweden</w:t>
      </w:r>
      <w:proofErr w:type="spellEnd"/>
      <w:r w:rsidRPr="006F7966">
        <w:rPr>
          <w:rFonts w:asciiTheme="majorHAnsi" w:hAnsiTheme="majorHAnsi"/>
        </w:rPr>
        <w:t xml:space="preserve"> η Σουηδία έχει αναδειχθεί ως έθνος «καλοφαγάδων» , με μια σύγχρονη σκηνή φαγητού, με μαγειρικές τεχνικές που διαμορφώνουν τις παγκόσμιες τάσεις. Σουηδοί  σεφ έχουν επιτύχει παγκόσμια αναγνώριση κερδίζοντας χρυσά και ασημένια μετάλλια στους γαστρονομικούς Ο</w:t>
      </w:r>
      <w:r w:rsidR="000A6D3C">
        <w:rPr>
          <w:rFonts w:asciiTheme="majorHAnsi" w:hAnsiTheme="majorHAnsi"/>
        </w:rPr>
        <w:t xml:space="preserve">λυμπιακούς αγώνες, </w:t>
      </w:r>
      <w:proofErr w:type="spellStart"/>
      <w:r w:rsidR="000A6D3C">
        <w:rPr>
          <w:rFonts w:asciiTheme="majorHAnsi" w:hAnsiTheme="majorHAnsi"/>
        </w:rPr>
        <w:t>Bocuse</w:t>
      </w:r>
      <w:proofErr w:type="spellEnd"/>
      <w:r w:rsidR="000A6D3C">
        <w:rPr>
          <w:rFonts w:asciiTheme="majorHAnsi" w:hAnsiTheme="majorHAnsi"/>
        </w:rPr>
        <w:t xml:space="preserve"> </w:t>
      </w:r>
      <w:proofErr w:type="spellStart"/>
      <w:r w:rsidR="000A6D3C">
        <w:rPr>
          <w:rFonts w:asciiTheme="majorHAnsi" w:hAnsiTheme="majorHAnsi"/>
        </w:rPr>
        <w:t>d'Or</w:t>
      </w:r>
      <w:proofErr w:type="spellEnd"/>
      <w:r w:rsidR="000A6D3C">
        <w:rPr>
          <w:rFonts w:asciiTheme="majorHAnsi" w:hAnsiTheme="majorHAnsi"/>
        </w:rPr>
        <w:t xml:space="preserve"> ενώ </w:t>
      </w:r>
      <w:proofErr w:type="spellStart"/>
      <w:r w:rsidR="000A6D3C">
        <w:rPr>
          <w:rFonts w:asciiTheme="majorHAnsi" w:hAnsiTheme="majorHAnsi"/>
        </w:rPr>
        <w:t>γ</w:t>
      </w:r>
      <w:r w:rsidRPr="006F7966">
        <w:rPr>
          <w:rFonts w:asciiTheme="majorHAnsi" w:hAnsiTheme="majorHAnsi"/>
        </w:rPr>
        <w:t>κουρμέ</w:t>
      </w:r>
      <w:proofErr w:type="spellEnd"/>
      <w:r w:rsidRPr="006F7966">
        <w:rPr>
          <w:rFonts w:asciiTheme="majorHAnsi" w:hAnsiTheme="majorHAnsi"/>
        </w:rPr>
        <w:t xml:space="preserve"> εστι</w:t>
      </w:r>
      <w:r w:rsidR="000A6D3C">
        <w:rPr>
          <w:rFonts w:asciiTheme="majorHAnsi" w:hAnsiTheme="majorHAnsi"/>
        </w:rPr>
        <w:t>ατόρια ανοίγουν  σε όλη τη χώρα.</w:t>
      </w:r>
      <w:r w:rsidRPr="006F7966">
        <w:rPr>
          <w:rFonts w:asciiTheme="majorHAnsi" w:hAnsiTheme="majorHAnsi"/>
        </w:rPr>
        <w:t xml:space="preserve"> </w:t>
      </w:r>
    </w:p>
    <w:p w:rsidR="006F7966" w:rsidRPr="006F7966" w:rsidRDefault="006F7966" w:rsidP="006F7966">
      <w:pPr>
        <w:autoSpaceDE w:val="0"/>
        <w:autoSpaceDN w:val="0"/>
        <w:adjustRightInd w:val="0"/>
        <w:jc w:val="both"/>
        <w:rPr>
          <w:rFonts w:asciiTheme="majorHAnsi" w:hAnsiTheme="majorHAnsi"/>
        </w:rPr>
      </w:pPr>
      <w:r w:rsidRPr="006F7966">
        <w:rPr>
          <w:rFonts w:asciiTheme="majorHAnsi" w:hAnsiTheme="majorHAnsi"/>
        </w:rPr>
        <w:t xml:space="preserve">Η βιομηχανία στον χώρο των καταστημάτων καφέ επίσης ανθεί. Ο </w:t>
      </w:r>
      <w:r w:rsidRPr="006F7966">
        <w:rPr>
          <w:rFonts w:asciiTheme="majorHAnsi" w:hAnsiTheme="majorHAnsi"/>
        </w:rPr>
        <w:lastRenderedPageBreak/>
        <w:t>κύκλος εργασιών σχεδόν διπλασιάστηκε από το 2007 - μια αύξηση που είναι 70 τοις εκατό υψηλότερη από</w:t>
      </w:r>
      <w:r w:rsidR="000A6D3C">
        <w:rPr>
          <w:rFonts w:asciiTheme="majorHAnsi" w:hAnsiTheme="majorHAnsi"/>
        </w:rPr>
        <w:t xml:space="preserve"> το υπόλοιπο τομέα των εστιατορί</w:t>
      </w:r>
      <w:r w:rsidRPr="006F7966">
        <w:rPr>
          <w:rFonts w:asciiTheme="majorHAnsi" w:hAnsiTheme="majorHAnsi"/>
        </w:rPr>
        <w:t xml:space="preserve">ων. </w:t>
      </w:r>
    </w:p>
    <w:p w:rsidR="006F7966" w:rsidRPr="006F7966" w:rsidRDefault="006F7966" w:rsidP="006F7966">
      <w:pPr>
        <w:autoSpaceDE w:val="0"/>
        <w:autoSpaceDN w:val="0"/>
        <w:adjustRightInd w:val="0"/>
        <w:jc w:val="both"/>
        <w:rPr>
          <w:rFonts w:asciiTheme="majorHAnsi" w:hAnsiTheme="majorHAnsi"/>
        </w:rPr>
      </w:pPr>
      <w:r w:rsidRPr="006F7966">
        <w:rPr>
          <w:rFonts w:asciiTheme="majorHAnsi" w:hAnsiTheme="majorHAnsi"/>
        </w:rPr>
        <w:t xml:space="preserve">Κατά τα τελευταία χρόνια διαπιστώνεται ότι ο σουηδός  καταναλωτής όλο και περισσότερο υιοθετεί ένα τρόπο ζωής που ενθαρρύνει το φαγητό εκτός σπιτιού. Μια επίσκεψη εστιατορίου δεν είναι πλέον αποκλειστικά για κοινωνικές περιστάσεις ή επαγγελματικές συναντήσεις. Πρωινό, μεσημεριανό και δείπνο - φαγητό έξω έχει γίνει πλέον ένας τρόπος ζωής. Στην πραγματικότητα, οι Σουηδοί καταναλωτές τώρα ξοδεύουν περίπου τόσο σε καφετέριες και εστιατόρια όσο </w:t>
      </w:r>
      <w:r w:rsidR="008454ED">
        <w:rPr>
          <w:rFonts w:asciiTheme="majorHAnsi" w:hAnsiTheme="majorHAnsi"/>
        </w:rPr>
        <w:t>και στα</w:t>
      </w:r>
      <w:r w:rsidRPr="006F7966">
        <w:rPr>
          <w:rFonts w:asciiTheme="majorHAnsi" w:hAnsiTheme="majorHAnsi"/>
        </w:rPr>
        <w:t xml:space="preserve"> παντοπωλεία.</w:t>
      </w:r>
    </w:p>
    <w:p w:rsidR="008454ED" w:rsidRDefault="006F7966" w:rsidP="006F7966">
      <w:pPr>
        <w:autoSpaceDE w:val="0"/>
        <w:autoSpaceDN w:val="0"/>
        <w:adjustRightInd w:val="0"/>
        <w:jc w:val="both"/>
        <w:rPr>
          <w:rFonts w:asciiTheme="majorHAnsi" w:hAnsiTheme="majorHAnsi"/>
        </w:rPr>
      </w:pPr>
      <w:r w:rsidRPr="006F7966">
        <w:rPr>
          <w:rFonts w:asciiTheme="majorHAnsi" w:hAnsiTheme="majorHAnsi"/>
        </w:rPr>
        <w:t xml:space="preserve">Το </w:t>
      </w:r>
      <w:proofErr w:type="spellStart"/>
      <w:r w:rsidRPr="006F7966">
        <w:rPr>
          <w:rFonts w:asciiTheme="majorHAnsi" w:hAnsiTheme="majorHAnsi"/>
        </w:rPr>
        <w:t>Business</w:t>
      </w:r>
      <w:proofErr w:type="spellEnd"/>
      <w:r w:rsidRPr="006F7966">
        <w:rPr>
          <w:rFonts w:asciiTheme="majorHAnsi" w:hAnsiTheme="majorHAnsi"/>
        </w:rPr>
        <w:t xml:space="preserve"> </w:t>
      </w:r>
      <w:proofErr w:type="spellStart"/>
      <w:r w:rsidRPr="006F7966">
        <w:rPr>
          <w:rFonts w:asciiTheme="majorHAnsi" w:hAnsiTheme="majorHAnsi"/>
        </w:rPr>
        <w:t>Sweden</w:t>
      </w:r>
      <w:proofErr w:type="spellEnd"/>
      <w:r w:rsidRPr="006F7966">
        <w:rPr>
          <w:rFonts w:asciiTheme="majorHAnsi" w:hAnsiTheme="majorHAnsi"/>
        </w:rPr>
        <w:t xml:space="preserve"> αναδεικνύει τις ευκαιρίες για όποιον θέλει </w:t>
      </w:r>
      <w:r w:rsidR="008454ED">
        <w:rPr>
          <w:rFonts w:asciiTheme="majorHAnsi" w:hAnsiTheme="majorHAnsi"/>
        </w:rPr>
        <w:t xml:space="preserve">να ασχοληθεί με τον κλάδο </w:t>
      </w:r>
      <w:r w:rsidRPr="006F7966">
        <w:rPr>
          <w:rFonts w:asciiTheme="majorHAnsi" w:hAnsiTheme="majorHAnsi"/>
        </w:rPr>
        <w:t>Τροφίμων και Ποτώ</w:t>
      </w:r>
      <w:r w:rsidR="008454ED">
        <w:rPr>
          <w:rFonts w:asciiTheme="majorHAnsi" w:hAnsiTheme="majorHAnsi"/>
        </w:rPr>
        <w:t xml:space="preserve">ν, </w:t>
      </w:r>
      <w:r w:rsidRPr="006F7966">
        <w:rPr>
          <w:rFonts w:asciiTheme="majorHAnsi" w:hAnsiTheme="majorHAnsi"/>
        </w:rPr>
        <w:t>τόσο στο γρήγορο φαγητό όσο και στο ποιοτικό φαγητό.  Θεωρεί ότι η Σουηδία έχει πλέον μιας παγκόσμιας κλάσης κουζίνα με 23 εστιατόρια που έχουν</w:t>
      </w:r>
      <w:r w:rsidR="008454ED">
        <w:rPr>
          <w:rFonts w:asciiTheme="majorHAnsi" w:hAnsiTheme="majorHAnsi"/>
        </w:rPr>
        <w:t xml:space="preserve"> συνολικά</w:t>
      </w:r>
      <w:r w:rsidRPr="006F7966">
        <w:rPr>
          <w:rFonts w:asciiTheme="majorHAnsi" w:hAnsiTheme="majorHAnsi"/>
        </w:rPr>
        <w:t xml:space="preserve"> 26 αστέρια </w:t>
      </w:r>
      <w:proofErr w:type="spellStart"/>
      <w:r w:rsidRPr="006F7966">
        <w:rPr>
          <w:rFonts w:asciiTheme="majorHAnsi" w:hAnsiTheme="majorHAnsi"/>
        </w:rPr>
        <w:t>Michelin</w:t>
      </w:r>
      <w:proofErr w:type="spellEnd"/>
      <w:r w:rsidRPr="006F7966">
        <w:rPr>
          <w:rFonts w:asciiTheme="majorHAnsi" w:hAnsiTheme="majorHAnsi"/>
        </w:rPr>
        <w:t xml:space="preserve">. </w:t>
      </w:r>
    </w:p>
    <w:p w:rsidR="006F7966" w:rsidRPr="006F7966" w:rsidRDefault="006F7966" w:rsidP="006F7966">
      <w:pPr>
        <w:autoSpaceDE w:val="0"/>
        <w:autoSpaceDN w:val="0"/>
        <w:adjustRightInd w:val="0"/>
        <w:jc w:val="both"/>
        <w:rPr>
          <w:rFonts w:asciiTheme="majorHAnsi" w:hAnsiTheme="majorHAnsi"/>
        </w:rPr>
      </w:pPr>
      <w:r w:rsidRPr="006F7966">
        <w:rPr>
          <w:rFonts w:asciiTheme="majorHAnsi" w:hAnsiTheme="majorHAnsi"/>
        </w:rPr>
        <w:t xml:space="preserve">Παραδείγματα διεθνών εταιρειών τροφίμων/ποτών που εγκαταστάθηκαν πρόσφατα στη Σουηδία είναι οι </w:t>
      </w:r>
      <w:proofErr w:type="spellStart"/>
      <w:r w:rsidRPr="006F7966">
        <w:rPr>
          <w:rFonts w:asciiTheme="majorHAnsi" w:hAnsiTheme="majorHAnsi"/>
        </w:rPr>
        <w:t>Burger</w:t>
      </w:r>
      <w:proofErr w:type="spellEnd"/>
      <w:r w:rsidRPr="006F7966">
        <w:rPr>
          <w:rFonts w:asciiTheme="majorHAnsi" w:hAnsiTheme="majorHAnsi"/>
        </w:rPr>
        <w:t xml:space="preserve"> &amp; </w:t>
      </w:r>
      <w:proofErr w:type="spellStart"/>
      <w:r w:rsidRPr="006F7966">
        <w:rPr>
          <w:rFonts w:asciiTheme="majorHAnsi" w:hAnsiTheme="majorHAnsi"/>
        </w:rPr>
        <w:t>Lobster</w:t>
      </w:r>
      <w:proofErr w:type="spellEnd"/>
      <w:r w:rsidRPr="006F7966">
        <w:rPr>
          <w:rFonts w:asciiTheme="majorHAnsi" w:hAnsiTheme="majorHAnsi"/>
        </w:rPr>
        <w:t xml:space="preserve">, </w:t>
      </w:r>
      <w:proofErr w:type="spellStart"/>
      <w:r w:rsidRPr="006F7966">
        <w:rPr>
          <w:rFonts w:asciiTheme="majorHAnsi" w:hAnsiTheme="majorHAnsi"/>
        </w:rPr>
        <w:t>Domino's</w:t>
      </w:r>
      <w:proofErr w:type="spellEnd"/>
      <w:r w:rsidRPr="006F7966">
        <w:rPr>
          <w:rFonts w:asciiTheme="majorHAnsi" w:hAnsiTheme="majorHAnsi"/>
        </w:rPr>
        <w:t xml:space="preserve"> </w:t>
      </w:r>
      <w:proofErr w:type="spellStart"/>
      <w:r w:rsidRPr="006F7966">
        <w:rPr>
          <w:rFonts w:asciiTheme="majorHAnsi" w:hAnsiTheme="majorHAnsi"/>
        </w:rPr>
        <w:t>Pizza</w:t>
      </w:r>
      <w:proofErr w:type="spellEnd"/>
      <w:r w:rsidRPr="006F7966">
        <w:rPr>
          <w:rFonts w:asciiTheme="majorHAnsi" w:hAnsiTheme="majorHAnsi"/>
        </w:rPr>
        <w:t xml:space="preserve">, </w:t>
      </w:r>
      <w:proofErr w:type="spellStart"/>
      <w:r w:rsidRPr="006F7966">
        <w:rPr>
          <w:rFonts w:asciiTheme="majorHAnsi" w:hAnsiTheme="majorHAnsi"/>
        </w:rPr>
        <w:t>Dunkin</w:t>
      </w:r>
      <w:proofErr w:type="spellEnd"/>
      <w:r w:rsidRPr="006F7966">
        <w:rPr>
          <w:rFonts w:asciiTheme="majorHAnsi" w:hAnsiTheme="majorHAnsi"/>
        </w:rPr>
        <w:t xml:space="preserve">' </w:t>
      </w:r>
      <w:proofErr w:type="spellStart"/>
      <w:r w:rsidRPr="006F7966">
        <w:rPr>
          <w:rFonts w:asciiTheme="majorHAnsi" w:hAnsiTheme="majorHAnsi"/>
        </w:rPr>
        <w:t>Donuts</w:t>
      </w:r>
      <w:proofErr w:type="spellEnd"/>
      <w:r w:rsidRPr="006F7966">
        <w:rPr>
          <w:rFonts w:asciiTheme="majorHAnsi" w:hAnsiTheme="majorHAnsi"/>
        </w:rPr>
        <w:t xml:space="preserve">,  </w:t>
      </w:r>
      <w:proofErr w:type="spellStart"/>
      <w:r w:rsidRPr="006F7966">
        <w:rPr>
          <w:rFonts w:asciiTheme="majorHAnsi" w:hAnsiTheme="majorHAnsi"/>
        </w:rPr>
        <w:t>Eataly</w:t>
      </w:r>
      <w:proofErr w:type="spellEnd"/>
      <w:r w:rsidRPr="006F7966">
        <w:rPr>
          <w:rFonts w:asciiTheme="majorHAnsi" w:hAnsiTheme="majorHAnsi"/>
        </w:rPr>
        <w:t xml:space="preserve">, </w:t>
      </w:r>
      <w:proofErr w:type="spellStart"/>
      <w:r w:rsidRPr="006F7966">
        <w:rPr>
          <w:rFonts w:asciiTheme="majorHAnsi" w:hAnsiTheme="majorHAnsi"/>
        </w:rPr>
        <w:t>Egon</w:t>
      </w:r>
      <w:proofErr w:type="spellEnd"/>
      <w:r w:rsidRPr="006F7966">
        <w:rPr>
          <w:rFonts w:asciiTheme="majorHAnsi" w:hAnsiTheme="majorHAnsi"/>
        </w:rPr>
        <w:t xml:space="preserve"> </w:t>
      </w:r>
      <w:proofErr w:type="spellStart"/>
      <w:r w:rsidRPr="006F7966">
        <w:rPr>
          <w:rFonts w:asciiTheme="majorHAnsi" w:hAnsiTheme="majorHAnsi"/>
        </w:rPr>
        <w:t>Restaurant</w:t>
      </w:r>
      <w:proofErr w:type="spellEnd"/>
      <w:r w:rsidRPr="006F7966">
        <w:rPr>
          <w:rFonts w:asciiTheme="majorHAnsi" w:hAnsiTheme="majorHAnsi"/>
        </w:rPr>
        <w:t xml:space="preserve">,  </w:t>
      </w:r>
      <w:proofErr w:type="spellStart"/>
      <w:r w:rsidRPr="006F7966">
        <w:rPr>
          <w:rFonts w:asciiTheme="majorHAnsi" w:hAnsiTheme="majorHAnsi"/>
        </w:rPr>
        <w:t>Foodora</w:t>
      </w:r>
      <w:proofErr w:type="spellEnd"/>
      <w:r w:rsidRPr="006F7966">
        <w:rPr>
          <w:rFonts w:asciiTheme="majorHAnsi" w:hAnsiTheme="majorHAnsi"/>
        </w:rPr>
        <w:t xml:space="preserve">,  </w:t>
      </w:r>
      <w:proofErr w:type="spellStart"/>
      <w:r w:rsidRPr="006F7966">
        <w:rPr>
          <w:rFonts w:asciiTheme="majorHAnsi" w:hAnsiTheme="majorHAnsi"/>
        </w:rPr>
        <w:t>Jamie's</w:t>
      </w:r>
      <w:proofErr w:type="spellEnd"/>
      <w:r w:rsidRPr="006F7966">
        <w:rPr>
          <w:rFonts w:asciiTheme="majorHAnsi" w:hAnsiTheme="majorHAnsi"/>
        </w:rPr>
        <w:t xml:space="preserve"> </w:t>
      </w:r>
      <w:proofErr w:type="spellStart"/>
      <w:r w:rsidRPr="006F7966">
        <w:rPr>
          <w:rFonts w:asciiTheme="majorHAnsi" w:hAnsiTheme="majorHAnsi"/>
        </w:rPr>
        <w:t>Italian</w:t>
      </w:r>
      <w:proofErr w:type="spellEnd"/>
      <w:r w:rsidRPr="006F7966">
        <w:rPr>
          <w:rFonts w:asciiTheme="majorHAnsi" w:hAnsiTheme="majorHAnsi"/>
        </w:rPr>
        <w:t xml:space="preserve">,  </w:t>
      </w:r>
      <w:proofErr w:type="spellStart"/>
      <w:r w:rsidRPr="006F7966">
        <w:rPr>
          <w:rFonts w:asciiTheme="majorHAnsi" w:hAnsiTheme="majorHAnsi"/>
        </w:rPr>
        <w:t>Joe</w:t>
      </w:r>
      <w:proofErr w:type="spellEnd"/>
      <w:r w:rsidRPr="006F7966">
        <w:rPr>
          <w:rFonts w:asciiTheme="majorHAnsi" w:hAnsiTheme="majorHAnsi"/>
        </w:rPr>
        <w:t xml:space="preserve"> &amp; </w:t>
      </w:r>
      <w:proofErr w:type="spellStart"/>
      <w:r w:rsidRPr="006F7966">
        <w:rPr>
          <w:rFonts w:asciiTheme="majorHAnsi" w:hAnsiTheme="majorHAnsi"/>
        </w:rPr>
        <w:t>the</w:t>
      </w:r>
      <w:proofErr w:type="spellEnd"/>
      <w:r w:rsidRPr="006F7966">
        <w:rPr>
          <w:rFonts w:asciiTheme="majorHAnsi" w:hAnsiTheme="majorHAnsi"/>
        </w:rPr>
        <w:t xml:space="preserve"> </w:t>
      </w:r>
      <w:proofErr w:type="spellStart"/>
      <w:r w:rsidRPr="006F7966">
        <w:rPr>
          <w:rFonts w:asciiTheme="majorHAnsi" w:hAnsiTheme="majorHAnsi"/>
        </w:rPr>
        <w:t>Juice</w:t>
      </w:r>
      <w:proofErr w:type="spellEnd"/>
      <w:r w:rsidRPr="006F7966">
        <w:rPr>
          <w:rFonts w:asciiTheme="majorHAnsi" w:hAnsiTheme="majorHAnsi"/>
        </w:rPr>
        <w:t xml:space="preserve"> , KFC, </w:t>
      </w:r>
      <w:proofErr w:type="spellStart"/>
      <w:r w:rsidRPr="006F7966">
        <w:rPr>
          <w:rFonts w:asciiTheme="majorHAnsi" w:hAnsiTheme="majorHAnsi"/>
        </w:rPr>
        <w:t>Lett</w:t>
      </w:r>
      <w:proofErr w:type="spellEnd"/>
      <w:r w:rsidRPr="006F7966">
        <w:rPr>
          <w:rFonts w:asciiTheme="majorHAnsi" w:hAnsiTheme="majorHAnsi"/>
        </w:rPr>
        <w:t xml:space="preserve">, </w:t>
      </w:r>
      <w:proofErr w:type="spellStart"/>
      <w:r w:rsidRPr="006F7966">
        <w:rPr>
          <w:rFonts w:asciiTheme="majorHAnsi" w:hAnsiTheme="majorHAnsi"/>
        </w:rPr>
        <w:t>Lindt</w:t>
      </w:r>
      <w:proofErr w:type="spellEnd"/>
      <w:r w:rsidRPr="006F7966">
        <w:rPr>
          <w:rFonts w:asciiTheme="majorHAnsi" w:hAnsiTheme="majorHAnsi"/>
        </w:rPr>
        <w:t xml:space="preserve">, </w:t>
      </w:r>
      <w:proofErr w:type="spellStart"/>
      <w:r w:rsidRPr="006F7966">
        <w:rPr>
          <w:rFonts w:asciiTheme="majorHAnsi" w:hAnsiTheme="majorHAnsi"/>
        </w:rPr>
        <w:t>Picard</w:t>
      </w:r>
      <w:proofErr w:type="spellEnd"/>
      <w:r w:rsidRPr="006F7966">
        <w:rPr>
          <w:rFonts w:asciiTheme="majorHAnsi" w:hAnsiTheme="majorHAnsi"/>
        </w:rPr>
        <w:t xml:space="preserve">, </w:t>
      </w:r>
      <w:proofErr w:type="spellStart"/>
      <w:r w:rsidRPr="006F7966">
        <w:rPr>
          <w:rFonts w:asciiTheme="majorHAnsi" w:hAnsiTheme="majorHAnsi"/>
        </w:rPr>
        <w:t>Simit</w:t>
      </w:r>
      <w:proofErr w:type="spellEnd"/>
      <w:r w:rsidRPr="006F7966">
        <w:rPr>
          <w:rFonts w:asciiTheme="majorHAnsi" w:hAnsiTheme="majorHAnsi"/>
        </w:rPr>
        <w:t xml:space="preserve"> </w:t>
      </w:r>
      <w:proofErr w:type="spellStart"/>
      <w:r w:rsidRPr="006F7966">
        <w:rPr>
          <w:rFonts w:asciiTheme="majorHAnsi" w:hAnsiTheme="majorHAnsi"/>
        </w:rPr>
        <w:t>Sarayu</w:t>
      </w:r>
      <w:proofErr w:type="spellEnd"/>
      <w:r w:rsidRPr="006F7966">
        <w:rPr>
          <w:rFonts w:asciiTheme="majorHAnsi" w:hAnsiTheme="majorHAnsi"/>
        </w:rPr>
        <w:t xml:space="preserve">, </w:t>
      </w:r>
      <w:proofErr w:type="spellStart"/>
      <w:r w:rsidRPr="006F7966">
        <w:rPr>
          <w:rFonts w:asciiTheme="majorHAnsi" w:hAnsiTheme="majorHAnsi"/>
        </w:rPr>
        <w:t>Starbucks</w:t>
      </w:r>
      <w:proofErr w:type="spellEnd"/>
      <w:r w:rsidRPr="006F7966">
        <w:rPr>
          <w:rFonts w:asciiTheme="majorHAnsi" w:hAnsiTheme="majorHAnsi"/>
        </w:rPr>
        <w:t xml:space="preserve">,  </w:t>
      </w:r>
      <w:proofErr w:type="spellStart"/>
      <w:r w:rsidRPr="006F7966">
        <w:rPr>
          <w:rFonts w:asciiTheme="majorHAnsi" w:hAnsiTheme="majorHAnsi"/>
        </w:rPr>
        <w:t>UberEATS</w:t>
      </w:r>
      <w:proofErr w:type="spellEnd"/>
      <w:r w:rsidRPr="006F7966">
        <w:rPr>
          <w:rFonts w:asciiTheme="majorHAnsi" w:hAnsiTheme="majorHAnsi"/>
        </w:rPr>
        <w:t xml:space="preserve">, </w:t>
      </w:r>
      <w:proofErr w:type="spellStart"/>
      <w:r w:rsidRPr="006F7966">
        <w:rPr>
          <w:rFonts w:asciiTheme="majorHAnsi" w:hAnsiTheme="majorHAnsi"/>
        </w:rPr>
        <w:t>Vapianio</w:t>
      </w:r>
      <w:proofErr w:type="spellEnd"/>
      <w:r w:rsidRPr="006F7966">
        <w:rPr>
          <w:rFonts w:asciiTheme="majorHAnsi" w:hAnsiTheme="majorHAnsi"/>
        </w:rPr>
        <w:t xml:space="preserve">, </w:t>
      </w:r>
      <w:proofErr w:type="spellStart"/>
      <w:r w:rsidRPr="006F7966">
        <w:rPr>
          <w:rFonts w:asciiTheme="majorHAnsi" w:hAnsiTheme="majorHAnsi"/>
        </w:rPr>
        <w:t>Wagamama</w:t>
      </w:r>
      <w:proofErr w:type="spellEnd"/>
      <w:r w:rsidRPr="006F7966">
        <w:rPr>
          <w:rFonts w:asciiTheme="majorHAnsi" w:hAnsiTheme="majorHAnsi"/>
        </w:rPr>
        <w:t xml:space="preserve">. </w:t>
      </w:r>
    </w:p>
    <w:p w:rsidR="006F7966" w:rsidRDefault="006F7966" w:rsidP="006F7966">
      <w:pPr>
        <w:autoSpaceDE w:val="0"/>
        <w:autoSpaceDN w:val="0"/>
        <w:adjustRightInd w:val="0"/>
        <w:jc w:val="both"/>
        <w:rPr>
          <w:rFonts w:asciiTheme="majorHAnsi" w:hAnsiTheme="majorHAnsi"/>
        </w:rPr>
      </w:pPr>
    </w:p>
    <w:p w:rsidR="008D7862" w:rsidRDefault="000A6D3C" w:rsidP="00EC5789">
      <w:pPr>
        <w:autoSpaceDE w:val="0"/>
        <w:autoSpaceDN w:val="0"/>
        <w:adjustRightInd w:val="0"/>
        <w:jc w:val="both"/>
        <w:rPr>
          <w:rFonts w:asciiTheme="majorHAnsi" w:hAnsiTheme="majorHAnsi"/>
          <w:b/>
        </w:rPr>
      </w:pPr>
      <w:r>
        <w:rPr>
          <w:rFonts w:asciiTheme="majorHAnsi" w:hAnsiTheme="majorHAnsi"/>
          <w:b/>
        </w:rPr>
        <w:t>2</w:t>
      </w:r>
      <w:r w:rsidR="006F7966">
        <w:rPr>
          <w:rFonts w:asciiTheme="majorHAnsi" w:hAnsiTheme="majorHAnsi"/>
          <w:b/>
        </w:rPr>
        <w:t>.1</w:t>
      </w:r>
      <w:r w:rsidR="00811304">
        <w:rPr>
          <w:rFonts w:asciiTheme="majorHAnsi" w:hAnsiTheme="majorHAnsi"/>
          <w:b/>
        </w:rPr>
        <w:t>.</w:t>
      </w:r>
      <w:r w:rsidR="006F7966">
        <w:rPr>
          <w:rFonts w:asciiTheme="majorHAnsi" w:hAnsiTheme="majorHAnsi"/>
          <w:b/>
        </w:rPr>
        <w:t>2</w:t>
      </w:r>
      <w:r w:rsidR="008E51DE">
        <w:rPr>
          <w:rFonts w:asciiTheme="majorHAnsi" w:hAnsiTheme="majorHAnsi"/>
          <w:b/>
        </w:rPr>
        <w:t>.</w:t>
      </w:r>
      <w:r w:rsidR="00811304">
        <w:rPr>
          <w:rFonts w:asciiTheme="majorHAnsi" w:hAnsiTheme="majorHAnsi"/>
          <w:b/>
        </w:rPr>
        <w:t xml:space="preserve"> </w:t>
      </w:r>
      <w:r w:rsidR="008D7862" w:rsidRPr="008D7862">
        <w:rPr>
          <w:rFonts w:asciiTheme="majorHAnsi" w:hAnsiTheme="majorHAnsi"/>
          <w:b/>
        </w:rPr>
        <w:t xml:space="preserve">Διεθνής Εμπορική Έκθεση </w:t>
      </w:r>
      <w:proofErr w:type="spellStart"/>
      <w:r w:rsidR="008D7862" w:rsidRPr="008D7862">
        <w:rPr>
          <w:rFonts w:asciiTheme="majorHAnsi" w:hAnsiTheme="majorHAnsi"/>
          <w:b/>
          <w:lang w:val="sv-SE"/>
        </w:rPr>
        <w:t>Gastronord</w:t>
      </w:r>
      <w:proofErr w:type="spellEnd"/>
      <w:r w:rsidR="008D7862" w:rsidRPr="008D7862">
        <w:rPr>
          <w:rFonts w:asciiTheme="majorHAnsi" w:hAnsiTheme="majorHAnsi"/>
          <w:b/>
        </w:rPr>
        <w:t xml:space="preserve">  - </w:t>
      </w:r>
      <w:proofErr w:type="spellStart"/>
      <w:r w:rsidR="008D7862" w:rsidRPr="008D7862">
        <w:rPr>
          <w:rFonts w:asciiTheme="majorHAnsi" w:hAnsiTheme="majorHAnsi"/>
          <w:b/>
          <w:lang w:val="sv-SE"/>
        </w:rPr>
        <w:t>Vinordic</w:t>
      </w:r>
      <w:proofErr w:type="spellEnd"/>
      <w:r w:rsidR="008D7862" w:rsidRPr="008D7862">
        <w:rPr>
          <w:rFonts w:asciiTheme="majorHAnsi" w:hAnsiTheme="majorHAnsi"/>
          <w:b/>
        </w:rPr>
        <w:t xml:space="preserve"> (24-27 Απριλίου 2018)</w:t>
      </w:r>
    </w:p>
    <w:p w:rsidR="008454ED" w:rsidRDefault="008E51DE" w:rsidP="008E51DE">
      <w:pPr>
        <w:jc w:val="both"/>
        <w:rPr>
          <w:rFonts w:asciiTheme="majorHAnsi" w:hAnsiTheme="majorHAnsi"/>
        </w:rPr>
      </w:pPr>
      <w:r w:rsidRPr="008E51DE">
        <w:rPr>
          <w:rFonts w:asciiTheme="majorHAnsi" w:hAnsiTheme="majorHAnsi"/>
        </w:rPr>
        <w:t xml:space="preserve">Με μεγάλη επιτυχία διεξήχθη </w:t>
      </w:r>
      <w:r w:rsidR="008454ED">
        <w:rPr>
          <w:rFonts w:asciiTheme="majorHAnsi" w:hAnsiTheme="majorHAnsi"/>
        </w:rPr>
        <w:t xml:space="preserve">και </w:t>
      </w:r>
      <w:r w:rsidRPr="008E51DE">
        <w:rPr>
          <w:rFonts w:asciiTheme="majorHAnsi" w:hAnsiTheme="majorHAnsi"/>
        </w:rPr>
        <w:t xml:space="preserve">φέτος στις 24-28 Απριλίου 2018 η  διεθνής έκθεση </w:t>
      </w:r>
      <w:proofErr w:type="spellStart"/>
      <w:r w:rsidRPr="008E51DE">
        <w:rPr>
          <w:rFonts w:asciiTheme="majorHAnsi" w:hAnsiTheme="majorHAnsi"/>
        </w:rPr>
        <w:t>Gastronord</w:t>
      </w:r>
      <w:proofErr w:type="spellEnd"/>
      <w:r w:rsidRPr="008E51DE">
        <w:rPr>
          <w:rFonts w:asciiTheme="majorHAnsi" w:hAnsiTheme="majorHAnsi"/>
        </w:rPr>
        <w:t xml:space="preserve">- </w:t>
      </w:r>
      <w:proofErr w:type="spellStart"/>
      <w:r w:rsidRPr="008E51DE">
        <w:rPr>
          <w:rFonts w:asciiTheme="majorHAnsi" w:hAnsiTheme="majorHAnsi"/>
        </w:rPr>
        <w:t>Vinordic</w:t>
      </w:r>
      <w:proofErr w:type="spellEnd"/>
      <w:r w:rsidRPr="008E51DE">
        <w:rPr>
          <w:rFonts w:asciiTheme="majorHAnsi" w:hAnsiTheme="majorHAnsi"/>
        </w:rPr>
        <w:t xml:space="preserve">, που αποτελεί μια από τις μεγαλύτερες διοργανώσεις τροφίμων και ποτών στη Σουηδία και απευθύνεται κυρίως σε επαγγελματικό κοινό για τον τομέα </w:t>
      </w:r>
      <w:proofErr w:type="spellStart"/>
      <w:r w:rsidRPr="008E51DE">
        <w:rPr>
          <w:rFonts w:asciiTheme="majorHAnsi" w:hAnsiTheme="majorHAnsi"/>
        </w:rPr>
        <w:t>HoReCa</w:t>
      </w:r>
      <w:proofErr w:type="spellEnd"/>
      <w:r w:rsidRPr="008E51DE">
        <w:rPr>
          <w:rFonts w:asciiTheme="majorHAnsi" w:hAnsiTheme="majorHAnsi"/>
        </w:rPr>
        <w:t xml:space="preserve">. </w:t>
      </w:r>
    </w:p>
    <w:p w:rsidR="008454ED" w:rsidRDefault="008454ED" w:rsidP="008E51DE">
      <w:pPr>
        <w:jc w:val="both"/>
        <w:rPr>
          <w:rFonts w:asciiTheme="majorHAnsi" w:hAnsiTheme="majorHAnsi"/>
        </w:rPr>
      </w:pPr>
      <w:r>
        <w:rPr>
          <w:rFonts w:asciiTheme="majorHAnsi" w:hAnsiTheme="majorHAnsi"/>
        </w:rPr>
        <w:t>Η Έκθεση διεξάγεται ανά 2ετία</w:t>
      </w:r>
      <w:r w:rsidR="008E51DE" w:rsidRPr="008E51DE">
        <w:rPr>
          <w:rFonts w:asciiTheme="majorHAnsi" w:hAnsiTheme="majorHAnsi"/>
        </w:rPr>
        <w:t xml:space="preserve"> στον εκθεσιακό χώρο </w:t>
      </w:r>
      <w:proofErr w:type="spellStart"/>
      <w:r w:rsidR="008E51DE" w:rsidRPr="008E51DE">
        <w:rPr>
          <w:rFonts w:asciiTheme="majorHAnsi" w:hAnsiTheme="majorHAnsi"/>
        </w:rPr>
        <w:t>Stockholmsmä</w:t>
      </w:r>
      <w:r>
        <w:rPr>
          <w:rFonts w:asciiTheme="majorHAnsi" w:hAnsiTheme="majorHAnsi"/>
        </w:rPr>
        <w:t>ssan</w:t>
      </w:r>
      <w:proofErr w:type="spellEnd"/>
      <w:r>
        <w:rPr>
          <w:rFonts w:asciiTheme="majorHAnsi" w:hAnsiTheme="majorHAnsi"/>
        </w:rPr>
        <w:t xml:space="preserve"> και φέτος πραγματοποιήθηκε</w:t>
      </w:r>
      <w:r w:rsidR="008E51DE" w:rsidRPr="008E51DE">
        <w:rPr>
          <w:rFonts w:asciiTheme="majorHAnsi" w:hAnsiTheme="majorHAnsi"/>
        </w:rPr>
        <w:t xml:space="preserve">, με τη συμμετοχή σημαντικών εκθετών από πολλές χώρες στους τομείς παραγωγής και διανομής καθώς και βιομηχανικού εξοπλισμού τροφίμων/ποτών. </w:t>
      </w:r>
    </w:p>
    <w:p w:rsidR="008454ED" w:rsidRDefault="008E51DE" w:rsidP="008E51DE">
      <w:pPr>
        <w:jc w:val="both"/>
        <w:rPr>
          <w:rFonts w:asciiTheme="majorHAnsi" w:hAnsiTheme="majorHAnsi"/>
        </w:rPr>
      </w:pPr>
      <w:r w:rsidRPr="008E51DE">
        <w:rPr>
          <w:rFonts w:asciiTheme="majorHAnsi" w:hAnsiTheme="majorHAnsi"/>
        </w:rPr>
        <w:t xml:space="preserve">Στους φετινούς εκθέτες συγκαταλέγεται ο Σουηδικός Εθνικός Οργανισμός </w:t>
      </w:r>
      <w:r w:rsidRPr="008E51DE">
        <w:rPr>
          <w:rFonts w:asciiTheme="majorHAnsi" w:hAnsiTheme="majorHAnsi"/>
        </w:rPr>
        <w:lastRenderedPageBreak/>
        <w:t>Τροφίμων(</w:t>
      </w:r>
      <w:proofErr w:type="spellStart"/>
      <w:r w:rsidRPr="008E51DE">
        <w:rPr>
          <w:rFonts w:asciiTheme="majorHAnsi" w:hAnsiTheme="majorHAnsi"/>
        </w:rPr>
        <w:t>www.livsmedel.se</w:t>
      </w:r>
      <w:proofErr w:type="spellEnd"/>
      <w:r w:rsidRPr="008E51DE">
        <w:rPr>
          <w:rFonts w:asciiTheme="majorHAnsi" w:hAnsiTheme="majorHAnsi"/>
        </w:rPr>
        <w:t xml:space="preserve">) και ορισμένες από τις μεγαλύτερες εταιρείες </w:t>
      </w:r>
      <w:r w:rsidR="008454ED">
        <w:rPr>
          <w:rFonts w:asciiTheme="majorHAnsi" w:hAnsiTheme="majorHAnsi"/>
        </w:rPr>
        <w:t xml:space="preserve">διανομής </w:t>
      </w:r>
      <w:r w:rsidRPr="008E51DE">
        <w:rPr>
          <w:rFonts w:asciiTheme="majorHAnsi" w:hAnsiTheme="majorHAnsi"/>
        </w:rPr>
        <w:t xml:space="preserve">όπως οι </w:t>
      </w:r>
      <w:proofErr w:type="spellStart"/>
      <w:r w:rsidRPr="008E51DE">
        <w:rPr>
          <w:rFonts w:asciiTheme="majorHAnsi" w:hAnsiTheme="majorHAnsi"/>
        </w:rPr>
        <w:t>Martin</w:t>
      </w:r>
      <w:proofErr w:type="spellEnd"/>
      <w:r w:rsidRPr="008E51DE">
        <w:rPr>
          <w:rFonts w:asciiTheme="majorHAnsi" w:hAnsiTheme="majorHAnsi"/>
        </w:rPr>
        <w:t xml:space="preserve"> – </w:t>
      </w:r>
      <w:proofErr w:type="spellStart"/>
      <w:r w:rsidRPr="008E51DE">
        <w:rPr>
          <w:rFonts w:asciiTheme="majorHAnsi" w:hAnsiTheme="majorHAnsi"/>
        </w:rPr>
        <w:t>Servera</w:t>
      </w:r>
      <w:proofErr w:type="spellEnd"/>
      <w:r w:rsidRPr="008E51DE">
        <w:rPr>
          <w:rFonts w:asciiTheme="majorHAnsi" w:hAnsiTheme="majorHAnsi"/>
        </w:rPr>
        <w:t xml:space="preserve">,  </w:t>
      </w:r>
      <w:proofErr w:type="spellStart"/>
      <w:r w:rsidRPr="008E51DE">
        <w:rPr>
          <w:rFonts w:asciiTheme="majorHAnsi" w:hAnsiTheme="majorHAnsi"/>
        </w:rPr>
        <w:t>Haugen</w:t>
      </w:r>
      <w:proofErr w:type="spellEnd"/>
      <w:r w:rsidRPr="008E51DE">
        <w:rPr>
          <w:rFonts w:asciiTheme="majorHAnsi" w:hAnsiTheme="majorHAnsi"/>
        </w:rPr>
        <w:t xml:space="preserve">- </w:t>
      </w:r>
      <w:proofErr w:type="spellStart"/>
      <w:r w:rsidRPr="008E51DE">
        <w:rPr>
          <w:rFonts w:asciiTheme="majorHAnsi" w:hAnsiTheme="majorHAnsi"/>
        </w:rPr>
        <w:t>Grupen</w:t>
      </w:r>
      <w:proofErr w:type="spellEnd"/>
      <w:r w:rsidRPr="008E51DE">
        <w:rPr>
          <w:rFonts w:asciiTheme="majorHAnsi" w:hAnsiTheme="majorHAnsi"/>
        </w:rPr>
        <w:t xml:space="preserve">, </w:t>
      </w:r>
      <w:proofErr w:type="spellStart"/>
      <w:r w:rsidRPr="008E51DE">
        <w:rPr>
          <w:rFonts w:asciiTheme="majorHAnsi" w:hAnsiTheme="majorHAnsi"/>
        </w:rPr>
        <w:t>Green</w:t>
      </w:r>
      <w:proofErr w:type="spellEnd"/>
      <w:r w:rsidRPr="008E51DE">
        <w:rPr>
          <w:rFonts w:asciiTheme="majorHAnsi" w:hAnsiTheme="majorHAnsi"/>
        </w:rPr>
        <w:t xml:space="preserve"> </w:t>
      </w:r>
      <w:proofErr w:type="spellStart"/>
      <w:r w:rsidRPr="008E51DE">
        <w:rPr>
          <w:rFonts w:asciiTheme="majorHAnsi" w:hAnsiTheme="majorHAnsi"/>
        </w:rPr>
        <w:t>Food</w:t>
      </w:r>
      <w:proofErr w:type="spellEnd"/>
      <w:r w:rsidRPr="008E51DE">
        <w:rPr>
          <w:rFonts w:asciiTheme="majorHAnsi" w:hAnsiTheme="majorHAnsi"/>
        </w:rPr>
        <w:t xml:space="preserve"> (</w:t>
      </w:r>
      <w:proofErr w:type="spellStart"/>
      <w:r w:rsidRPr="008E51DE">
        <w:rPr>
          <w:rFonts w:asciiTheme="majorHAnsi" w:hAnsiTheme="majorHAnsi"/>
        </w:rPr>
        <w:t>Ewerman</w:t>
      </w:r>
      <w:proofErr w:type="spellEnd"/>
      <w:r w:rsidRPr="008E51DE">
        <w:rPr>
          <w:rFonts w:asciiTheme="majorHAnsi" w:hAnsiTheme="majorHAnsi"/>
        </w:rPr>
        <w:t xml:space="preserve">), </w:t>
      </w:r>
      <w:proofErr w:type="spellStart"/>
      <w:r w:rsidRPr="008E51DE">
        <w:rPr>
          <w:rFonts w:asciiTheme="majorHAnsi" w:hAnsiTheme="majorHAnsi"/>
        </w:rPr>
        <w:t>Everfresh</w:t>
      </w:r>
      <w:proofErr w:type="spellEnd"/>
      <w:r w:rsidRPr="008E51DE">
        <w:rPr>
          <w:rFonts w:asciiTheme="majorHAnsi" w:hAnsiTheme="majorHAnsi"/>
        </w:rPr>
        <w:t xml:space="preserve">, C&amp; E </w:t>
      </w:r>
      <w:proofErr w:type="spellStart"/>
      <w:r w:rsidRPr="008E51DE">
        <w:rPr>
          <w:rFonts w:asciiTheme="majorHAnsi" w:hAnsiTheme="majorHAnsi"/>
        </w:rPr>
        <w:t>Gastro</w:t>
      </w:r>
      <w:proofErr w:type="spellEnd"/>
      <w:r w:rsidRPr="008E51DE">
        <w:rPr>
          <w:rFonts w:asciiTheme="majorHAnsi" w:hAnsiTheme="majorHAnsi"/>
        </w:rPr>
        <w:t>-</w:t>
      </w:r>
      <w:proofErr w:type="spellStart"/>
      <w:r w:rsidRPr="008E51DE">
        <w:rPr>
          <w:rFonts w:asciiTheme="majorHAnsi" w:hAnsiTheme="majorHAnsi"/>
        </w:rPr>
        <w:t>Import</w:t>
      </w:r>
      <w:proofErr w:type="spellEnd"/>
      <w:r w:rsidRPr="008E51DE">
        <w:rPr>
          <w:rFonts w:asciiTheme="majorHAnsi" w:hAnsiTheme="majorHAnsi"/>
        </w:rPr>
        <w:t xml:space="preserve"> AB,  η</w:t>
      </w:r>
      <w:r w:rsidR="008454ED">
        <w:rPr>
          <w:rFonts w:asciiTheme="majorHAnsi" w:hAnsiTheme="majorHAnsi"/>
        </w:rPr>
        <w:t xml:space="preserve"> κυπριακών συμφερόντων  </w:t>
      </w:r>
      <w:proofErr w:type="spellStart"/>
      <w:r w:rsidR="008454ED">
        <w:rPr>
          <w:rFonts w:asciiTheme="majorHAnsi" w:hAnsiTheme="majorHAnsi"/>
        </w:rPr>
        <w:t>Fontana</w:t>
      </w:r>
      <w:proofErr w:type="spellEnd"/>
      <w:r w:rsidR="008454ED">
        <w:rPr>
          <w:rFonts w:asciiTheme="majorHAnsi" w:hAnsiTheme="majorHAnsi"/>
        </w:rPr>
        <w:t xml:space="preserve">, </w:t>
      </w:r>
      <w:r w:rsidRPr="008E51DE">
        <w:rPr>
          <w:rFonts w:asciiTheme="majorHAnsi" w:hAnsiTheme="majorHAnsi"/>
        </w:rPr>
        <w:t xml:space="preserve">καθώς και η δανική </w:t>
      </w:r>
      <w:proofErr w:type="spellStart"/>
      <w:r w:rsidRPr="008E51DE">
        <w:rPr>
          <w:rFonts w:asciiTheme="majorHAnsi" w:hAnsiTheme="majorHAnsi"/>
        </w:rPr>
        <w:t>Dencon</w:t>
      </w:r>
      <w:proofErr w:type="spellEnd"/>
      <w:r w:rsidRPr="008E51DE">
        <w:rPr>
          <w:rFonts w:asciiTheme="majorHAnsi" w:hAnsiTheme="majorHAnsi"/>
        </w:rPr>
        <w:t xml:space="preserve"> </w:t>
      </w:r>
      <w:proofErr w:type="spellStart"/>
      <w:r w:rsidRPr="008E51DE">
        <w:rPr>
          <w:rFonts w:asciiTheme="majorHAnsi" w:hAnsiTheme="majorHAnsi"/>
        </w:rPr>
        <w:t>Foods</w:t>
      </w:r>
      <w:proofErr w:type="spellEnd"/>
      <w:r w:rsidRPr="008E51DE">
        <w:rPr>
          <w:rFonts w:asciiTheme="majorHAnsi" w:hAnsiTheme="majorHAnsi"/>
        </w:rPr>
        <w:t xml:space="preserve">. </w:t>
      </w:r>
    </w:p>
    <w:p w:rsidR="008E51DE" w:rsidRPr="008E51DE" w:rsidRDefault="008E51DE" w:rsidP="008E51DE">
      <w:pPr>
        <w:jc w:val="both"/>
        <w:rPr>
          <w:rFonts w:asciiTheme="majorHAnsi" w:hAnsiTheme="majorHAnsi"/>
        </w:rPr>
      </w:pPr>
      <w:r w:rsidRPr="008E51DE">
        <w:rPr>
          <w:rFonts w:asciiTheme="majorHAnsi" w:hAnsiTheme="majorHAnsi"/>
        </w:rPr>
        <w:t xml:space="preserve">Με εθνικό περίπτερο συμμετείχαν η Τυνησία, η </w:t>
      </w:r>
      <w:proofErr w:type="spellStart"/>
      <w:r w:rsidRPr="008E51DE">
        <w:rPr>
          <w:rFonts w:asciiTheme="majorHAnsi" w:hAnsiTheme="majorHAnsi"/>
        </w:rPr>
        <w:t>Ουρoυγουάη</w:t>
      </w:r>
      <w:proofErr w:type="spellEnd"/>
      <w:r w:rsidRPr="008E51DE">
        <w:rPr>
          <w:rFonts w:asciiTheme="majorHAnsi" w:hAnsiTheme="majorHAnsi"/>
        </w:rPr>
        <w:t xml:space="preserve"> και η Εσθονία. </w:t>
      </w:r>
    </w:p>
    <w:p w:rsidR="008E51DE" w:rsidRPr="008E51DE" w:rsidRDefault="008E51DE" w:rsidP="008E51DE">
      <w:pPr>
        <w:jc w:val="both"/>
        <w:rPr>
          <w:rFonts w:asciiTheme="majorHAnsi" w:hAnsiTheme="majorHAnsi"/>
        </w:rPr>
      </w:pPr>
      <w:r w:rsidRPr="008E51DE">
        <w:rPr>
          <w:rFonts w:asciiTheme="majorHAnsi" w:hAnsiTheme="majorHAnsi"/>
        </w:rPr>
        <w:t xml:space="preserve">Σύμφωνα με τα επίσημα στοιχεία της έκθεσης,  το 2016, συγκέντρωσε 20.118 επισκέπτες και το 56% των ερωτηθέντων επισκεπτών δήλωσαν ότι σκοπεύουν να επισκεφθούν την έκθεση κατά το 2018 ενώ το 4% δήλωσαν ότι υπέγραψαν παραγγελίες κατά την επίσκεψή τους. </w:t>
      </w:r>
    </w:p>
    <w:p w:rsidR="00C8253D" w:rsidRDefault="008E51DE" w:rsidP="008E51DE">
      <w:pPr>
        <w:jc w:val="both"/>
        <w:rPr>
          <w:rFonts w:asciiTheme="majorHAnsi" w:hAnsiTheme="majorHAnsi"/>
        </w:rPr>
      </w:pPr>
      <w:r w:rsidRPr="008E51DE">
        <w:rPr>
          <w:rFonts w:asciiTheme="majorHAnsi" w:hAnsiTheme="majorHAnsi"/>
        </w:rPr>
        <w:t xml:space="preserve">Το κόστος συμμετοχής για τους εκθέτες περιλαμβάνει την εγγραφή (καλύπτει γενικά έξοδα, π.χ. ψηφιακό σταντ, ασφάλιση εκθέτη, χειρισμό εμπορευμάτων </w:t>
      </w:r>
      <w:proofErr w:type="spellStart"/>
      <w:r w:rsidRPr="008E51DE">
        <w:rPr>
          <w:rFonts w:asciiTheme="majorHAnsi" w:hAnsiTheme="majorHAnsi"/>
        </w:rPr>
        <w:t>κ.λ.π</w:t>
      </w:r>
      <w:proofErr w:type="spellEnd"/>
      <w:r w:rsidRPr="008E51DE">
        <w:rPr>
          <w:rFonts w:asciiTheme="majorHAnsi" w:hAnsiTheme="majorHAnsi"/>
        </w:rPr>
        <w:t>) που ανέρχεται σε 6.290 SEK (περίπου 630 Ευρώ),  χωρίς Φ.Π.Α. και το κόστος του σταντ που ανέρχεται σε  1795 SEK/</w:t>
      </w:r>
      <w:proofErr w:type="spellStart"/>
      <w:r w:rsidRPr="008E51DE">
        <w:rPr>
          <w:rFonts w:asciiTheme="majorHAnsi" w:hAnsiTheme="majorHAnsi"/>
        </w:rPr>
        <w:t>τ.μ,</w:t>
      </w:r>
      <w:proofErr w:type="spellEnd"/>
      <w:r w:rsidRPr="008E51DE">
        <w:rPr>
          <w:rFonts w:asciiTheme="majorHAnsi" w:hAnsiTheme="majorHAnsi"/>
        </w:rPr>
        <w:t xml:space="preserve"> (περίπου 180 ευρώ/ </w:t>
      </w:r>
      <w:proofErr w:type="spellStart"/>
      <w:r w:rsidRPr="008E51DE">
        <w:rPr>
          <w:rFonts w:asciiTheme="majorHAnsi" w:hAnsiTheme="majorHAnsi"/>
        </w:rPr>
        <w:t>τ.μ</w:t>
      </w:r>
      <w:proofErr w:type="spellEnd"/>
      <w:r w:rsidRPr="008E51DE">
        <w:rPr>
          <w:rFonts w:asciiTheme="majorHAnsi" w:hAnsiTheme="majorHAnsi"/>
        </w:rPr>
        <w:t>. ), χωρίς Φ.Π.Α.</w:t>
      </w:r>
    </w:p>
    <w:p w:rsidR="006F7966" w:rsidRDefault="006F7966">
      <w:pPr>
        <w:rPr>
          <w:rFonts w:asciiTheme="majorHAnsi" w:hAnsiTheme="majorHAnsi"/>
        </w:rPr>
      </w:pPr>
    </w:p>
    <w:p w:rsidR="008E51DE" w:rsidRDefault="000A6D3C" w:rsidP="006F7966">
      <w:pPr>
        <w:autoSpaceDE w:val="0"/>
        <w:autoSpaceDN w:val="0"/>
        <w:adjustRightInd w:val="0"/>
        <w:jc w:val="both"/>
        <w:rPr>
          <w:rFonts w:asciiTheme="majorHAnsi" w:hAnsiTheme="majorHAnsi"/>
          <w:b/>
        </w:rPr>
      </w:pPr>
      <w:r>
        <w:rPr>
          <w:rFonts w:asciiTheme="majorHAnsi" w:hAnsiTheme="majorHAnsi"/>
          <w:b/>
        </w:rPr>
        <w:t>2</w:t>
      </w:r>
      <w:r w:rsidR="008E51DE">
        <w:rPr>
          <w:rFonts w:asciiTheme="majorHAnsi" w:hAnsiTheme="majorHAnsi"/>
          <w:b/>
        </w:rPr>
        <w:t xml:space="preserve">.2. Κλάδος </w:t>
      </w:r>
      <w:r w:rsidR="008454ED">
        <w:rPr>
          <w:rFonts w:asciiTheme="majorHAnsi" w:hAnsiTheme="majorHAnsi"/>
          <w:b/>
        </w:rPr>
        <w:t>Α.Π.Ε.</w:t>
      </w:r>
    </w:p>
    <w:p w:rsidR="008E51DE" w:rsidRDefault="008E51DE" w:rsidP="006F7966">
      <w:pPr>
        <w:autoSpaceDE w:val="0"/>
        <w:autoSpaceDN w:val="0"/>
        <w:adjustRightInd w:val="0"/>
        <w:jc w:val="both"/>
        <w:rPr>
          <w:rFonts w:asciiTheme="majorHAnsi" w:hAnsiTheme="majorHAnsi"/>
          <w:b/>
        </w:rPr>
      </w:pPr>
    </w:p>
    <w:p w:rsidR="006F7966" w:rsidRDefault="000A6D3C" w:rsidP="006F7966">
      <w:pPr>
        <w:autoSpaceDE w:val="0"/>
        <w:autoSpaceDN w:val="0"/>
        <w:adjustRightInd w:val="0"/>
        <w:jc w:val="both"/>
        <w:rPr>
          <w:rFonts w:asciiTheme="majorHAnsi" w:hAnsiTheme="majorHAnsi"/>
          <w:b/>
        </w:rPr>
      </w:pPr>
      <w:r>
        <w:rPr>
          <w:rFonts w:asciiTheme="majorHAnsi" w:hAnsiTheme="majorHAnsi"/>
          <w:b/>
        </w:rPr>
        <w:t>2</w:t>
      </w:r>
      <w:r w:rsidR="008E51DE">
        <w:rPr>
          <w:rFonts w:asciiTheme="majorHAnsi" w:hAnsiTheme="majorHAnsi"/>
          <w:b/>
        </w:rPr>
        <w:t xml:space="preserve">.2.1. </w:t>
      </w:r>
      <w:r w:rsidR="006F7966" w:rsidRPr="006F7966">
        <w:rPr>
          <w:rFonts w:asciiTheme="majorHAnsi" w:hAnsiTheme="majorHAnsi"/>
          <w:b/>
        </w:rPr>
        <w:t>Εγκαίνια του πρώτου αυτοκινητόδρομου με ικανότητα φόρτισης ηλεκτρικών οχημάτων στη Σουηδία.</w:t>
      </w:r>
    </w:p>
    <w:p w:rsidR="00622BF1" w:rsidRPr="006F7966" w:rsidRDefault="00622BF1" w:rsidP="006F7966">
      <w:pPr>
        <w:autoSpaceDE w:val="0"/>
        <w:autoSpaceDN w:val="0"/>
        <w:adjustRightInd w:val="0"/>
        <w:jc w:val="both"/>
        <w:rPr>
          <w:rFonts w:asciiTheme="majorHAnsi" w:hAnsiTheme="majorHAnsi"/>
          <w:b/>
        </w:rPr>
      </w:pPr>
    </w:p>
    <w:p w:rsidR="006F7966" w:rsidRPr="006F7966" w:rsidRDefault="006F7966" w:rsidP="006F7966">
      <w:pPr>
        <w:autoSpaceDE w:val="0"/>
        <w:autoSpaceDN w:val="0"/>
        <w:adjustRightInd w:val="0"/>
        <w:jc w:val="both"/>
        <w:rPr>
          <w:rFonts w:asciiTheme="majorHAnsi" w:hAnsiTheme="majorHAnsi"/>
        </w:rPr>
      </w:pPr>
      <w:r w:rsidRPr="006F7966">
        <w:rPr>
          <w:rFonts w:asciiTheme="majorHAnsi" w:hAnsiTheme="majorHAnsi"/>
        </w:rPr>
        <w:t>Εγκαινιάστηκε πρόσφατα στη Σουηδία, ο πρώτος αυτοκινητόδρομος με ικανότητα φόρτισης των ηλεκτρικών οχημάτων που κινούνται πάνω σε αυτόν.</w:t>
      </w:r>
    </w:p>
    <w:p w:rsidR="006F7966" w:rsidRPr="006F7966" w:rsidRDefault="006F7966" w:rsidP="006F7966">
      <w:pPr>
        <w:autoSpaceDE w:val="0"/>
        <w:autoSpaceDN w:val="0"/>
        <w:adjustRightInd w:val="0"/>
        <w:jc w:val="both"/>
        <w:rPr>
          <w:rFonts w:asciiTheme="majorHAnsi" w:hAnsiTheme="majorHAnsi"/>
        </w:rPr>
      </w:pPr>
      <w:r w:rsidRPr="006F7966">
        <w:rPr>
          <w:rFonts w:asciiTheme="majorHAnsi" w:hAnsiTheme="majorHAnsi"/>
        </w:rPr>
        <w:t xml:space="preserve"> Αναλυτικότερα, ο ανωτέρω αυτοκινητόδρομος έχει μήκος περίπου 2 </w:t>
      </w:r>
      <w:proofErr w:type="spellStart"/>
      <w:r w:rsidRPr="006F7966">
        <w:rPr>
          <w:rFonts w:asciiTheme="majorHAnsi" w:hAnsiTheme="majorHAnsi"/>
        </w:rPr>
        <w:t>χλμ</w:t>
      </w:r>
      <w:proofErr w:type="spellEnd"/>
      <w:r w:rsidRPr="006F7966">
        <w:rPr>
          <w:rFonts w:asciiTheme="majorHAnsi" w:hAnsiTheme="majorHAnsi"/>
        </w:rPr>
        <w:t>. και συνδέει το Διεθνές Αεροδρόμιο ‘’</w:t>
      </w:r>
      <w:proofErr w:type="spellStart"/>
      <w:r w:rsidRPr="006F7966">
        <w:rPr>
          <w:rFonts w:asciiTheme="majorHAnsi" w:hAnsiTheme="majorHAnsi"/>
        </w:rPr>
        <w:t>Arlanda</w:t>
      </w:r>
      <w:proofErr w:type="spellEnd"/>
      <w:r w:rsidRPr="006F7966">
        <w:rPr>
          <w:rFonts w:asciiTheme="majorHAnsi" w:hAnsiTheme="majorHAnsi"/>
        </w:rPr>
        <w:t>’’ της Στοκχόλμης, με τον χώρο Εφοδιασμού και Αποθήκευσης στην περιοχή ‘’</w:t>
      </w:r>
      <w:proofErr w:type="spellStart"/>
      <w:r w:rsidRPr="006F7966">
        <w:rPr>
          <w:rFonts w:asciiTheme="majorHAnsi" w:hAnsiTheme="majorHAnsi"/>
        </w:rPr>
        <w:t>Rosersberg</w:t>
      </w:r>
      <w:proofErr w:type="spellEnd"/>
      <w:r w:rsidRPr="006F7966">
        <w:rPr>
          <w:rFonts w:asciiTheme="majorHAnsi" w:hAnsiTheme="majorHAnsi"/>
        </w:rPr>
        <w:t xml:space="preserve">’’. Κατασκευαστής του έργου ήταν η Κοινοπραξία εταιρειών </w:t>
      </w:r>
      <w:proofErr w:type="spellStart"/>
      <w:r w:rsidRPr="006F7966">
        <w:rPr>
          <w:rFonts w:asciiTheme="majorHAnsi" w:hAnsiTheme="majorHAnsi"/>
        </w:rPr>
        <w:t>΄΄eRoadArlanda</w:t>
      </w:r>
      <w:proofErr w:type="spellEnd"/>
      <w:r w:rsidRPr="006F7966">
        <w:rPr>
          <w:rFonts w:asciiTheme="majorHAnsi" w:hAnsiTheme="majorHAnsi"/>
        </w:rPr>
        <w:t xml:space="preserve">’’, https://eroadarlanda.com/ , στην οποία συμμετέχουν, η βιομηχανία κατασκευής φορτηγών DAF, η </w:t>
      </w:r>
      <w:proofErr w:type="spellStart"/>
      <w:r w:rsidRPr="006F7966">
        <w:rPr>
          <w:rFonts w:asciiTheme="majorHAnsi" w:hAnsiTheme="majorHAnsi"/>
        </w:rPr>
        <w:t>Vattenfall</w:t>
      </w:r>
      <w:proofErr w:type="spellEnd"/>
      <w:r w:rsidRPr="006F7966">
        <w:rPr>
          <w:rFonts w:asciiTheme="majorHAnsi" w:hAnsiTheme="majorHAnsi"/>
        </w:rPr>
        <w:t xml:space="preserve"> , τεχνολογικές εταιρείες όπως η </w:t>
      </w:r>
      <w:proofErr w:type="spellStart"/>
      <w:r w:rsidRPr="006F7966">
        <w:rPr>
          <w:rFonts w:asciiTheme="majorHAnsi" w:hAnsiTheme="majorHAnsi"/>
        </w:rPr>
        <w:t>Elways</w:t>
      </w:r>
      <w:proofErr w:type="spellEnd"/>
      <w:r w:rsidRPr="006F7966">
        <w:rPr>
          <w:rFonts w:asciiTheme="majorHAnsi" w:hAnsiTheme="majorHAnsi"/>
        </w:rPr>
        <w:t xml:space="preserve">, η ABT </w:t>
      </w:r>
      <w:proofErr w:type="spellStart"/>
      <w:r w:rsidRPr="006F7966">
        <w:rPr>
          <w:rFonts w:asciiTheme="majorHAnsi" w:hAnsiTheme="majorHAnsi"/>
        </w:rPr>
        <w:t>Bolagen</w:t>
      </w:r>
      <w:proofErr w:type="spellEnd"/>
      <w:r w:rsidRPr="006F7966">
        <w:rPr>
          <w:rFonts w:asciiTheme="majorHAnsi" w:hAnsiTheme="majorHAnsi"/>
        </w:rPr>
        <w:t xml:space="preserve"> και η e-</w:t>
      </w:r>
      <w:proofErr w:type="spellStart"/>
      <w:r w:rsidRPr="006F7966">
        <w:rPr>
          <w:rFonts w:asciiTheme="majorHAnsi" w:hAnsiTheme="majorHAnsi"/>
        </w:rPr>
        <w:t>Traction,</w:t>
      </w:r>
      <w:proofErr w:type="spellEnd"/>
      <w:r w:rsidRPr="006F7966">
        <w:rPr>
          <w:rFonts w:asciiTheme="majorHAnsi" w:hAnsiTheme="majorHAnsi"/>
        </w:rPr>
        <w:t xml:space="preserve"> εταιρείες κτηματαγοράς όπως η NCC, Κρατικοί και Φορείς Αυτοδιοίκησης όπως η Κοινότητα της </w:t>
      </w:r>
      <w:proofErr w:type="spellStart"/>
      <w:r w:rsidRPr="006F7966">
        <w:rPr>
          <w:rFonts w:asciiTheme="majorHAnsi" w:hAnsiTheme="majorHAnsi"/>
        </w:rPr>
        <w:t>Sigtuna</w:t>
      </w:r>
      <w:proofErr w:type="spellEnd"/>
      <w:r w:rsidRPr="006F7966">
        <w:rPr>
          <w:rFonts w:asciiTheme="majorHAnsi" w:hAnsiTheme="majorHAnsi"/>
        </w:rPr>
        <w:t xml:space="preserve">,  </w:t>
      </w:r>
      <w:proofErr w:type="spellStart"/>
      <w:r w:rsidRPr="006F7966">
        <w:rPr>
          <w:rFonts w:asciiTheme="majorHAnsi" w:hAnsiTheme="majorHAnsi"/>
        </w:rPr>
        <w:t>The</w:t>
      </w:r>
      <w:proofErr w:type="spellEnd"/>
      <w:r w:rsidRPr="006F7966">
        <w:rPr>
          <w:rFonts w:asciiTheme="majorHAnsi" w:hAnsiTheme="majorHAnsi"/>
        </w:rPr>
        <w:t xml:space="preserve"> </w:t>
      </w:r>
      <w:proofErr w:type="spellStart"/>
      <w:r w:rsidRPr="006F7966">
        <w:rPr>
          <w:rFonts w:asciiTheme="majorHAnsi" w:hAnsiTheme="majorHAnsi"/>
        </w:rPr>
        <w:t>Swedish</w:t>
      </w:r>
      <w:proofErr w:type="spellEnd"/>
      <w:r w:rsidRPr="006F7966">
        <w:rPr>
          <w:rFonts w:asciiTheme="majorHAnsi" w:hAnsiTheme="majorHAnsi"/>
        </w:rPr>
        <w:t xml:space="preserve"> </w:t>
      </w:r>
      <w:proofErr w:type="spellStart"/>
      <w:r w:rsidRPr="006F7966">
        <w:rPr>
          <w:rFonts w:asciiTheme="majorHAnsi" w:hAnsiTheme="majorHAnsi"/>
        </w:rPr>
        <w:t>Road</w:t>
      </w:r>
      <w:proofErr w:type="spellEnd"/>
      <w:r w:rsidRPr="006F7966">
        <w:rPr>
          <w:rFonts w:asciiTheme="majorHAnsi" w:hAnsiTheme="majorHAnsi"/>
        </w:rPr>
        <w:t xml:space="preserve"> </w:t>
      </w:r>
      <w:proofErr w:type="spellStart"/>
      <w:r w:rsidRPr="006F7966">
        <w:rPr>
          <w:rFonts w:asciiTheme="majorHAnsi" w:hAnsiTheme="majorHAnsi"/>
        </w:rPr>
        <w:t>and</w:t>
      </w:r>
      <w:proofErr w:type="spellEnd"/>
      <w:r w:rsidRPr="006F7966">
        <w:rPr>
          <w:rFonts w:asciiTheme="majorHAnsi" w:hAnsiTheme="majorHAnsi"/>
        </w:rPr>
        <w:t xml:space="preserve"> </w:t>
      </w:r>
      <w:proofErr w:type="spellStart"/>
      <w:r w:rsidRPr="006F7966">
        <w:rPr>
          <w:rFonts w:asciiTheme="majorHAnsi" w:hAnsiTheme="majorHAnsi"/>
        </w:rPr>
        <w:t>Transport</w:t>
      </w:r>
      <w:proofErr w:type="spellEnd"/>
      <w:r w:rsidRPr="006F7966">
        <w:rPr>
          <w:rFonts w:asciiTheme="majorHAnsi" w:hAnsiTheme="majorHAnsi"/>
        </w:rPr>
        <w:t xml:space="preserve"> </w:t>
      </w:r>
      <w:proofErr w:type="spellStart"/>
      <w:r w:rsidRPr="006F7966">
        <w:rPr>
          <w:rFonts w:asciiTheme="majorHAnsi" w:hAnsiTheme="majorHAnsi"/>
        </w:rPr>
        <w:t>Research</w:t>
      </w:r>
      <w:proofErr w:type="spellEnd"/>
      <w:r w:rsidRPr="006F7966">
        <w:rPr>
          <w:rFonts w:asciiTheme="majorHAnsi" w:hAnsiTheme="majorHAnsi"/>
        </w:rPr>
        <w:t xml:space="preserve"> </w:t>
      </w:r>
      <w:proofErr w:type="spellStart"/>
      <w:r w:rsidRPr="006F7966">
        <w:rPr>
          <w:rFonts w:asciiTheme="majorHAnsi" w:hAnsiTheme="majorHAnsi"/>
        </w:rPr>
        <w:lastRenderedPageBreak/>
        <w:t>Institute</w:t>
      </w:r>
      <w:proofErr w:type="spellEnd"/>
      <w:r w:rsidRPr="006F7966">
        <w:rPr>
          <w:rFonts w:asciiTheme="majorHAnsi" w:hAnsiTheme="majorHAnsi"/>
        </w:rPr>
        <w:t xml:space="preserve"> (VTI), Πανεπιστημιακά Ιδρύματα όπως το </w:t>
      </w:r>
      <w:proofErr w:type="spellStart"/>
      <w:r w:rsidRPr="006F7966">
        <w:rPr>
          <w:rFonts w:asciiTheme="majorHAnsi" w:hAnsiTheme="majorHAnsi"/>
        </w:rPr>
        <w:t>Royal</w:t>
      </w:r>
      <w:proofErr w:type="spellEnd"/>
      <w:r w:rsidRPr="006F7966">
        <w:rPr>
          <w:rFonts w:asciiTheme="majorHAnsi" w:hAnsiTheme="majorHAnsi"/>
        </w:rPr>
        <w:t xml:space="preserve"> </w:t>
      </w:r>
      <w:proofErr w:type="spellStart"/>
      <w:r w:rsidRPr="006F7966">
        <w:rPr>
          <w:rFonts w:asciiTheme="majorHAnsi" w:hAnsiTheme="majorHAnsi"/>
        </w:rPr>
        <w:t>Institute</w:t>
      </w:r>
      <w:proofErr w:type="spellEnd"/>
      <w:r w:rsidRPr="006F7966">
        <w:rPr>
          <w:rFonts w:asciiTheme="majorHAnsi" w:hAnsiTheme="majorHAnsi"/>
        </w:rPr>
        <w:t xml:space="preserve"> </w:t>
      </w:r>
      <w:proofErr w:type="spellStart"/>
      <w:r w:rsidRPr="006F7966">
        <w:rPr>
          <w:rFonts w:asciiTheme="majorHAnsi" w:hAnsiTheme="majorHAnsi"/>
        </w:rPr>
        <w:t>of</w:t>
      </w:r>
      <w:proofErr w:type="spellEnd"/>
      <w:r w:rsidRPr="006F7966">
        <w:rPr>
          <w:rFonts w:asciiTheme="majorHAnsi" w:hAnsiTheme="majorHAnsi"/>
        </w:rPr>
        <w:t xml:space="preserve"> </w:t>
      </w:r>
      <w:proofErr w:type="spellStart"/>
      <w:r w:rsidRPr="006F7966">
        <w:rPr>
          <w:rFonts w:asciiTheme="majorHAnsi" w:hAnsiTheme="majorHAnsi"/>
        </w:rPr>
        <w:t>Technology</w:t>
      </w:r>
      <w:proofErr w:type="spellEnd"/>
      <w:r w:rsidRPr="006F7966">
        <w:rPr>
          <w:rFonts w:asciiTheme="majorHAnsi" w:hAnsiTheme="majorHAnsi"/>
        </w:rPr>
        <w:t xml:space="preserve">  (ΚΤΗ) και Ανεξάρτητες Εταιρείες όπως η </w:t>
      </w:r>
      <w:proofErr w:type="spellStart"/>
      <w:r w:rsidRPr="006F7966">
        <w:rPr>
          <w:rFonts w:asciiTheme="majorHAnsi" w:hAnsiTheme="majorHAnsi"/>
        </w:rPr>
        <w:t>Gävle</w:t>
      </w:r>
      <w:proofErr w:type="spellEnd"/>
      <w:r w:rsidRPr="006F7966">
        <w:rPr>
          <w:rFonts w:asciiTheme="majorHAnsi" w:hAnsiTheme="majorHAnsi"/>
        </w:rPr>
        <w:t xml:space="preserve"> </w:t>
      </w:r>
      <w:proofErr w:type="spellStart"/>
      <w:r w:rsidRPr="006F7966">
        <w:rPr>
          <w:rFonts w:asciiTheme="majorHAnsi" w:hAnsiTheme="majorHAnsi"/>
        </w:rPr>
        <w:t>Container</w:t>
      </w:r>
      <w:proofErr w:type="spellEnd"/>
      <w:r w:rsidRPr="006F7966">
        <w:rPr>
          <w:rFonts w:asciiTheme="majorHAnsi" w:hAnsiTheme="majorHAnsi"/>
        </w:rPr>
        <w:t xml:space="preserve"> Terminal (GCT), η </w:t>
      </w:r>
      <w:proofErr w:type="spellStart"/>
      <w:r w:rsidRPr="006F7966">
        <w:rPr>
          <w:rFonts w:asciiTheme="majorHAnsi" w:hAnsiTheme="majorHAnsi"/>
        </w:rPr>
        <w:t>PostNord</w:t>
      </w:r>
      <w:proofErr w:type="spellEnd"/>
      <w:r w:rsidRPr="006F7966">
        <w:rPr>
          <w:rFonts w:asciiTheme="majorHAnsi" w:hAnsiTheme="majorHAnsi"/>
        </w:rPr>
        <w:t xml:space="preserve">, η </w:t>
      </w:r>
      <w:proofErr w:type="spellStart"/>
      <w:r w:rsidRPr="006F7966">
        <w:rPr>
          <w:rFonts w:asciiTheme="majorHAnsi" w:hAnsiTheme="majorHAnsi"/>
        </w:rPr>
        <w:t>TrainingPartner</w:t>
      </w:r>
      <w:proofErr w:type="spellEnd"/>
      <w:r w:rsidRPr="006F7966">
        <w:rPr>
          <w:rFonts w:asciiTheme="majorHAnsi" w:hAnsiTheme="majorHAnsi"/>
        </w:rPr>
        <w:t xml:space="preserve"> και η </w:t>
      </w:r>
      <w:proofErr w:type="spellStart"/>
      <w:r w:rsidRPr="006F7966">
        <w:rPr>
          <w:rFonts w:asciiTheme="majorHAnsi" w:hAnsiTheme="majorHAnsi"/>
        </w:rPr>
        <w:t>FirstHotels</w:t>
      </w:r>
      <w:proofErr w:type="spellEnd"/>
      <w:r w:rsidRPr="006F7966">
        <w:rPr>
          <w:rFonts w:asciiTheme="majorHAnsi" w:hAnsiTheme="majorHAnsi"/>
        </w:rPr>
        <w:t>.</w:t>
      </w:r>
    </w:p>
    <w:p w:rsidR="006F7966" w:rsidRPr="006F7966" w:rsidRDefault="006F7966" w:rsidP="006F7966">
      <w:pPr>
        <w:autoSpaceDE w:val="0"/>
        <w:autoSpaceDN w:val="0"/>
        <w:adjustRightInd w:val="0"/>
        <w:jc w:val="both"/>
        <w:rPr>
          <w:rFonts w:asciiTheme="majorHAnsi" w:hAnsiTheme="majorHAnsi"/>
        </w:rPr>
      </w:pPr>
      <w:r w:rsidRPr="006F7966">
        <w:rPr>
          <w:rFonts w:asciiTheme="majorHAnsi" w:hAnsiTheme="majorHAnsi"/>
        </w:rPr>
        <w:t xml:space="preserve"> Σύμφωνα με τον κ. </w:t>
      </w:r>
      <w:proofErr w:type="spellStart"/>
      <w:r w:rsidRPr="006F7966">
        <w:rPr>
          <w:rFonts w:asciiTheme="majorHAnsi" w:hAnsiTheme="majorHAnsi"/>
        </w:rPr>
        <w:t>Hans</w:t>
      </w:r>
      <w:proofErr w:type="spellEnd"/>
      <w:r w:rsidRPr="006F7966">
        <w:rPr>
          <w:rFonts w:asciiTheme="majorHAnsi" w:hAnsiTheme="majorHAnsi"/>
        </w:rPr>
        <w:t xml:space="preserve"> </w:t>
      </w:r>
      <w:proofErr w:type="spellStart"/>
      <w:r w:rsidRPr="006F7966">
        <w:rPr>
          <w:rFonts w:asciiTheme="majorHAnsi" w:hAnsiTheme="majorHAnsi"/>
        </w:rPr>
        <w:t>Säll</w:t>
      </w:r>
      <w:proofErr w:type="spellEnd"/>
      <w:r w:rsidRPr="006F7966">
        <w:rPr>
          <w:rFonts w:asciiTheme="majorHAnsi" w:hAnsiTheme="majorHAnsi"/>
        </w:rPr>
        <w:t>, Δ/νοντα Σύμβουλο της κατασκευάστριας εταιρείας, το σύστημα λειτουργεί με τη μεταφορά ηλεκτρικής ενέργειας από μία εγκατεστημένη υπόγεια σιδηροτροχιά -πέντε με έξι εκατοστά κάτω από την επιφάνεια του δρόμου- στο όχημα που κινείται πάνω στο δρόμο, στην μπαταρία του οχήματος, μέσω ενός εύκαμπτου βραχίονα φόρτισης της μπαταρίας που διαθέτει το όχημα (φωτογραφία επισυνάπτεται).</w:t>
      </w:r>
    </w:p>
    <w:p w:rsidR="006F7966" w:rsidRPr="006F7966" w:rsidRDefault="006F7966" w:rsidP="006F7966">
      <w:pPr>
        <w:autoSpaceDE w:val="0"/>
        <w:autoSpaceDN w:val="0"/>
        <w:adjustRightInd w:val="0"/>
        <w:jc w:val="both"/>
        <w:rPr>
          <w:rFonts w:asciiTheme="majorHAnsi" w:hAnsiTheme="majorHAnsi"/>
        </w:rPr>
      </w:pPr>
      <w:r w:rsidRPr="006F7966">
        <w:rPr>
          <w:rFonts w:asciiTheme="majorHAnsi" w:hAnsiTheme="majorHAnsi"/>
        </w:rPr>
        <w:t xml:space="preserve">Με αυτόν τον τρόπο δεν υπάρχει ηλεκτρική ενέργεια πάνω στην επιφάνεια του δρόμου, ούτως ώστε ακόμα και αν πλημμυρίσει με νερό, η τάση της ηλεκτρικής ενέργειας στην επιφάνεια είναι μόλις ένα βολτ, και δεν υφίσταται κανένας κίνδυνος. </w:t>
      </w:r>
    </w:p>
    <w:p w:rsidR="006F7966" w:rsidRPr="006F7966" w:rsidRDefault="006F7966" w:rsidP="006F7966">
      <w:pPr>
        <w:autoSpaceDE w:val="0"/>
        <w:autoSpaceDN w:val="0"/>
        <w:adjustRightInd w:val="0"/>
        <w:jc w:val="both"/>
        <w:rPr>
          <w:rFonts w:asciiTheme="majorHAnsi" w:hAnsiTheme="majorHAnsi"/>
        </w:rPr>
      </w:pPr>
      <w:r w:rsidRPr="006F7966">
        <w:rPr>
          <w:rFonts w:asciiTheme="majorHAnsi" w:hAnsiTheme="majorHAnsi"/>
        </w:rPr>
        <w:t xml:space="preserve"> Παράλληλα και καθώς η Σουηδία διατηρεί περίπου 500.000 </w:t>
      </w:r>
      <w:proofErr w:type="spellStart"/>
      <w:r w:rsidRPr="006F7966">
        <w:rPr>
          <w:rFonts w:asciiTheme="majorHAnsi" w:hAnsiTheme="majorHAnsi"/>
        </w:rPr>
        <w:t>χλμ</w:t>
      </w:r>
      <w:proofErr w:type="spellEnd"/>
      <w:r w:rsidRPr="006F7966">
        <w:rPr>
          <w:rFonts w:asciiTheme="majorHAnsi" w:hAnsiTheme="majorHAnsi"/>
        </w:rPr>
        <w:t xml:space="preserve">. οδικού δικτύου -εκ των οποίων τα 20.000 είναι αυτοκινητόδρομοι υψηλής ταχύτητας-, εάν το ανωτέρω σύστημα επεκταθεί σε  5.000-20.000 </w:t>
      </w:r>
      <w:proofErr w:type="spellStart"/>
      <w:r w:rsidRPr="006F7966">
        <w:rPr>
          <w:rFonts w:asciiTheme="majorHAnsi" w:hAnsiTheme="majorHAnsi"/>
        </w:rPr>
        <w:t>χλμ</w:t>
      </w:r>
      <w:proofErr w:type="spellEnd"/>
      <w:r w:rsidRPr="006F7966">
        <w:rPr>
          <w:rFonts w:asciiTheme="majorHAnsi" w:hAnsiTheme="majorHAnsi"/>
        </w:rPr>
        <w:t>. αυτοκινητοδρόμων, τα ηλεκτρικά αυτοκίνητα θα μπορούν να ταξιδέψουν σε όλη τη χώρα χωρίς να χρειαστούν επαναφόρτιση.</w:t>
      </w:r>
    </w:p>
    <w:p w:rsidR="006F7966" w:rsidRDefault="006F7966" w:rsidP="006F7966">
      <w:pPr>
        <w:autoSpaceDE w:val="0"/>
        <w:autoSpaceDN w:val="0"/>
        <w:adjustRightInd w:val="0"/>
        <w:jc w:val="both"/>
        <w:rPr>
          <w:rFonts w:asciiTheme="majorHAnsi" w:hAnsiTheme="majorHAnsi"/>
        </w:rPr>
      </w:pPr>
      <w:r w:rsidRPr="006F7966">
        <w:rPr>
          <w:rFonts w:asciiTheme="majorHAnsi" w:hAnsiTheme="majorHAnsi"/>
        </w:rPr>
        <w:t xml:space="preserve">Σημειώνεται ότι, η Σουηδία στοχεύει να καταστεί ανεξάρτητη από τα ορυκτά καύσιμα μέχρι το 2030, 33% των συνολικών εκπομπών διοξειδίου οφείλονται στην κυκλοφορία των οχημάτων και το 1/3 εκ του 33% οφείλεται στην κυκλοφορία των φορτηγών. Κατά συνέπεια εάν τα 2/3 των φορτηγών κινούνται σε ‘’ηλεκτρικούς’’ αυτοκινητόδρομους έως το 2030, υπολογίζεται ότι η μείωση ενέργειας μπορεί να φθάσει και τα 10 </w:t>
      </w:r>
      <w:proofErr w:type="spellStart"/>
      <w:r w:rsidRPr="006F7966">
        <w:rPr>
          <w:rFonts w:asciiTheme="majorHAnsi" w:hAnsiTheme="majorHAnsi"/>
        </w:rPr>
        <w:t>TWh</w:t>
      </w:r>
      <w:proofErr w:type="spellEnd"/>
      <w:r w:rsidRPr="006F7966">
        <w:rPr>
          <w:rFonts w:asciiTheme="majorHAnsi" w:hAnsiTheme="majorHAnsi"/>
        </w:rPr>
        <w:t xml:space="preserve">, ποσότητα που αντιστοιχεί σε περίπου 3 </w:t>
      </w:r>
      <w:proofErr w:type="spellStart"/>
      <w:r w:rsidRPr="006F7966">
        <w:rPr>
          <w:rFonts w:asciiTheme="majorHAnsi" w:hAnsiTheme="majorHAnsi"/>
        </w:rPr>
        <w:t>εκ.τόνους</w:t>
      </w:r>
      <w:proofErr w:type="spellEnd"/>
      <w:r w:rsidRPr="006F7966">
        <w:rPr>
          <w:rFonts w:asciiTheme="majorHAnsi" w:hAnsiTheme="majorHAnsi"/>
        </w:rPr>
        <w:t xml:space="preserve"> καυσίμων, γεγονός που θα διευκολύνει και την σταδιακή μελλοντική κατάργηση των οχημάτων με κινητήρες εσωτερικής καύσης (υπογραμμίζεται ότι πλην Σουηδίας ανάλογα </w:t>
      </w:r>
      <w:proofErr w:type="spellStart"/>
      <w:r w:rsidRPr="006F7966">
        <w:rPr>
          <w:rFonts w:asciiTheme="majorHAnsi" w:hAnsiTheme="majorHAnsi"/>
        </w:rPr>
        <w:t>projects</w:t>
      </w:r>
      <w:proofErr w:type="spellEnd"/>
      <w:r w:rsidRPr="006F7966">
        <w:rPr>
          <w:rFonts w:asciiTheme="majorHAnsi" w:hAnsiTheme="majorHAnsi"/>
        </w:rPr>
        <w:t xml:space="preserve"> αναπτύσσει και η Γερμανία).</w:t>
      </w:r>
    </w:p>
    <w:p w:rsidR="000A6D3C" w:rsidRDefault="000A6D3C" w:rsidP="008E51DE">
      <w:pPr>
        <w:rPr>
          <w:rFonts w:asciiTheme="majorHAnsi" w:hAnsiTheme="majorHAnsi"/>
          <w:b/>
        </w:rPr>
      </w:pPr>
    </w:p>
    <w:p w:rsidR="00D606BC" w:rsidRDefault="00D606BC" w:rsidP="008E51DE">
      <w:pPr>
        <w:rPr>
          <w:rFonts w:asciiTheme="majorHAnsi" w:hAnsiTheme="majorHAnsi"/>
          <w:b/>
        </w:rPr>
      </w:pPr>
    </w:p>
    <w:p w:rsidR="00D606BC" w:rsidRDefault="00D606BC" w:rsidP="008E51DE">
      <w:pPr>
        <w:rPr>
          <w:rFonts w:asciiTheme="majorHAnsi" w:hAnsiTheme="majorHAnsi"/>
          <w:b/>
        </w:rPr>
      </w:pPr>
    </w:p>
    <w:p w:rsidR="008E51DE" w:rsidRPr="008E51DE" w:rsidRDefault="000A6D3C" w:rsidP="008E51DE">
      <w:pPr>
        <w:rPr>
          <w:rFonts w:asciiTheme="majorHAnsi" w:hAnsiTheme="majorHAnsi"/>
          <w:b/>
        </w:rPr>
      </w:pPr>
      <w:r>
        <w:rPr>
          <w:rFonts w:asciiTheme="majorHAnsi" w:hAnsiTheme="majorHAnsi"/>
          <w:b/>
        </w:rPr>
        <w:lastRenderedPageBreak/>
        <w:t>2</w:t>
      </w:r>
      <w:r w:rsidR="008E51DE" w:rsidRPr="008E51DE">
        <w:rPr>
          <w:rFonts w:asciiTheme="majorHAnsi" w:hAnsiTheme="majorHAnsi"/>
          <w:b/>
        </w:rPr>
        <w:t>.</w:t>
      </w:r>
      <w:r w:rsidR="008454ED">
        <w:rPr>
          <w:rFonts w:asciiTheme="majorHAnsi" w:hAnsiTheme="majorHAnsi"/>
          <w:b/>
        </w:rPr>
        <w:t xml:space="preserve">2.2. Επένδυση της </w:t>
      </w:r>
      <w:proofErr w:type="spellStart"/>
      <w:r w:rsidR="008454ED">
        <w:rPr>
          <w:rFonts w:asciiTheme="majorHAnsi" w:hAnsiTheme="majorHAnsi"/>
          <w:b/>
        </w:rPr>
        <w:t>NorthVolt</w:t>
      </w:r>
      <w:proofErr w:type="spellEnd"/>
      <w:r w:rsidR="008454ED">
        <w:rPr>
          <w:rFonts w:asciiTheme="majorHAnsi" w:hAnsiTheme="majorHAnsi"/>
          <w:b/>
        </w:rPr>
        <w:t xml:space="preserve"> στον κλάδο μπαταριών </w:t>
      </w:r>
      <w:proofErr w:type="spellStart"/>
      <w:r w:rsidR="008454ED">
        <w:rPr>
          <w:rFonts w:asciiTheme="majorHAnsi" w:hAnsiTheme="majorHAnsi"/>
          <w:b/>
        </w:rPr>
        <w:t>λιθίου</w:t>
      </w:r>
      <w:proofErr w:type="spellEnd"/>
      <w:r w:rsidR="008454ED">
        <w:rPr>
          <w:rFonts w:asciiTheme="majorHAnsi" w:hAnsiTheme="majorHAnsi"/>
          <w:b/>
        </w:rPr>
        <w:t>.</w:t>
      </w:r>
    </w:p>
    <w:p w:rsidR="008454ED" w:rsidRDefault="008E51DE" w:rsidP="008E51DE">
      <w:pPr>
        <w:jc w:val="both"/>
        <w:rPr>
          <w:rFonts w:asciiTheme="majorHAnsi" w:hAnsiTheme="majorHAnsi"/>
        </w:rPr>
      </w:pPr>
      <w:r w:rsidRPr="008E51DE">
        <w:rPr>
          <w:rFonts w:asciiTheme="majorHAnsi" w:hAnsiTheme="majorHAnsi"/>
        </w:rPr>
        <w:t xml:space="preserve">Το πρώτο βήμα για τη νέα μονάδα της </w:t>
      </w:r>
      <w:proofErr w:type="spellStart"/>
      <w:r w:rsidRPr="008E51DE">
        <w:rPr>
          <w:rFonts w:asciiTheme="majorHAnsi" w:hAnsiTheme="majorHAnsi"/>
        </w:rPr>
        <w:t>Northvolt</w:t>
      </w:r>
      <w:proofErr w:type="spellEnd"/>
      <w:r w:rsidRPr="008E51DE">
        <w:rPr>
          <w:rFonts w:asciiTheme="majorHAnsi" w:hAnsiTheme="majorHAnsi"/>
        </w:rPr>
        <w:t xml:space="preserve"> για παραγωγή μπαταριών ιόντων </w:t>
      </w:r>
      <w:proofErr w:type="spellStart"/>
      <w:r w:rsidRPr="008E51DE">
        <w:rPr>
          <w:rFonts w:asciiTheme="majorHAnsi" w:hAnsiTheme="majorHAnsi"/>
        </w:rPr>
        <w:t>λιθίου</w:t>
      </w:r>
      <w:proofErr w:type="spellEnd"/>
      <w:r w:rsidRPr="008E51DE">
        <w:rPr>
          <w:rFonts w:asciiTheme="majorHAnsi" w:hAnsiTheme="majorHAnsi"/>
        </w:rPr>
        <w:t xml:space="preserve"> πραγματοποιήθηκε με την επίσημη τελετή για την έναρξη της κατασκευής. </w:t>
      </w:r>
    </w:p>
    <w:p w:rsidR="008E51DE" w:rsidRPr="008E51DE" w:rsidRDefault="008454ED" w:rsidP="008E51DE">
      <w:pPr>
        <w:jc w:val="both"/>
        <w:rPr>
          <w:rFonts w:asciiTheme="majorHAnsi" w:hAnsiTheme="majorHAnsi"/>
        </w:rPr>
      </w:pPr>
      <w:r>
        <w:rPr>
          <w:rFonts w:asciiTheme="majorHAnsi" w:hAnsiTheme="majorHAnsi"/>
        </w:rPr>
        <w:t xml:space="preserve">Η μονάδα </w:t>
      </w:r>
      <w:r w:rsidR="008E51DE" w:rsidRPr="008E51DE">
        <w:rPr>
          <w:rFonts w:asciiTheme="majorHAnsi" w:hAnsiTheme="majorHAnsi"/>
        </w:rPr>
        <w:t xml:space="preserve">θα κατασκευαστεί στην πόλη </w:t>
      </w:r>
      <w:proofErr w:type="spellStart"/>
      <w:r w:rsidR="008E51DE" w:rsidRPr="008E51DE">
        <w:rPr>
          <w:rFonts w:asciiTheme="majorHAnsi" w:hAnsiTheme="majorHAnsi"/>
        </w:rPr>
        <w:t>Västerås</w:t>
      </w:r>
      <w:proofErr w:type="spellEnd"/>
      <w:r w:rsidR="008E51DE" w:rsidRPr="008E51DE">
        <w:rPr>
          <w:rFonts w:asciiTheme="majorHAnsi" w:hAnsiTheme="majorHAnsi"/>
        </w:rPr>
        <w:t>, περίπου 100 χιλιόμετρα δυτικά της Στοκχό</w:t>
      </w:r>
      <w:r>
        <w:rPr>
          <w:rFonts w:asciiTheme="majorHAnsi" w:hAnsiTheme="majorHAnsi"/>
        </w:rPr>
        <w:t xml:space="preserve">λμης και θα λειτουργήσει σαν Κέντρο Έρευνας </w:t>
      </w:r>
      <w:r w:rsidR="008E51DE" w:rsidRPr="008E51DE">
        <w:rPr>
          <w:rFonts w:asciiTheme="majorHAnsi" w:hAnsiTheme="majorHAnsi"/>
        </w:rPr>
        <w:t>και Ανάπτυξη</w:t>
      </w:r>
      <w:r>
        <w:rPr>
          <w:rFonts w:asciiTheme="majorHAnsi" w:hAnsiTheme="majorHAnsi"/>
        </w:rPr>
        <w:t>ς στον τομέα της ηλεκτροκίνησης.</w:t>
      </w:r>
    </w:p>
    <w:p w:rsidR="008454ED" w:rsidRDefault="008E51DE" w:rsidP="008E51DE">
      <w:pPr>
        <w:jc w:val="both"/>
        <w:rPr>
          <w:rFonts w:asciiTheme="majorHAnsi" w:hAnsiTheme="majorHAnsi"/>
        </w:rPr>
      </w:pPr>
      <w:r w:rsidRPr="008E51DE">
        <w:rPr>
          <w:rFonts w:asciiTheme="majorHAnsi" w:hAnsiTheme="majorHAnsi"/>
        </w:rPr>
        <w:t xml:space="preserve">Στόχος της Σουηδίας, σύμφωνα με το </w:t>
      </w:r>
      <w:proofErr w:type="spellStart"/>
      <w:r w:rsidRPr="008E51DE">
        <w:rPr>
          <w:rFonts w:asciiTheme="majorHAnsi" w:hAnsiTheme="majorHAnsi"/>
        </w:rPr>
        <w:t>Business</w:t>
      </w:r>
      <w:proofErr w:type="spellEnd"/>
      <w:r w:rsidRPr="008E51DE">
        <w:rPr>
          <w:rFonts w:asciiTheme="majorHAnsi" w:hAnsiTheme="majorHAnsi"/>
        </w:rPr>
        <w:t xml:space="preserve"> </w:t>
      </w:r>
      <w:proofErr w:type="spellStart"/>
      <w:r w:rsidRPr="008E51DE">
        <w:rPr>
          <w:rFonts w:asciiTheme="majorHAnsi" w:hAnsiTheme="majorHAnsi"/>
        </w:rPr>
        <w:t>Swed</w:t>
      </w:r>
      <w:r w:rsidR="008454ED">
        <w:rPr>
          <w:rFonts w:asciiTheme="majorHAnsi" w:hAnsiTheme="majorHAnsi"/>
        </w:rPr>
        <w:t>en</w:t>
      </w:r>
      <w:proofErr w:type="spellEnd"/>
      <w:r w:rsidR="008454ED">
        <w:rPr>
          <w:rFonts w:asciiTheme="majorHAnsi" w:hAnsiTheme="majorHAnsi"/>
        </w:rPr>
        <w:t xml:space="preserve"> είναι να αποτελέσει η χώρα</w:t>
      </w:r>
      <w:r w:rsidRPr="008E51DE">
        <w:rPr>
          <w:rFonts w:asciiTheme="majorHAnsi" w:hAnsiTheme="majorHAnsi"/>
        </w:rPr>
        <w:t xml:space="preserve"> ένα παγκόσμιο κέντρο για την </w:t>
      </w:r>
      <w:r w:rsidR="008454ED">
        <w:rPr>
          <w:rFonts w:asciiTheme="majorHAnsi" w:hAnsiTheme="majorHAnsi"/>
        </w:rPr>
        <w:t xml:space="preserve">ανάπτυξη της </w:t>
      </w:r>
      <w:r w:rsidRPr="008E51DE">
        <w:rPr>
          <w:rFonts w:asciiTheme="majorHAnsi" w:hAnsiTheme="majorHAnsi"/>
        </w:rPr>
        <w:t xml:space="preserve">ηλεκτροκίνησης. </w:t>
      </w:r>
    </w:p>
    <w:p w:rsidR="008E51DE" w:rsidRPr="008E51DE" w:rsidRDefault="008E51DE" w:rsidP="008E51DE">
      <w:pPr>
        <w:jc w:val="both"/>
        <w:rPr>
          <w:rFonts w:asciiTheme="majorHAnsi" w:hAnsiTheme="majorHAnsi"/>
        </w:rPr>
      </w:pPr>
      <w:r w:rsidRPr="008E51DE">
        <w:rPr>
          <w:rFonts w:asciiTheme="majorHAnsi" w:hAnsiTheme="majorHAnsi"/>
        </w:rPr>
        <w:t>"Η Σουηδία έχει μοναδική θέση να δημιουργήσει μεγάλης κλίμακας παραγωγή μπαταριών και να υποστηρίξει τη μετάβαση της Ευρώπης στις ανανεώσιμες πηγές ενέργειας με την καθαρή και προσιτή ενέργειά της, την εγγύτητά της με τις πρώτες ύλες και την ισχυρή βιομηχανική παράδοση που βρ</w:t>
      </w:r>
      <w:r w:rsidR="008454ED">
        <w:rPr>
          <w:rFonts w:asciiTheme="majorHAnsi" w:hAnsiTheme="majorHAnsi"/>
        </w:rPr>
        <w:t>ίσκεται βαθιά στο DNA της", υποστήριξε</w:t>
      </w:r>
      <w:r w:rsidRPr="008E51DE">
        <w:rPr>
          <w:rFonts w:asciiTheme="majorHAnsi" w:hAnsiTheme="majorHAnsi"/>
        </w:rPr>
        <w:t xml:space="preserve"> ο </w:t>
      </w:r>
      <w:proofErr w:type="spellStart"/>
      <w:r w:rsidR="008454ED">
        <w:rPr>
          <w:rFonts w:asciiTheme="majorHAnsi" w:hAnsiTheme="majorHAnsi"/>
        </w:rPr>
        <w:t>κ.</w:t>
      </w:r>
      <w:r w:rsidRPr="008E51DE">
        <w:rPr>
          <w:rFonts w:asciiTheme="majorHAnsi" w:hAnsiTheme="majorHAnsi"/>
        </w:rPr>
        <w:t>Jesper</w:t>
      </w:r>
      <w:proofErr w:type="spellEnd"/>
      <w:r w:rsidRPr="008E51DE">
        <w:rPr>
          <w:rFonts w:asciiTheme="majorHAnsi" w:hAnsiTheme="majorHAnsi"/>
        </w:rPr>
        <w:t xml:space="preserve"> </w:t>
      </w:r>
      <w:proofErr w:type="spellStart"/>
      <w:r w:rsidRPr="008E51DE">
        <w:rPr>
          <w:rFonts w:asciiTheme="majorHAnsi" w:hAnsiTheme="majorHAnsi"/>
        </w:rPr>
        <w:t>Wigardt</w:t>
      </w:r>
      <w:proofErr w:type="spellEnd"/>
      <w:r w:rsidRPr="008E51DE">
        <w:rPr>
          <w:rFonts w:asciiTheme="majorHAnsi" w:hAnsiTheme="majorHAnsi"/>
        </w:rPr>
        <w:t xml:space="preserve">, Διευθυντής Επικοινωνίας της </w:t>
      </w:r>
      <w:proofErr w:type="spellStart"/>
      <w:r w:rsidRPr="008E51DE">
        <w:rPr>
          <w:rFonts w:asciiTheme="majorHAnsi" w:hAnsiTheme="majorHAnsi"/>
        </w:rPr>
        <w:t>Northvolt</w:t>
      </w:r>
      <w:proofErr w:type="spellEnd"/>
      <w:r w:rsidRPr="008E51DE">
        <w:rPr>
          <w:rFonts w:asciiTheme="majorHAnsi" w:hAnsiTheme="majorHAnsi"/>
        </w:rPr>
        <w:t xml:space="preserve">. </w:t>
      </w:r>
    </w:p>
    <w:p w:rsidR="008E51DE" w:rsidRPr="008E51DE" w:rsidRDefault="008E51DE" w:rsidP="008E51DE">
      <w:pPr>
        <w:jc w:val="both"/>
        <w:rPr>
          <w:rFonts w:asciiTheme="majorHAnsi" w:hAnsiTheme="majorHAnsi"/>
        </w:rPr>
      </w:pPr>
      <w:r w:rsidRPr="008E51DE">
        <w:rPr>
          <w:rFonts w:asciiTheme="majorHAnsi" w:hAnsiTheme="majorHAnsi"/>
        </w:rPr>
        <w:t xml:space="preserve">Η μονάδα της </w:t>
      </w:r>
      <w:proofErr w:type="spellStart"/>
      <w:r w:rsidRPr="008E51DE">
        <w:rPr>
          <w:rFonts w:asciiTheme="majorHAnsi" w:hAnsiTheme="majorHAnsi"/>
        </w:rPr>
        <w:t>Northvolt</w:t>
      </w:r>
      <w:proofErr w:type="spellEnd"/>
      <w:r w:rsidRPr="008E51DE">
        <w:rPr>
          <w:rFonts w:asciiTheme="majorHAnsi" w:hAnsiTheme="majorHAnsi"/>
        </w:rPr>
        <w:t xml:space="preserve"> θα χρησιμεύσει ως παγκόσμιο ερευνητικό κέντρο για λύσεις αποθήκευσης ενέργειας,  αναμένεται να απασχολήσει 300-400 άτομα και να υποστηρίξει τα σχέδια της εταιρείας να εγκαταστήσει </w:t>
      </w:r>
      <w:r w:rsidR="008454ED">
        <w:rPr>
          <w:rFonts w:asciiTheme="majorHAnsi" w:hAnsiTheme="majorHAnsi"/>
        </w:rPr>
        <w:t xml:space="preserve">και </w:t>
      </w:r>
      <w:r w:rsidRPr="008E51DE">
        <w:rPr>
          <w:rFonts w:asciiTheme="majorHAnsi" w:hAnsiTheme="majorHAnsi"/>
        </w:rPr>
        <w:t xml:space="preserve">εργοστάσιο μπαταριών </w:t>
      </w:r>
      <w:proofErr w:type="spellStart"/>
      <w:r w:rsidRPr="008E51DE">
        <w:rPr>
          <w:rFonts w:asciiTheme="majorHAnsi" w:hAnsiTheme="majorHAnsi"/>
        </w:rPr>
        <w:t>λιθίου</w:t>
      </w:r>
      <w:proofErr w:type="spellEnd"/>
      <w:r w:rsidRPr="008E51DE">
        <w:rPr>
          <w:rFonts w:asciiTheme="majorHAnsi" w:hAnsiTheme="majorHAnsi"/>
        </w:rPr>
        <w:t xml:space="preserve">-ιόντων ύψους 3,8 δισεκατομμυρίων ευρώ, βορειότερα στο </w:t>
      </w:r>
      <w:proofErr w:type="spellStart"/>
      <w:r w:rsidRPr="008E51DE">
        <w:rPr>
          <w:rFonts w:asciiTheme="majorHAnsi" w:hAnsiTheme="majorHAnsi"/>
        </w:rPr>
        <w:t>Skellefteå</w:t>
      </w:r>
      <w:proofErr w:type="spellEnd"/>
      <w:r w:rsidRPr="008E51DE">
        <w:rPr>
          <w:rFonts w:asciiTheme="majorHAnsi" w:hAnsiTheme="majorHAnsi"/>
        </w:rPr>
        <w:t>, το οποίο θα ανοίξει το 2020.</w:t>
      </w:r>
    </w:p>
    <w:p w:rsidR="008E51DE" w:rsidRDefault="008E51DE" w:rsidP="008E51DE">
      <w:pPr>
        <w:jc w:val="both"/>
        <w:rPr>
          <w:rFonts w:asciiTheme="majorHAnsi" w:hAnsiTheme="majorHAnsi"/>
        </w:rPr>
      </w:pPr>
    </w:p>
    <w:p w:rsidR="008E51DE" w:rsidRPr="008E51DE" w:rsidRDefault="008E51DE" w:rsidP="008E51DE">
      <w:pPr>
        <w:jc w:val="both"/>
        <w:rPr>
          <w:rFonts w:asciiTheme="majorHAnsi" w:hAnsiTheme="majorHAnsi"/>
          <w:b/>
        </w:rPr>
      </w:pPr>
      <w:r w:rsidRPr="008E51DE">
        <w:rPr>
          <w:rFonts w:asciiTheme="majorHAnsi" w:hAnsiTheme="majorHAnsi"/>
          <w:b/>
        </w:rPr>
        <w:t xml:space="preserve">3.2.3. Επένδυση καναδικής </w:t>
      </w:r>
      <w:proofErr w:type="spellStart"/>
      <w:r w:rsidRPr="008E51DE">
        <w:rPr>
          <w:rFonts w:asciiTheme="majorHAnsi" w:hAnsiTheme="majorHAnsi"/>
          <w:b/>
        </w:rPr>
        <w:t>Leading</w:t>
      </w:r>
      <w:proofErr w:type="spellEnd"/>
      <w:r w:rsidRPr="008E51DE">
        <w:rPr>
          <w:rFonts w:asciiTheme="majorHAnsi" w:hAnsiTheme="majorHAnsi"/>
          <w:b/>
        </w:rPr>
        <w:t xml:space="preserve"> </w:t>
      </w:r>
      <w:proofErr w:type="spellStart"/>
      <w:r w:rsidRPr="008E51DE">
        <w:rPr>
          <w:rFonts w:asciiTheme="majorHAnsi" w:hAnsiTheme="majorHAnsi"/>
          <w:b/>
        </w:rPr>
        <w:t>Edge</w:t>
      </w:r>
      <w:proofErr w:type="spellEnd"/>
      <w:r w:rsidRPr="008E51DE">
        <w:rPr>
          <w:rFonts w:asciiTheme="majorHAnsi" w:hAnsiTheme="majorHAnsi"/>
          <w:b/>
        </w:rPr>
        <w:t xml:space="preserve"> </w:t>
      </w:r>
      <w:proofErr w:type="spellStart"/>
      <w:r w:rsidRPr="008E51DE">
        <w:rPr>
          <w:rFonts w:asciiTheme="majorHAnsi" w:hAnsiTheme="majorHAnsi"/>
          <w:b/>
        </w:rPr>
        <w:t>Materials</w:t>
      </w:r>
      <w:proofErr w:type="spellEnd"/>
      <w:r w:rsidRPr="008E51DE">
        <w:rPr>
          <w:rFonts w:asciiTheme="majorHAnsi" w:hAnsiTheme="majorHAnsi"/>
          <w:b/>
        </w:rPr>
        <w:t xml:space="preserve"> </w:t>
      </w:r>
      <w:proofErr w:type="spellStart"/>
      <w:r w:rsidRPr="008E51DE">
        <w:rPr>
          <w:rFonts w:asciiTheme="majorHAnsi" w:hAnsiTheme="majorHAnsi"/>
          <w:b/>
        </w:rPr>
        <w:t>Corp</w:t>
      </w:r>
      <w:proofErr w:type="spellEnd"/>
      <w:r w:rsidRPr="008E51DE">
        <w:rPr>
          <w:rFonts w:asciiTheme="majorHAnsi" w:hAnsiTheme="majorHAnsi"/>
          <w:b/>
        </w:rPr>
        <w:t xml:space="preserve">. σε σουηδική βιομηχανία εξόρυξης  </w:t>
      </w:r>
    </w:p>
    <w:p w:rsidR="008E51DE" w:rsidRPr="008E51DE" w:rsidRDefault="008E51DE" w:rsidP="008E51DE">
      <w:pPr>
        <w:jc w:val="both"/>
        <w:rPr>
          <w:rFonts w:asciiTheme="majorHAnsi" w:hAnsiTheme="majorHAnsi"/>
        </w:rPr>
      </w:pPr>
      <w:r w:rsidRPr="008E51DE">
        <w:rPr>
          <w:rFonts w:asciiTheme="majorHAnsi" w:hAnsiTheme="majorHAnsi"/>
        </w:rPr>
        <w:t xml:space="preserve">Η καναδική εταιρεία </w:t>
      </w:r>
      <w:proofErr w:type="spellStart"/>
      <w:r w:rsidRPr="008E51DE">
        <w:rPr>
          <w:rFonts w:asciiTheme="majorHAnsi" w:hAnsiTheme="majorHAnsi"/>
        </w:rPr>
        <w:t>Leading</w:t>
      </w:r>
      <w:proofErr w:type="spellEnd"/>
      <w:r w:rsidRPr="008E51DE">
        <w:rPr>
          <w:rFonts w:asciiTheme="majorHAnsi" w:hAnsiTheme="majorHAnsi"/>
        </w:rPr>
        <w:t xml:space="preserve"> </w:t>
      </w:r>
      <w:proofErr w:type="spellStart"/>
      <w:r w:rsidRPr="008E51DE">
        <w:rPr>
          <w:rFonts w:asciiTheme="majorHAnsi" w:hAnsiTheme="majorHAnsi"/>
        </w:rPr>
        <w:t>Edge</w:t>
      </w:r>
      <w:proofErr w:type="spellEnd"/>
      <w:r w:rsidRPr="008E51DE">
        <w:rPr>
          <w:rFonts w:asciiTheme="majorHAnsi" w:hAnsiTheme="majorHAnsi"/>
        </w:rPr>
        <w:t xml:space="preserve"> </w:t>
      </w:r>
      <w:proofErr w:type="spellStart"/>
      <w:r w:rsidRPr="008E51DE">
        <w:rPr>
          <w:rFonts w:asciiTheme="majorHAnsi" w:hAnsiTheme="majorHAnsi"/>
        </w:rPr>
        <w:t>Materials</w:t>
      </w:r>
      <w:proofErr w:type="spellEnd"/>
      <w:r w:rsidRPr="008E51DE">
        <w:rPr>
          <w:rFonts w:asciiTheme="majorHAnsi" w:hAnsiTheme="majorHAnsi"/>
        </w:rPr>
        <w:t xml:space="preserve"> </w:t>
      </w:r>
      <w:proofErr w:type="spellStart"/>
      <w:r w:rsidRPr="008E51DE">
        <w:rPr>
          <w:rFonts w:asciiTheme="majorHAnsi" w:hAnsiTheme="majorHAnsi"/>
        </w:rPr>
        <w:t>Corp</w:t>
      </w:r>
      <w:proofErr w:type="spellEnd"/>
      <w:r w:rsidRPr="008E51DE">
        <w:rPr>
          <w:rFonts w:asciiTheme="majorHAnsi" w:hAnsiTheme="majorHAnsi"/>
        </w:rPr>
        <w:t xml:space="preserve">. , με έδρα το Βανκούβερ, ετοιμάζεται να δραστηριοποιηθεί στην Σουηδία, επενδύοντας στην αναβίωση ενός αδρανούς ορυχείου γραφίτη </w:t>
      </w:r>
      <w:proofErr w:type="spellStart"/>
      <w:r w:rsidRPr="008E51DE">
        <w:rPr>
          <w:rFonts w:asciiTheme="majorHAnsi" w:hAnsiTheme="majorHAnsi"/>
        </w:rPr>
        <w:t>Woxna</w:t>
      </w:r>
      <w:proofErr w:type="spellEnd"/>
      <w:r w:rsidRPr="008E51DE">
        <w:rPr>
          <w:rFonts w:asciiTheme="majorHAnsi" w:hAnsiTheme="majorHAnsi"/>
        </w:rPr>
        <w:t xml:space="preserve">, περίπου 160 μίλια (259 χιλιόμετρα) βόρεια της Στοκχόλμης, με σκοπό  την ανάπτυξη μπαταριών για ηλεκτρικά αυτοκίνητα. </w:t>
      </w:r>
    </w:p>
    <w:p w:rsidR="008E51DE" w:rsidRPr="008E51DE" w:rsidRDefault="008454ED" w:rsidP="008E51DE">
      <w:pPr>
        <w:jc w:val="both"/>
        <w:rPr>
          <w:rFonts w:asciiTheme="majorHAnsi" w:hAnsiTheme="majorHAnsi"/>
        </w:rPr>
      </w:pPr>
      <w:r>
        <w:rPr>
          <w:rFonts w:asciiTheme="majorHAnsi" w:hAnsiTheme="majorHAnsi"/>
        </w:rPr>
        <w:t xml:space="preserve">Η εξόρυξη του κοβαλτίου και </w:t>
      </w:r>
      <w:r w:rsidR="008E51DE" w:rsidRPr="008E51DE">
        <w:rPr>
          <w:rFonts w:asciiTheme="majorHAnsi" w:hAnsiTheme="majorHAnsi"/>
        </w:rPr>
        <w:t xml:space="preserve"> </w:t>
      </w:r>
      <w:proofErr w:type="spellStart"/>
      <w:r w:rsidR="008E51DE" w:rsidRPr="008E51DE">
        <w:rPr>
          <w:rFonts w:asciiTheme="majorHAnsi" w:hAnsiTheme="majorHAnsi"/>
        </w:rPr>
        <w:t>λιθίου</w:t>
      </w:r>
      <w:proofErr w:type="spellEnd"/>
      <w:r w:rsidR="008E51DE" w:rsidRPr="008E51DE">
        <w:rPr>
          <w:rFonts w:asciiTheme="majorHAnsi" w:hAnsiTheme="majorHAnsi"/>
        </w:rPr>
        <w:t xml:space="preserve"> στη Σουηδία σημείωσε άνοδο σε επίπεδα ρεκόρ τα τελευταία χρόνια. </w:t>
      </w:r>
    </w:p>
    <w:p w:rsidR="008E51DE" w:rsidRPr="008E51DE" w:rsidRDefault="008E51DE" w:rsidP="008E51DE">
      <w:pPr>
        <w:jc w:val="both"/>
        <w:rPr>
          <w:rFonts w:asciiTheme="majorHAnsi" w:hAnsiTheme="majorHAnsi"/>
        </w:rPr>
      </w:pPr>
      <w:proofErr w:type="spellStart"/>
      <w:r w:rsidRPr="008E51DE">
        <w:rPr>
          <w:rFonts w:asciiTheme="majorHAnsi" w:hAnsiTheme="majorHAnsi"/>
        </w:rPr>
        <w:t>To</w:t>
      </w:r>
      <w:proofErr w:type="spellEnd"/>
      <w:r w:rsidRPr="008E51DE">
        <w:rPr>
          <w:rFonts w:asciiTheme="majorHAnsi" w:hAnsiTheme="majorHAnsi"/>
        </w:rPr>
        <w:t xml:space="preserve"> εγχείρημα του </w:t>
      </w:r>
      <w:proofErr w:type="spellStart"/>
      <w:r w:rsidRPr="008E51DE">
        <w:rPr>
          <w:rFonts w:asciiTheme="majorHAnsi" w:hAnsiTheme="majorHAnsi"/>
        </w:rPr>
        <w:t>Leading</w:t>
      </w:r>
      <w:proofErr w:type="spellEnd"/>
      <w:r w:rsidRPr="008E51DE">
        <w:rPr>
          <w:rFonts w:asciiTheme="majorHAnsi" w:hAnsiTheme="majorHAnsi"/>
        </w:rPr>
        <w:t xml:space="preserve"> </w:t>
      </w:r>
      <w:proofErr w:type="spellStart"/>
      <w:r w:rsidRPr="008E51DE">
        <w:rPr>
          <w:rFonts w:asciiTheme="majorHAnsi" w:hAnsiTheme="majorHAnsi"/>
        </w:rPr>
        <w:t>Edge</w:t>
      </w:r>
      <w:proofErr w:type="spellEnd"/>
      <w:r w:rsidRPr="008E51DE">
        <w:rPr>
          <w:rFonts w:asciiTheme="majorHAnsi" w:hAnsiTheme="majorHAnsi"/>
        </w:rPr>
        <w:t xml:space="preserve"> στη Σουηδία εντάσσεται σε μια ευρύτερη τάση τα τελευταία χρόνια των εταιρειών </w:t>
      </w:r>
      <w:r w:rsidRPr="008E51DE">
        <w:rPr>
          <w:rFonts w:asciiTheme="majorHAnsi" w:hAnsiTheme="majorHAnsi"/>
        </w:rPr>
        <w:lastRenderedPageBreak/>
        <w:t xml:space="preserve">εξόρυξης για ευρωπαϊκές άδειες, καθώς οι αυτοκινητοβιομηχανίες αναπτύσσουν ραγδαία ηλεκτρικά μοντέλα. Η Φινλανδία, η Πορτογαλία και το Ηνωμένο Βασίλειο έχουν προσελκύσει επίσης επενδυτές. Εκτός από το γραφίτη, η εταιρεία </w:t>
      </w:r>
      <w:proofErr w:type="spellStart"/>
      <w:r w:rsidRPr="008E51DE">
        <w:rPr>
          <w:rFonts w:asciiTheme="majorHAnsi" w:hAnsiTheme="majorHAnsi"/>
        </w:rPr>
        <w:t>Leading</w:t>
      </w:r>
      <w:proofErr w:type="spellEnd"/>
      <w:r w:rsidRPr="008E51DE">
        <w:rPr>
          <w:rFonts w:asciiTheme="majorHAnsi" w:hAnsiTheme="majorHAnsi"/>
        </w:rPr>
        <w:t xml:space="preserve"> </w:t>
      </w:r>
      <w:proofErr w:type="spellStart"/>
      <w:r w:rsidRPr="008E51DE">
        <w:rPr>
          <w:rFonts w:asciiTheme="majorHAnsi" w:hAnsiTheme="majorHAnsi"/>
        </w:rPr>
        <w:t>Edge’s</w:t>
      </w:r>
      <w:proofErr w:type="spellEnd"/>
      <w:r w:rsidRPr="008E51DE">
        <w:rPr>
          <w:rFonts w:asciiTheme="majorHAnsi" w:hAnsiTheme="majorHAnsi"/>
        </w:rPr>
        <w:t xml:space="preserve"> ερευνά επίσης τα αποθέματα </w:t>
      </w:r>
      <w:proofErr w:type="spellStart"/>
      <w:r w:rsidRPr="008E51DE">
        <w:rPr>
          <w:rFonts w:asciiTheme="majorHAnsi" w:hAnsiTheme="majorHAnsi"/>
        </w:rPr>
        <w:t>λιθίου</w:t>
      </w:r>
      <w:proofErr w:type="spellEnd"/>
      <w:r w:rsidRPr="008E51DE">
        <w:rPr>
          <w:rFonts w:asciiTheme="majorHAnsi" w:hAnsiTheme="majorHAnsi"/>
        </w:rPr>
        <w:t xml:space="preserve"> κοντά στο </w:t>
      </w:r>
      <w:proofErr w:type="spellStart"/>
      <w:r w:rsidRPr="008E51DE">
        <w:rPr>
          <w:rFonts w:asciiTheme="majorHAnsi" w:hAnsiTheme="majorHAnsi"/>
        </w:rPr>
        <w:t>Woxna</w:t>
      </w:r>
      <w:proofErr w:type="spellEnd"/>
      <w:r w:rsidRPr="008E51DE">
        <w:rPr>
          <w:rFonts w:asciiTheme="majorHAnsi" w:hAnsiTheme="majorHAnsi"/>
        </w:rPr>
        <w:t xml:space="preserve"> και σχεδιάζει την έρευνα για κοβάλτιο στη γειτονική Φινλανδία.</w:t>
      </w:r>
    </w:p>
    <w:p w:rsidR="008E51DE" w:rsidRPr="008E51DE" w:rsidRDefault="008E51DE" w:rsidP="008E51DE">
      <w:pPr>
        <w:jc w:val="both"/>
        <w:rPr>
          <w:rFonts w:asciiTheme="majorHAnsi" w:hAnsiTheme="majorHAnsi"/>
        </w:rPr>
      </w:pPr>
      <w:r w:rsidRPr="008E51DE">
        <w:rPr>
          <w:rFonts w:asciiTheme="majorHAnsi" w:hAnsiTheme="majorHAnsi"/>
        </w:rPr>
        <w:t>Η εταιρεία φιλοδοξεί να αποτελέσει ένα "</w:t>
      </w:r>
      <w:proofErr w:type="spellStart"/>
      <w:r w:rsidRPr="008E51DE">
        <w:rPr>
          <w:rFonts w:asciiTheme="majorHAnsi" w:hAnsiTheme="majorHAnsi"/>
        </w:rPr>
        <w:t>one</w:t>
      </w:r>
      <w:proofErr w:type="spellEnd"/>
      <w:r w:rsidRPr="008E51DE">
        <w:rPr>
          <w:rFonts w:asciiTheme="majorHAnsi" w:hAnsiTheme="majorHAnsi"/>
        </w:rPr>
        <w:t>-</w:t>
      </w:r>
      <w:proofErr w:type="spellStart"/>
      <w:r w:rsidRPr="008E51DE">
        <w:rPr>
          <w:rFonts w:asciiTheme="majorHAnsi" w:hAnsiTheme="majorHAnsi"/>
        </w:rPr>
        <w:t>stop</w:t>
      </w:r>
      <w:proofErr w:type="spellEnd"/>
      <w:r w:rsidRPr="008E51DE">
        <w:rPr>
          <w:rFonts w:asciiTheme="majorHAnsi" w:hAnsiTheme="majorHAnsi"/>
        </w:rPr>
        <w:t xml:space="preserve"> </w:t>
      </w:r>
      <w:proofErr w:type="spellStart"/>
      <w:r w:rsidRPr="008E51DE">
        <w:rPr>
          <w:rFonts w:asciiTheme="majorHAnsi" w:hAnsiTheme="majorHAnsi"/>
        </w:rPr>
        <w:t>shop</w:t>
      </w:r>
      <w:proofErr w:type="spellEnd"/>
      <w:r w:rsidRPr="008E51DE">
        <w:rPr>
          <w:rFonts w:asciiTheme="majorHAnsi" w:hAnsiTheme="majorHAnsi"/>
        </w:rPr>
        <w:t xml:space="preserve">" για τους κατασκευαστές μπαταριών, σύμφωνα με τον </w:t>
      </w:r>
      <w:proofErr w:type="spellStart"/>
      <w:r w:rsidRPr="008E51DE">
        <w:rPr>
          <w:rFonts w:asciiTheme="majorHAnsi" w:hAnsiTheme="majorHAnsi"/>
        </w:rPr>
        <w:t>Chief</w:t>
      </w:r>
      <w:proofErr w:type="spellEnd"/>
      <w:r w:rsidRPr="008E51DE">
        <w:rPr>
          <w:rFonts w:asciiTheme="majorHAnsi" w:hAnsiTheme="majorHAnsi"/>
        </w:rPr>
        <w:t xml:space="preserve"> </w:t>
      </w:r>
      <w:proofErr w:type="spellStart"/>
      <w:r w:rsidRPr="008E51DE">
        <w:rPr>
          <w:rFonts w:asciiTheme="majorHAnsi" w:hAnsiTheme="majorHAnsi"/>
        </w:rPr>
        <w:t>Executive</w:t>
      </w:r>
      <w:proofErr w:type="spellEnd"/>
      <w:r w:rsidRPr="008E51DE">
        <w:rPr>
          <w:rFonts w:asciiTheme="majorHAnsi" w:hAnsiTheme="majorHAnsi"/>
        </w:rPr>
        <w:t xml:space="preserve"> </w:t>
      </w:r>
      <w:proofErr w:type="spellStart"/>
      <w:r w:rsidRPr="008E51DE">
        <w:rPr>
          <w:rFonts w:asciiTheme="majorHAnsi" w:hAnsiTheme="majorHAnsi"/>
        </w:rPr>
        <w:t>Officer</w:t>
      </w:r>
      <w:proofErr w:type="spellEnd"/>
      <w:r w:rsidRPr="008E51DE">
        <w:rPr>
          <w:rFonts w:asciiTheme="majorHAnsi" w:hAnsiTheme="majorHAnsi"/>
        </w:rPr>
        <w:t xml:space="preserve"> </w:t>
      </w:r>
      <w:proofErr w:type="spellStart"/>
      <w:r w:rsidRPr="008E51DE">
        <w:rPr>
          <w:rFonts w:asciiTheme="majorHAnsi" w:hAnsiTheme="majorHAnsi"/>
        </w:rPr>
        <w:t>Blair</w:t>
      </w:r>
      <w:proofErr w:type="spellEnd"/>
      <w:r w:rsidRPr="008E51DE">
        <w:rPr>
          <w:rFonts w:asciiTheme="majorHAnsi" w:hAnsiTheme="majorHAnsi"/>
        </w:rPr>
        <w:t xml:space="preserve"> </w:t>
      </w:r>
      <w:proofErr w:type="spellStart"/>
      <w:r w:rsidRPr="008E51DE">
        <w:rPr>
          <w:rFonts w:asciiTheme="majorHAnsi" w:hAnsiTheme="majorHAnsi"/>
        </w:rPr>
        <w:t>Way</w:t>
      </w:r>
      <w:proofErr w:type="spellEnd"/>
      <w:r w:rsidRPr="008E51DE">
        <w:rPr>
          <w:rFonts w:asciiTheme="majorHAnsi" w:hAnsiTheme="majorHAnsi"/>
        </w:rPr>
        <w:t xml:space="preserve">. Στόχος είναι η πώληση του γραφίτη μέχρι το 2020  σε κατασκευαστές μπαταριών όπως η </w:t>
      </w:r>
      <w:proofErr w:type="spellStart"/>
      <w:r w:rsidRPr="008E51DE">
        <w:rPr>
          <w:rFonts w:asciiTheme="majorHAnsi" w:hAnsiTheme="majorHAnsi"/>
        </w:rPr>
        <w:t>NorthVolt</w:t>
      </w:r>
      <w:proofErr w:type="spellEnd"/>
      <w:r w:rsidRPr="008E51DE">
        <w:rPr>
          <w:rFonts w:asciiTheme="majorHAnsi" w:hAnsiTheme="majorHAnsi"/>
        </w:rPr>
        <w:t xml:space="preserve"> AB, η οποία ιδρύθηκε από πρώην εκτελεστικό της </w:t>
      </w:r>
      <w:proofErr w:type="spellStart"/>
      <w:r w:rsidRPr="008E51DE">
        <w:rPr>
          <w:rFonts w:asciiTheme="majorHAnsi" w:hAnsiTheme="majorHAnsi"/>
        </w:rPr>
        <w:t>Tesla</w:t>
      </w:r>
      <w:proofErr w:type="spellEnd"/>
      <w:r w:rsidRPr="008E51DE">
        <w:rPr>
          <w:rFonts w:asciiTheme="majorHAnsi" w:hAnsiTheme="majorHAnsi"/>
        </w:rPr>
        <w:t xml:space="preserve"> </w:t>
      </w:r>
      <w:proofErr w:type="spellStart"/>
      <w:r w:rsidRPr="008E51DE">
        <w:rPr>
          <w:rFonts w:asciiTheme="majorHAnsi" w:hAnsiTheme="majorHAnsi"/>
        </w:rPr>
        <w:t>Inc</w:t>
      </w:r>
      <w:proofErr w:type="spellEnd"/>
      <w:r w:rsidRPr="008E51DE">
        <w:rPr>
          <w:rFonts w:asciiTheme="majorHAnsi" w:hAnsiTheme="majorHAnsi"/>
        </w:rPr>
        <w:t>. και σχεδιάζει να ξεκινήσει μεγάλης κλίμακας παραγωγή στη Σουηδία. Η εταιρεία βρίσκεται επίσης σε συνομιλίες με κατασκευαστές αυτοκινήτων όπως η BMW AG.</w:t>
      </w:r>
    </w:p>
    <w:p w:rsidR="008E51DE" w:rsidRPr="00047FA3" w:rsidRDefault="008E51DE" w:rsidP="008E51DE">
      <w:pPr>
        <w:jc w:val="both"/>
        <w:rPr>
          <w:rFonts w:asciiTheme="majorHAnsi" w:hAnsiTheme="majorHAnsi"/>
        </w:rPr>
      </w:pPr>
      <w:r w:rsidRPr="008E51DE">
        <w:rPr>
          <w:rFonts w:asciiTheme="majorHAnsi" w:hAnsiTheme="majorHAnsi"/>
        </w:rPr>
        <w:t xml:space="preserve">Μια βιώσιμη στροφή προς τα ηλεκτρικά αυτοκίνητα θα ήταν η μεγαλύτερη επανάσταση στην αυτοκινητοβιομηχανία από την εφεύρεση της μηχανής εσωτερικής καύσης. Ο αριθμός των οχημάτων που κινούνται με μπαταρία αναμένεται να ανέλθει σε 530 εκατομμύρια μέχρι το 2040, από περίπου 3 εκατομμύρια σήμερα, ενώ οι τιμές για βασικά υλικά μπαταρίας έχουν αυξηθεί. Το κοβάλτιο τριπλασιάστηκε τους τελευταίους 18 μήνες, ενώ το </w:t>
      </w:r>
      <w:proofErr w:type="spellStart"/>
      <w:r w:rsidRPr="008E51DE">
        <w:rPr>
          <w:rFonts w:asciiTheme="majorHAnsi" w:hAnsiTheme="majorHAnsi"/>
        </w:rPr>
        <w:t>λίθιο</w:t>
      </w:r>
      <w:proofErr w:type="spellEnd"/>
      <w:r w:rsidRPr="008E51DE">
        <w:rPr>
          <w:rFonts w:asciiTheme="majorHAnsi" w:hAnsiTheme="majorHAnsi"/>
        </w:rPr>
        <w:t xml:space="preserve"> αυξήθηκε κατά περίπου το ένα τρίτο.</w:t>
      </w:r>
    </w:p>
    <w:sectPr w:rsidR="008E51DE" w:rsidRPr="00047FA3" w:rsidSect="000A6D3C">
      <w:type w:val="continuous"/>
      <w:pgSz w:w="11906" w:h="16838"/>
      <w:pgMar w:top="851" w:right="1274" w:bottom="1134" w:left="993" w:header="709" w:footer="709" w:gutter="0"/>
      <w:cols w:num="2" w:space="233" w:equalWidth="0">
        <w:col w:w="4677" w:space="426"/>
        <w:col w:w="453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89D" w:rsidRDefault="00FF589D" w:rsidP="0099792F">
      <w:r>
        <w:separator/>
      </w:r>
    </w:p>
  </w:endnote>
  <w:endnote w:type="continuationSeparator" w:id="0">
    <w:p w:rsidR="00FF589D" w:rsidRDefault="00FF589D" w:rsidP="00997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A3" w:rsidRDefault="00900EE3">
    <w:pPr>
      <w:pStyle w:val="Footer"/>
      <w:framePr w:wrap="around" w:vAnchor="text" w:hAnchor="margin" w:xAlign="right" w:y="1"/>
      <w:rPr>
        <w:rStyle w:val="PageNumber"/>
      </w:rPr>
    </w:pPr>
    <w:r>
      <w:rPr>
        <w:rStyle w:val="PageNumber"/>
      </w:rPr>
      <w:fldChar w:fldCharType="begin"/>
    </w:r>
    <w:r w:rsidR="00047FA3">
      <w:rPr>
        <w:rStyle w:val="PageNumber"/>
      </w:rPr>
      <w:instrText xml:space="preserve">PAGE  </w:instrText>
    </w:r>
    <w:r>
      <w:rPr>
        <w:rStyle w:val="PageNumber"/>
      </w:rPr>
      <w:fldChar w:fldCharType="separate"/>
    </w:r>
    <w:r w:rsidR="00814590">
      <w:rPr>
        <w:rStyle w:val="PageNumber"/>
        <w:noProof/>
      </w:rPr>
      <w:t>4</w:t>
    </w:r>
    <w:r>
      <w:rPr>
        <w:rStyle w:val="PageNumber"/>
      </w:rPr>
      <w:fldChar w:fldCharType="end"/>
    </w:r>
  </w:p>
  <w:p w:rsidR="00047FA3" w:rsidRDefault="00047F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A3" w:rsidRPr="0044284B" w:rsidRDefault="00900EE3">
    <w:pPr>
      <w:pStyle w:val="Footer"/>
      <w:framePr w:wrap="around" w:vAnchor="text" w:hAnchor="margin" w:xAlign="right" w:y="1"/>
      <w:rPr>
        <w:rStyle w:val="PageNumber"/>
        <w:rFonts w:ascii="Arial Narrow" w:hAnsi="Arial Narrow"/>
        <w:sz w:val="20"/>
        <w:szCs w:val="20"/>
      </w:rPr>
    </w:pPr>
    <w:r w:rsidRPr="0044284B">
      <w:rPr>
        <w:rStyle w:val="PageNumber"/>
        <w:rFonts w:ascii="Arial Narrow" w:hAnsi="Arial Narrow"/>
        <w:sz w:val="20"/>
        <w:szCs w:val="20"/>
      </w:rPr>
      <w:fldChar w:fldCharType="begin"/>
    </w:r>
    <w:r w:rsidR="00047FA3" w:rsidRPr="0044284B">
      <w:rPr>
        <w:rStyle w:val="PageNumber"/>
        <w:rFonts w:ascii="Arial Narrow" w:hAnsi="Arial Narrow"/>
        <w:sz w:val="20"/>
        <w:szCs w:val="20"/>
      </w:rPr>
      <w:instrText xml:space="preserve">PAGE  </w:instrText>
    </w:r>
    <w:r w:rsidRPr="0044284B">
      <w:rPr>
        <w:rStyle w:val="PageNumber"/>
        <w:rFonts w:ascii="Arial Narrow" w:hAnsi="Arial Narrow"/>
        <w:sz w:val="20"/>
        <w:szCs w:val="20"/>
      </w:rPr>
      <w:fldChar w:fldCharType="separate"/>
    </w:r>
    <w:r w:rsidR="00D606BC">
      <w:rPr>
        <w:rStyle w:val="PageNumber"/>
        <w:rFonts w:ascii="Arial Narrow" w:hAnsi="Arial Narrow"/>
        <w:noProof/>
        <w:sz w:val="20"/>
        <w:szCs w:val="20"/>
      </w:rPr>
      <w:t>1</w:t>
    </w:r>
    <w:r w:rsidRPr="0044284B">
      <w:rPr>
        <w:rStyle w:val="PageNumber"/>
        <w:rFonts w:ascii="Arial Narrow" w:hAnsi="Arial Narrow"/>
        <w:sz w:val="20"/>
        <w:szCs w:val="20"/>
      </w:rPr>
      <w:fldChar w:fldCharType="end"/>
    </w:r>
  </w:p>
  <w:p w:rsidR="00047FA3" w:rsidRPr="0044284B" w:rsidRDefault="00047FA3">
    <w:pPr>
      <w:pStyle w:val="Footer"/>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89D" w:rsidRDefault="00FF589D" w:rsidP="0099792F">
      <w:r>
        <w:separator/>
      </w:r>
    </w:p>
  </w:footnote>
  <w:footnote w:type="continuationSeparator" w:id="0">
    <w:p w:rsidR="00FF589D" w:rsidRDefault="00FF589D" w:rsidP="00997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A10"/>
    <w:multiLevelType w:val="hybridMultilevel"/>
    <w:tmpl w:val="F30CD84A"/>
    <w:lvl w:ilvl="0" w:tplc="C030757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2BEB10AB"/>
    <w:multiLevelType w:val="multilevel"/>
    <w:tmpl w:val="3C0E4D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4093D5C"/>
    <w:multiLevelType w:val="multilevel"/>
    <w:tmpl w:val="2C38D4C8"/>
    <w:lvl w:ilvl="0">
      <w:start w:val="1"/>
      <w:numFmt w:val="decimal"/>
      <w:lvlText w:val="%1."/>
      <w:lvlJc w:val="left"/>
      <w:pPr>
        <w:ind w:left="420" w:hanging="420"/>
      </w:pPr>
      <w:rPr>
        <w:rFonts w:hint="default"/>
      </w:rPr>
    </w:lvl>
    <w:lvl w:ilvl="1">
      <w:start w:val="1"/>
      <w:numFmt w:val="decimal"/>
      <w:lvlText w:val="%1.%2."/>
      <w:lvlJc w:val="left"/>
      <w:pPr>
        <w:ind w:left="242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1D95E3C"/>
    <w:multiLevelType w:val="multilevel"/>
    <w:tmpl w:val="F064D9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37EA"/>
    <w:rsid w:val="00020EAF"/>
    <w:rsid w:val="00032557"/>
    <w:rsid w:val="00047FA3"/>
    <w:rsid w:val="000A6D3C"/>
    <w:rsid w:val="001416B8"/>
    <w:rsid w:val="00160062"/>
    <w:rsid w:val="001611D1"/>
    <w:rsid w:val="00170E79"/>
    <w:rsid w:val="001A123D"/>
    <w:rsid w:val="001C6DB9"/>
    <w:rsid w:val="001E37E0"/>
    <w:rsid w:val="001F48A1"/>
    <w:rsid w:val="0027221C"/>
    <w:rsid w:val="002D3025"/>
    <w:rsid w:val="002E3997"/>
    <w:rsid w:val="003148BC"/>
    <w:rsid w:val="00324720"/>
    <w:rsid w:val="003B24FA"/>
    <w:rsid w:val="00402FC9"/>
    <w:rsid w:val="00436605"/>
    <w:rsid w:val="00463472"/>
    <w:rsid w:val="0049192E"/>
    <w:rsid w:val="004A1B60"/>
    <w:rsid w:val="004A37B5"/>
    <w:rsid w:val="004B161B"/>
    <w:rsid w:val="004C0384"/>
    <w:rsid w:val="004F1BAD"/>
    <w:rsid w:val="005369C2"/>
    <w:rsid w:val="005505EF"/>
    <w:rsid w:val="00550E55"/>
    <w:rsid w:val="005B5327"/>
    <w:rsid w:val="0060431C"/>
    <w:rsid w:val="00622BF1"/>
    <w:rsid w:val="0066229E"/>
    <w:rsid w:val="00665AEE"/>
    <w:rsid w:val="006F7966"/>
    <w:rsid w:val="00702460"/>
    <w:rsid w:val="00755CCC"/>
    <w:rsid w:val="00757D34"/>
    <w:rsid w:val="00770B15"/>
    <w:rsid w:val="007F3EF8"/>
    <w:rsid w:val="00811304"/>
    <w:rsid w:val="00814590"/>
    <w:rsid w:val="00833438"/>
    <w:rsid w:val="008454ED"/>
    <w:rsid w:val="00861BCB"/>
    <w:rsid w:val="00863C42"/>
    <w:rsid w:val="0089190D"/>
    <w:rsid w:val="008D7862"/>
    <w:rsid w:val="008E51DE"/>
    <w:rsid w:val="00900EE3"/>
    <w:rsid w:val="00917C9E"/>
    <w:rsid w:val="009301A6"/>
    <w:rsid w:val="0093597D"/>
    <w:rsid w:val="00964741"/>
    <w:rsid w:val="00965420"/>
    <w:rsid w:val="00966347"/>
    <w:rsid w:val="00973CFB"/>
    <w:rsid w:val="009759DC"/>
    <w:rsid w:val="00981E49"/>
    <w:rsid w:val="00983AAA"/>
    <w:rsid w:val="0099792F"/>
    <w:rsid w:val="009B38D4"/>
    <w:rsid w:val="009F1C25"/>
    <w:rsid w:val="009F6E5B"/>
    <w:rsid w:val="00A01EB4"/>
    <w:rsid w:val="00A04DC8"/>
    <w:rsid w:val="00A77062"/>
    <w:rsid w:val="00AC322A"/>
    <w:rsid w:val="00AE4B22"/>
    <w:rsid w:val="00B65349"/>
    <w:rsid w:val="00B6769F"/>
    <w:rsid w:val="00B90200"/>
    <w:rsid w:val="00BC4EF3"/>
    <w:rsid w:val="00BC56F2"/>
    <w:rsid w:val="00C0169C"/>
    <w:rsid w:val="00C03B8E"/>
    <w:rsid w:val="00C36758"/>
    <w:rsid w:val="00C8253D"/>
    <w:rsid w:val="00C82638"/>
    <w:rsid w:val="00CD37EA"/>
    <w:rsid w:val="00D032BA"/>
    <w:rsid w:val="00D14407"/>
    <w:rsid w:val="00D606BC"/>
    <w:rsid w:val="00D621C8"/>
    <w:rsid w:val="00D62418"/>
    <w:rsid w:val="00DA5992"/>
    <w:rsid w:val="00DD78CE"/>
    <w:rsid w:val="00DD7D72"/>
    <w:rsid w:val="00DF0F9A"/>
    <w:rsid w:val="00E031DE"/>
    <w:rsid w:val="00E824F8"/>
    <w:rsid w:val="00E95437"/>
    <w:rsid w:val="00EC5789"/>
    <w:rsid w:val="00EC5E20"/>
    <w:rsid w:val="00F17AEF"/>
    <w:rsid w:val="00F545B5"/>
    <w:rsid w:val="00FA29DA"/>
    <w:rsid w:val="00FA335E"/>
    <w:rsid w:val="00FD7219"/>
    <w:rsid w:val="00FF58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EA"/>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CD37EA"/>
    <w:pPr>
      <w:keepNext/>
      <w:jc w:val="center"/>
      <w:outlineLvl w:val="0"/>
    </w:pPr>
    <w:rPr>
      <w:sz w:val="32"/>
    </w:rPr>
  </w:style>
  <w:style w:type="paragraph" w:styleId="Heading2">
    <w:name w:val="heading 2"/>
    <w:basedOn w:val="Normal"/>
    <w:next w:val="Normal"/>
    <w:link w:val="Heading2Char"/>
    <w:uiPriority w:val="9"/>
    <w:unhideWhenUsed/>
    <w:qFormat/>
    <w:rsid w:val="003B24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24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D37EA"/>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7EA"/>
    <w:rPr>
      <w:rFonts w:ascii="Times New Roman" w:eastAsia="Times New Roman" w:hAnsi="Times New Roman" w:cs="Times New Roman"/>
      <w:sz w:val="32"/>
      <w:szCs w:val="24"/>
      <w:lang w:eastAsia="el-GR"/>
    </w:rPr>
  </w:style>
  <w:style w:type="character" w:customStyle="1" w:styleId="Heading4Char">
    <w:name w:val="Heading 4 Char"/>
    <w:basedOn w:val="DefaultParagraphFont"/>
    <w:link w:val="Heading4"/>
    <w:rsid w:val="00CD37EA"/>
    <w:rPr>
      <w:rFonts w:ascii="Times New Roman" w:eastAsia="Times New Roman" w:hAnsi="Times New Roman" w:cs="Times New Roman"/>
      <w:b/>
      <w:bCs/>
      <w:sz w:val="28"/>
      <w:szCs w:val="24"/>
      <w:lang w:eastAsia="el-GR"/>
    </w:rPr>
  </w:style>
  <w:style w:type="paragraph" w:styleId="Footer">
    <w:name w:val="footer"/>
    <w:basedOn w:val="Normal"/>
    <w:link w:val="FooterChar"/>
    <w:rsid w:val="00CD37EA"/>
    <w:pPr>
      <w:tabs>
        <w:tab w:val="center" w:pos="4153"/>
        <w:tab w:val="right" w:pos="8306"/>
      </w:tabs>
    </w:pPr>
  </w:style>
  <w:style w:type="character" w:customStyle="1" w:styleId="FooterChar">
    <w:name w:val="Footer Char"/>
    <w:basedOn w:val="DefaultParagraphFont"/>
    <w:link w:val="Footer"/>
    <w:rsid w:val="00CD37EA"/>
    <w:rPr>
      <w:rFonts w:ascii="Times New Roman" w:eastAsia="Times New Roman" w:hAnsi="Times New Roman" w:cs="Times New Roman"/>
      <w:sz w:val="24"/>
      <w:szCs w:val="24"/>
      <w:lang w:eastAsia="el-GR"/>
    </w:rPr>
  </w:style>
  <w:style w:type="character" w:styleId="PageNumber">
    <w:name w:val="page number"/>
    <w:basedOn w:val="DefaultParagraphFont"/>
    <w:rsid w:val="00CD37EA"/>
  </w:style>
  <w:style w:type="paragraph" w:styleId="Header">
    <w:name w:val="header"/>
    <w:basedOn w:val="Normal"/>
    <w:link w:val="HeaderChar"/>
    <w:rsid w:val="00CD37EA"/>
    <w:pPr>
      <w:tabs>
        <w:tab w:val="center" w:pos="4320"/>
        <w:tab w:val="right" w:pos="8640"/>
      </w:tabs>
    </w:pPr>
  </w:style>
  <w:style w:type="character" w:customStyle="1" w:styleId="HeaderChar">
    <w:name w:val="Header Char"/>
    <w:basedOn w:val="DefaultParagraphFont"/>
    <w:link w:val="Header"/>
    <w:rsid w:val="00CD37EA"/>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CD37EA"/>
    <w:rPr>
      <w:rFonts w:ascii="Tahoma" w:hAnsi="Tahoma" w:cs="Tahoma"/>
      <w:sz w:val="16"/>
      <w:szCs w:val="16"/>
    </w:rPr>
  </w:style>
  <w:style w:type="character" w:customStyle="1" w:styleId="BalloonTextChar">
    <w:name w:val="Balloon Text Char"/>
    <w:basedOn w:val="DefaultParagraphFont"/>
    <w:link w:val="BalloonText"/>
    <w:uiPriority w:val="99"/>
    <w:semiHidden/>
    <w:rsid w:val="00CD37EA"/>
    <w:rPr>
      <w:rFonts w:ascii="Tahoma" w:eastAsia="Times New Roman" w:hAnsi="Tahoma" w:cs="Tahoma"/>
      <w:sz w:val="16"/>
      <w:szCs w:val="16"/>
      <w:lang w:eastAsia="el-GR"/>
    </w:rPr>
  </w:style>
  <w:style w:type="character" w:styleId="Hyperlink">
    <w:name w:val="Hyperlink"/>
    <w:basedOn w:val="DefaultParagraphFont"/>
    <w:uiPriority w:val="99"/>
    <w:unhideWhenUsed/>
    <w:rsid w:val="00463472"/>
    <w:rPr>
      <w:color w:val="0000FF" w:themeColor="hyperlink"/>
      <w:u w:val="single"/>
    </w:rPr>
  </w:style>
  <w:style w:type="character" w:customStyle="1" w:styleId="Heading2Char">
    <w:name w:val="Heading 2 Char"/>
    <w:basedOn w:val="DefaultParagraphFont"/>
    <w:link w:val="Heading2"/>
    <w:uiPriority w:val="9"/>
    <w:rsid w:val="003B24FA"/>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uiPriority w:val="9"/>
    <w:rsid w:val="003B24FA"/>
    <w:rPr>
      <w:rFonts w:asciiTheme="majorHAnsi" w:eastAsiaTheme="majorEastAsia" w:hAnsiTheme="majorHAnsi" w:cstheme="majorBidi"/>
      <w:b/>
      <w:bCs/>
      <w:color w:val="4F81BD" w:themeColor="accent1"/>
      <w:sz w:val="24"/>
      <w:szCs w:val="24"/>
      <w:lang w:eastAsia="el-GR"/>
    </w:rPr>
  </w:style>
  <w:style w:type="paragraph" w:styleId="ListParagraph">
    <w:name w:val="List Paragraph"/>
    <w:basedOn w:val="Normal"/>
    <w:uiPriority w:val="34"/>
    <w:qFormat/>
    <w:rsid w:val="00C82638"/>
    <w:pPr>
      <w:ind w:left="720"/>
      <w:contextualSpacing/>
    </w:pPr>
  </w:style>
  <w:style w:type="paragraph" w:styleId="NormalWeb">
    <w:name w:val="Normal (Web)"/>
    <w:basedOn w:val="Normal"/>
    <w:uiPriority w:val="99"/>
    <w:unhideWhenUsed/>
    <w:rsid w:val="000A6D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2731</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User121</cp:lastModifiedBy>
  <cp:revision>2</cp:revision>
  <dcterms:created xsi:type="dcterms:W3CDTF">2018-05-02T11:59:00Z</dcterms:created>
  <dcterms:modified xsi:type="dcterms:W3CDTF">2018-05-02T11:59:00Z</dcterms:modified>
</cp:coreProperties>
</file>