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A6" w:rsidRPr="00D312A6" w:rsidRDefault="00D312A6" w:rsidP="00D312A6">
      <w:pPr>
        <w:spacing w:after="0" w:line="240" w:lineRule="auto"/>
        <w:jc w:val="center"/>
        <w:rPr>
          <w:rFonts w:ascii="Book Antiqua" w:eastAsia="Times New Roman" w:hAnsi="Book Antiqua" w:cs="Courier New"/>
          <w:b/>
          <w:sz w:val="25"/>
          <w:szCs w:val="25"/>
          <w:lang w:eastAsia="de-DE"/>
        </w:rPr>
      </w:pPr>
      <w:r w:rsidRPr="00D312A6">
        <w:rPr>
          <w:rFonts w:ascii="Book Antiqua" w:eastAsia="Times New Roman" w:hAnsi="Book Antiqua" w:cs="Courier New"/>
          <w:b/>
          <w:sz w:val="25"/>
          <w:szCs w:val="25"/>
          <w:lang w:eastAsia="de-DE"/>
        </w:rPr>
        <w:t>§ 6 Zusätzliche Anforderungen an die Bereitstellung von Verbraucherprodukten auf dem Markt</w:t>
      </w:r>
    </w:p>
    <w:p w:rsidR="00D312A6" w:rsidRDefault="00D312A6" w:rsidP="00D312A6">
      <w:pPr>
        <w:spacing w:after="0" w:line="240" w:lineRule="auto"/>
        <w:jc w:val="both"/>
        <w:rPr>
          <w:rFonts w:ascii="Book Antiqua" w:eastAsia="Times New Roman" w:hAnsi="Book Antiqua" w:cs="Courier New"/>
          <w:sz w:val="25"/>
          <w:szCs w:val="25"/>
          <w:lang w:eastAsia="de-DE"/>
        </w:rPr>
      </w:pPr>
    </w:p>
    <w:p w:rsidR="00D312A6" w:rsidRDefault="00D312A6" w:rsidP="00D312A6">
      <w:pPr>
        <w:spacing w:after="0" w:line="240" w:lineRule="auto"/>
        <w:jc w:val="both"/>
        <w:rPr>
          <w:rFonts w:ascii="Book Antiqua" w:eastAsia="Times New Roman" w:hAnsi="Book Antiqua" w:cs="Courier New"/>
          <w:sz w:val="25"/>
          <w:szCs w:val="25"/>
          <w:lang w:eastAsia="de-DE"/>
        </w:rPr>
      </w:pPr>
      <w:r w:rsidRPr="00D312A6">
        <w:rPr>
          <w:rFonts w:ascii="Book Antiqua" w:eastAsia="Times New Roman" w:hAnsi="Book Antiqua" w:cs="Courier New"/>
          <w:b/>
          <w:sz w:val="25"/>
          <w:szCs w:val="25"/>
          <w:lang w:eastAsia="de-DE"/>
        </w:rPr>
        <w:t>(1)</w:t>
      </w: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 xml:space="preserve"> Der Hersteller, sein Bevollmächtigter und der Einführer haben jeweils im Rahmen ihrer Geschäftstätigkeit bei</w:t>
      </w:r>
      <w:r>
        <w:rPr>
          <w:rFonts w:ascii="Book Antiqua" w:eastAsia="Times New Roman" w:hAnsi="Book Antiqua" w:cs="Courier New"/>
          <w:sz w:val="25"/>
          <w:szCs w:val="25"/>
          <w:lang w:eastAsia="de-DE"/>
        </w:rPr>
        <w:t xml:space="preserve"> </w:t>
      </w: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der Bereitstellung eines Verbraucherprodukts auf dem Markt</w:t>
      </w:r>
    </w:p>
    <w:p w:rsidR="00D312A6" w:rsidRPr="00D312A6" w:rsidRDefault="00D312A6" w:rsidP="00D312A6">
      <w:pPr>
        <w:spacing w:after="0" w:line="240" w:lineRule="auto"/>
        <w:jc w:val="both"/>
        <w:rPr>
          <w:rFonts w:ascii="Book Antiqua" w:eastAsia="Times New Roman" w:hAnsi="Book Antiqua" w:cs="Courier New"/>
          <w:sz w:val="25"/>
          <w:szCs w:val="25"/>
          <w:lang w:eastAsia="de-DE"/>
        </w:rPr>
      </w:pPr>
    </w:p>
    <w:p w:rsidR="00D312A6" w:rsidRPr="00D312A6" w:rsidRDefault="00D312A6" w:rsidP="00D312A6">
      <w:pPr>
        <w:spacing w:after="0" w:line="240" w:lineRule="auto"/>
        <w:jc w:val="both"/>
        <w:rPr>
          <w:rFonts w:ascii="Book Antiqua" w:eastAsia="Times New Roman" w:hAnsi="Book Antiqua" w:cs="Courier New"/>
          <w:sz w:val="25"/>
          <w:szCs w:val="25"/>
          <w:lang w:eastAsia="de-DE"/>
        </w:rPr>
      </w:pP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1. sicherzustellen, dass der Verwender die Informationen erhält, die er benötigt, um die Risiken, die mit</w:t>
      </w:r>
      <w:r>
        <w:rPr>
          <w:rFonts w:ascii="Book Antiqua" w:eastAsia="Times New Roman" w:hAnsi="Book Antiqua" w:cs="Courier New"/>
          <w:sz w:val="25"/>
          <w:szCs w:val="25"/>
          <w:lang w:eastAsia="de-DE"/>
        </w:rPr>
        <w:t xml:space="preserve"> </w:t>
      </w: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dem Verbraucherprodukt während der üblichen oder vernünftigerweise vorhersehbaren Gebrauchsdauer</w:t>
      </w:r>
      <w:r>
        <w:rPr>
          <w:rFonts w:ascii="Book Antiqua" w:eastAsia="Times New Roman" w:hAnsi="Book Antiqua" w:cs="Courier New"/>
          <w:sz w:val="25"/>
          <w:szCs w:val="25"/>
          <w:lang w:eastAsia="de-DE"/>
        </w:rPr>
        <w:t xml:space="preserve"> </w:t>
      </w: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verbunden sind und die ohne entsprechende Hinweise nicht unmittelbar erkennbar sind, beurteilen und sich</w:t>
      </w:r>
    </w:p>
    <w:p w:rsidR="00D312A6" w:rsidRPr="00D312A6" w:rsidRDefault="00D312A6" w:rsidP="00D312A6">
      <w:pPr>
        <w:spacing w:after="0" w:line="240" w:lineRule="auto"/>
        <w:jc w:val="both"/>
        <w:rPr>
          <w:rFonts w:ascii="Book Antiqua" w:eastAsia="Times New Roman" w:hAnsi="Book Antiqua" w:cs="Courier New"/>
          <w:sz w:val="25"/>
          <w:szCs w:val="25"/>
          <w:lang w:eastAsia="de-DE"/>
        </w:rPr>
      </w:pP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gegen sie schützen zu können,</w:t>
      </w:r>
    </w:p>
    <w:p w:rsidR="00D312A6" w:rsidRDefault="00D312A6" w:rsidP="00D312A6">
      <w:pPr>
        <w:spacing w:after="0" w:line="240" w:lineRule="auto"/>
        <w:jc w:val="both"/>
        <w:rPr>
          <w:rFonts w:ascii="Book Antiqua" w:eastAsia="Times New Roman" w:hAnsi="Book Antiqua" w:cs="Courier New"/>
          <w:sz w:val="25"/>
          <w:szCs w:val="25"/>
          <w:lang w:eastAsia="de-DE"/>
        </w:rPr>
      </w:pPr>
    </w:p>
    <w:p w:rsidR="00D312A6" w:rsidRPr="00D312A6" w:rsidRDefault="00D312A6" w:rsidP="00D312A6">
      <w:pPr>
        <w:spacing w:after="0" w:line="240" w:lineRule="auto"/>
        <w:jc w:val="both"/>
        <w:rPr>
          <w:rFonts w:ascii="Book Antiqua" w:eastAsia="Times New Roman" w:hAnsi="Book Antiqua" w:cs="Courier New"/>
          <w:b/>
          <w:sz w:val="25"/>
          <w:szCs w:val="25"/>
          <w:u w:val="single"/>
          <w:lang w:eastAsia="de-DE"/>
        </w:rPr>
      </w:pPr>
      <w:r w:rsidRPr="00D312A6">
        <w:rPr>
          <w:rFonts w:ascii="Book Antiqua" w:eastAsia="Times New Roman" w:hAnsi="Book Antiqua" w:cs="Courier New"/>
          <w:b/>
          <w:sz w:val="25"/>
          <w:szCs w:val="25"/>
          <w:u w:val="single"/>
          <w:lang w:eastAsia="de-DE"/>
        </w:rPr>
        <w:t>2. den Namen und die Kontaktanschrift des Herstellers oder, sofern dieser nicht im Europäischen Wirtschaftsraum ansässig ist, den Namen und die Kontaktanschrift des Bevollmächtigten oder des Einführers anzubringen,</w:t>
      </w:r>
    </w:p>
    <w:p w:rsidR="00D312A6" w:rsidRDefault="00D312A6" w:rsidP="00D312A6">
      <w:pPr>
        <w:spacing w:after="0" w:line="240" w:lineRule="auto"/>
        <w:jc w:val="both"/>
        <w:rPr>
          <w:rFonts w:ascii="Book Antiqua" w:eastAsia="Times New Roman" w:hAnsi="Book Antiqua" w:cs="Courier New"/>
          <w:sz w:val="25"/>
          <w:szCs w:val="25"/>
          <w:lang w:eastAsia="de-DE"/>
        </w:rPr>
      </w:pPr>
    </w:p>
    <w:p w:rsidR="00D312A6" w:rsidRPr="00D312A6" w:rsidRDefault="00D312A6" w:rsidP="00D312A6">
      <w:pPr>
        <w:spacing w:after="0" w:line="240" w:lineRule="auto"/>
        <w:jc w:val="both"/>
        <w:rPr>
          <w:rFonts w:ascii="Book Antiqua" w:eastAsia="Times New Roman" w:hAnsi="Book Antiqua" w:cs="Courier New"/>
          <w:sz w:val="25"/>
          <w:szCs w:val="25"/>
          <w:lang w:eastAsia="de-DE"/>
        </w:rPr>
      </w:pP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3. eindeutige Kennzeichnungen zur Identifikation des Verbraucherprodukts anzubringen.</w:t>
      </w:r>
    </w:p>
    <w:p w:rsidR="00D312A6" w:rsidRDefault="00D312A6" w:rsidP="00D312A6">
      <w:pPr>
        <w:spacing w:after="0" w:line="240" w:lineRule="auto"/>
        <w:jc w:val="both"/>
        <w:rPr>
          <w:rFonts w:ascii="Book Antiqua" w:eastAsia="Times New Roman" w:hAnsi="Book Antiqua" w:cs="Courier New"/>
          <w:sz w:val="25"/>
          <w:szCs w:val="25"/>
          <w:lang w:eastAsia="de-DE"/>
        </w:rPr>
      </w:pPr>
    </w:p>
    <w:p w:rsidR="00D312A6" w:rsidRPr="00D312A6" w:rsidRDefault="00D312A6" w:rsidP="00D312A6">
      <w:pPr>
        <w:spacing w:after="0" w:line="240" w:lineRule="auto"/>
        <w:jc w:val="both"/>
        <w:rPr>
          <w:rFonts w:ascii="Book Antiqua" w:eastAsia="Times New Roman" w:hAnsi="Book Antiqua" w:cs="Courier New"/>
          <w:sz w:val="25"/>
          <w:szCs w:val="25"/>
          <w:lang w:eastAsia="de-DE"/>
        </w:rPr>
      </w:pPr>
      <w:bookmarkStart w:id="0" w:name="_GoBack"/>
      <w:bookmarkEnd w:id="0"/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Die Angaben nach Satz 1 Nummer 2 und 3 sind auf dem Verbraucherprodukt oder, wenn dies nicht möglich ist,</w:t>
      </w:r>
    </w:p>
    <w:p w:rsidR="00D312A6" w:rsidRPr="00D312A6" w:rsidRDefault="00D312A6" w:rsidP="00D312A6">
      <w:pPr>
        <w:spacing w:after="0" w:line="240" w:lineRule="auto"/>
        <w:jc w:val="both"/>
        <w:rPr>
          <w:rFonts w:ascii="Book Antiqua" w:eastAsia="Times New Roman" w:hAnsi="Book Antiqua" w:cs="Courier New"/>
          <w:sz w:val="25"/>
          <w:szCs w:val="25"/>
          <w:lang w:eastAsia="de-DE"/>
        </w:rPr>
      </w:pP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auf dessen Verpackung anzubringen. Ausnahmen von den Verpflichtungen nach Satz 1 Nummer 2 und 3 sind</w:t>
      </w:r>
    </w:p>
    <w:p w:rsidR="00D312A6" w:rsidRPr="00D312A6" w:rsidRDefault="00D312A6" w:rsidP="00D312A6">
      <w:pPr>
        <w:spacing w:after="0" w:line="240" w:lineRule="auto"/>
        <w:jc w:val="both"/>
        <w:rPr>
          <w:rFonts w:ascii="Book Antiqua" w:eastAsia="Times New Roman" w:hAnsi="Book Antiqua" w:cs="Courier New"/>
          <w:sz w:val="25"/>
          <w:szCs w:val="25"/>
          <w:lang w:eastAsia="de-DE"/>
        </w:rPr>
      </w:pP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zulässig, wenn es vertretbar ist, diese Angaben wegzulassen, insbesondere weil sie dem Verwender bereits</w:t>
      </w:r>
    </w:p>
    <w:p w:rsidR="00D312A6" w:rsidRPr="00D312A6" w:rsidRDefault="00D312A6" w:rsidP="00D312A6">
      <w:pPr>
        <w:spacing w:after="0" w:line="240" w:lineRule="auto"/>
        <w:jc w:val="both"/>
        <w:rPr>
          <w:rFonts w:ascii="Book Antiqua" w:eastAsia="Times New Roman" w:hAnsi="Book Antiqua" w:cs="Courier New"/>
          <w:sz w:val="25"/>
          <w:szCs w:val="25"/>
          <w:lang w:eastAsia="de-DE"/>
        </w:rPr>
      </w:pP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bekannt sind oder weil es mit einem unverhältnismäßigen Aufwand verbunden wäre, sie anzubringen.</w:t>
      </w:r>
    </w:p>
    <w:p w:rsidR="00D312A6" w:rsidRDefault="00D312A6" w:rsidP="00D312A6">
      <w:pPr>
        <w:spacing w:after="0" w:line="240" w:lineRule="auto"/>
        <w:jc w:val="both"/>
        <w:rPr>
          <w:rFonts w:ascii="Book Antiqua" w:eastAsia="Times New Roman" w:hAnsi="Book Antiqua" w:cs="Courier New"/>
          <w:sz w:val="25"/>
          <w:szCs w:val="25"/>
          <w:lang w:eastAsia="de-DE"/>
        </w:rPr>
      </w:pPr>
    </w:p>
    <w:p w:rsidR="00D312A6" w:rsidRPr="00D312A6" w:rsidRDefault="00D312A6" w:rsidP="00D312A6">
      <w:pPr>
        <w:spacing w:after="0" w:line="240" w:lineRule="auto"/>
        <w:jc w:val="both"/>
        <w:rPr>
          <w:rFonts w:ascii="Book Antiqua" w:eastAsia="Times New Roman" w:hAnsi="Book Antiqua" w:cs="Courier New"/>
          <w:sz w:val="25"/>
          <w:szCs w:val="25"/>
          <w:lang w:eastAsia="de-DE"/>
        </w:rPr>
      </w:pPr>
      <w:r w:rsidRPr="00D312A6">
        <w:rPr>
          <w:rFonts w:ascii="Book Antiqua" w:eastAsia="Times New Roman" w:hAnsi="Book Antiqua" w:cs="Courier New"/>
          <w:b/>
          <w:sz w:val="25"/>
          <w:szCs w:val="25"/>
          <w:lang w:eastAsia="de-DE"/>
        </w:rPr>
        <w:t>(2)</w:t>
      </w: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 xml:space="preserve"> Der Hersteller, sein Bevollmächtigter und der Einführer haben jeweils im Rahmen ihrer Geschäftstätigkeit</w:t>
      </w:r>
    </w:p>
    <w:p w:rsidR="00D312A6" w:rsidRPr="00D312A6" w:rsidRDefault="00D312A6" w:rsidP="00D312A6">
      <w:pPr>
        <w:spacing w:after="0" w:line="240" w:lineRule="auto"/>
        <w:jc w:val="both"/>
        <w:rPr>
          <w:rFonts w:ascii="Book Antiqua" w:eastAsia="Times New Roman" w:hAnsi="Book Antiqua" w:cs="Courier New"/>
          <w:sz w:val="25"/>
          <w:szCs w:val="25"/>
          <w:lang w:eastAsia="de-DE"/>
        </w:rPr>
      </w:pP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Vorkehrungen für geeignete Maßnahmen zur Vermeidung von Risiken zu treffen, die mit dem</w:t>
      </w:r>
    </w:p>
    <w:p w:rsidR="00D312A6" w:rsidRPr="00D312A6" w:rsidRDefault="00D312A6" w:rsidP="00D312A6">
      <w:pPr>
        <w:spacing w:after="0" w:line="240" w:lineRule="auto"/>
        <w:jc w:val="both"/>
        <w:rPr>
          <w:rFonts w:ascii="Book Antiqua" w:eastAsia="Times New Roman" w:hAnsi="Book Antiqua" w:cs="Courier New"/>
          <w:sz w:val="25"/>
          <w:szCs w:val="25"/>
          <w:lang w:eastAsia="de-DE"/>
        </w:rPr>
      </w:pP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Verbraucherprodukt verbunden sein können, das sie auf dem Markt bereitgestellt haben; die Maßnahmen</w:t>
      </w:r>
    </w:p>
    <w:p w:rsidR="00D312A6" w:rsidRPr="00D312A6" w:rsidRDefault="00D312A6" w:rsidP="00D312A6">
      <w:pPr>
        <w:spacing w:after="0" w:line="240" w:lineRule="auto"/>
        <w:jc w:val="both"/>
        <w:rPr>
          <w:rFonts w:ascii="Book Antiqua" w:eastAsia="Times New Roman" w:hAnsi="Book Antiqua" w:cs="Courier New"/>
          <w:sz w:val="25"/>
          <w:szCs w:val="25"/>
          <w:lang w:eastAsia="de-DE"/>
        </w:rPr>
      </w:pP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müssen den Produkteigenschaften angemessen sein und reichen bis zur Rücknahme, zu angemessenen und</w:t>
      </w:r>
    </w:p>
    <w:p w:rsidR="00D312A6" w:rsidRPr="00D312A6" w:rsidRDefault="00D312A6" w:rsidP="00D312A6">
      <w:pPr>
        <w:spacing w:after="0" w:line="240" w:lineRule="auto"/>
        <w:jc w:val="both"/>
        <w:rPr>
          <w:rFonts w:ascii="Book Antiqua" w:eastAsia="Times New Roman" w:hAnsi="Book Antiqua" w:cs="Courier New"/>
          <w:sz w:val="25"/>
          <w:szCs w:val="25"/>
          <w:lang w:eastAsia="de-DE"/>
        </w:rPr>
      </w:pP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wirksamen Warnungen und zum Rückruf.</w:t>
      </w:r>
    </w:p>
    <w:p w:rsidR="00D312A6" w:rsidRDefault="00D312A6" w:rsidP="00D312A6">
      <w:pPr>
        <w:spacing w:after="0" w:line="240" w:lineRule="auto"/>
        <w:jc w:val="both"/>
        <w:rPr>
          <w:rFonts w:ascii="Book Antiqua" w:eastAsia="Times New Roman" w:hAnsi="Book Antiqua" w:cs="Courier New"/>
          <w:sz w:val="25"/>
          <w:szCs w:val="25"/>
          <w:lang w:eastAsia="de-DE"/>
        </w:rPr>
      </w:pPr>
    </w:p>
    <w:p w:rsidR="00D312A6" w:rsidRPr="00D312A6" w:rsidRDefault="00D312A6" w:rsidP="00D312A6">
      <w:pPr>
        <w:spacing w:after="0" w:line="240" w:lineRule="auto"/>
        <w:jc w:val="both"/>
        <w:rPr>
          <w:rFonts w:ascii="Book Antiqua" w:eastAsia="Times New Roman" w:hAnsi="Book Antiqua" w:cs="Courier New"/>
          <w:sz w:val="25"/>
          <w:szCs w:val="25"/>
          <w:lang w:eastAsia="de-DE"/>
        </w:rPr>
      </w:pPr>
      <w:r w:rsidRPr="00D312A6">
        <w:rPr>
          <w:rFonts w:ascii="Book Antiqua" w:eastAsia="Times New Roman" w:hAnsi="Book Antiqua" w:cs="Courier New"/>
          <w:b/>
          <w:sz w:val="25"/>
          <w:szCs w:val="25"/>
          <w:lang w:eastAsia="de-DE"/>
        </w:rPr>
        <w:t>(3)</w:t>
      </w: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 xml:space="preserve"> Der Hersteller, sein Bevollmächtigter und der Einführer haben jeweils im Rahmen ihrer Geschäftstätigkeit bei</w:t>
      </w:r>
      <w:r>
        <w:rPr>
          <w:rFonts w:ascii="Book Antiqua" w:eastAsia="Times New Roman" w:hAnsi="Book Antiqua" w:cs="Courier New"/>
          <w:sz w:val="25"/>
          <w:szCs w:val="25"/>
          <w:lang w:eastAsia="de-DE"/>
        </w:rPr>
        <w:t xml:space="preserve"> </w:t>
      </w: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den auf dem Markt bereitgestellten Verbraucherprodukten</w:t>
      </w:r>
    </w:p>
    <w:p w:rsidR="00D312A6" w:rsidRDefault="00D312A6" w:rsidP="00D312A6">
      <w:pPr>
        <w:spacing w:after="0" w:line="240" w:lineRule="auto"/>
        <w:jc w:val="both"/>
        <w:rPr>
          <w:rFonts w:ascii="Book Antiqua" w:eastAsia="Times New Roman" w:hAnsi="Book Antiqua" w:cs="Courier New"/>
          <w:sz w:val="25"/>
          <w:szCs w:val="25"/>
          <w:lang w:eastAsia="de-DE"/>
        </w:rPr>
      </w:pPr>
    </w:p>
    <w:p w:rsidR="00D312A6" w:rsidRPr="00D312A6" w:rsidRDefault="00D312A6" w:rsidP="00D312A6">
      <w:pPr>
        <w:spacing w:after="0" w:line="240" w:lineRule="auto"/>
        <w:jc w:val="both"/>
        <w:rPr>
          <w:rFonts w:ascii="Book Antiqua" w:eastAsia="Times New Roman" w:hAnsi="Book Antiqua" w:cs="Courier New"/>
          <w:sz w:val="25"/>
          <w:szCs w:val="25"/>
          <w:lang w:eastAsia="de-DE"/>
        </w:rPr>
      </w:pP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1. Stichproben durchzuführen,</w:t>
      </w:r>
    </w:p>
    <w:p w:rsidR="00D312A6" w:rsidRPr="00D312A6" w:rsidRDefault="00D312A6" w:rsidP="00D312A6">
      <w:pPr>
        <w:spacing w:after="0" w:line="240" w:lineRule="auto"/>
        <w:jc w:val="both"/>
        <w:rPr>
          <w:rFonts w:ascii="Book Antiqua" w:eastAsia="Times New Roman" w:hAnsi="Book Antiqua" w:cs="Courier New"/>
          <w:sz w:val="25"/>
          <w:szCs w:val="25"/>
          <w:lang w:eastAsia="de-DE"/>
        </w:rPr>
      </w:pP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2. Beschwerden zu prüfen und, falls erforderlich, ein Beschwerdebuch zu führen sowie</w:t>
      </w:r>
    </w:p>
    <w:p w:rsidR="00D312A6" w:rsidRPr="00D312A6" w:rsidRDefault="00D312A6" w:rsidP="00D312A6">
      <w:pPr>
        <w:spacing w:after="0" w:line="240" w:lineRule="auto"/>
        <w:jc w:val="both"/>
        <w:rPr>
          <w:rFonts w:ascii="Book Antiqua" w:eastAsia="Times New Roman" w:hAnsi="Book Antiqua" w:cs="Courier New"/>
          <w:sz w:val="25"/>
          <w:szCs w:val="25"/>
          <w:lang w:eastAsia="de-DE"/>
        </w:rPr>
      </w:pP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lastRenderedPageBreak/>
        <w:t>3. die Händler über weitere das Verbraucherprodukt betreffende Maßnahmen zu unterrichten.</w:t>
      </w:r>
      <w:r>
        <w:rPr>
          <w:rFonts w:ascii="Book Antiqua" w:eastAsia="Times New Roman" w:hAnsi="Book Antiqua" w:cs="Courier New"/>
          <w:sz w:val="25"/>
          <w:szCs w:val="25"/>
          <w:lang w:eastAsia="de-DE"/>
        </w:rPr>
        <w:t xml:space="preserve"> </w:t>
      </w: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Welche Stichproben geboten sind, hängt vom Grad des Risikos ab, das mit den Produkten verbunden ist, und von</w:t>
      </w:r>
      <w:r>
        <w:rPr>
          <w:rFonts w:ascii="Book Antiqua" w:eastAsia="Times New Roman" w:hAnsi="Book Antiqua" w:cs="Courier New"/>
          <w:sz w:val="25"/>
          <w:szCs w:val="25"/>
          <w:lang w:eastAsia="de-DE"/>
        </w:rPr>
        <w:t xml:space="preserve"> </w:t>
      </w: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den Möglichkeiten, das Risiko zu vermeiden.</w:t>
      </w:r>
    </w:p>
    <w:p w:rsidR="00D312A6" w:rsidRDefault="00D312A6" w:rsidP="00D312A6">
      <w:pPr>
        <w:spacing w:after="0" w:line="240" w:lineRule="auto"/>
        <w:jc w:val="both"/>
        <w:rPr>
          <w:rFonts w:ascii="Book Antiqua" w:eastAsia="Times New Roman" w:hAnsi="Book Antiqua" w:cs="Courier New"/>
          <w:sz w:val="25"/>
          <w:szCs w:val="25"/>
          <w:lang w:eastAsia="de-DE"/>
        </w:rPr>
      </w:pPr>
    </w:p>
    <w:p w:rsidR="00D312A6" w:rsidRPr="00D312A6" w:rsidRDefault="00D312A6" w:rsidP="00D312A6">
      <w:pPr>
        <w:spacing w:after="0" w:line="240" w:lineRule="auto"/>
        <w:jc w:val="both"/>
        <w:rPr>
          <w:rFonts w:ascii="Book Antiqua" w:eastAsia="Times New Roman" w:hAnsi="Book Antiqua" w:cs="Courier New"/>
          <w:sz w:val="25"/>
          <w:szCs w:val="25"/>
          <w:lang w:eastAsia="de-DE"/>
        </w:rPr>
      </w:pPr>
      <w:r w:rsidRPr="00D312A6">
        <w:rPr>
          <w:rFonts w:ascii="Book Antiqua" w:eastAsia="Times New Roman" w:hAnsi="Book Antiqua" w:cs="Courier New"/>
          <w:b/>
          <w:sz w:val="25"/>
          <w:szCs w:val="25"/>
          <w:lang w:eastAsia="de-DE"/>
        </w:rPr>
        <w:t>(4)</w:t>
      </w: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 xml:space="preserve"> Der Hersteller, sein Bevollmächtigter und der Einführer haben nach Maßgabe von Anhang I der Richtlinie</w:t>
      </w:r>
      <w:r>
        <w:rPr>
          <w:rFonts w:ascii="Book Antiqua" w:eastAsia="Times New Roman" w:hAnsi="Book Antiqua" w:cs="Courier New"/>
          <w:sz w:val="25"/>
          <w:szCs w:val="25"/>
          <w:lang w:eastAsia="de-DE"/>
        </w:rPr>
        <w:t xml:space="preserve"> </w:t>
      </w: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2001/95/EG des Europäischen Parlaments und des Rates vom 3. Dezember 2001 über die allgemeine</w:t>
      </w:r>
      <w:r>
        <w:rPr>
          <w:rFonts w:ascii="Book Antiqua" w:eastAsia="Times New Roman" w:hAnsi="Book Antiqua" w:cs="Courier New"/>
          <w:sz w:val="25"/>
          <w:szCs w:val="25"/>
          <w:lang w:eastAsia="de-DE"/>
        </w:rPr>
        <w:t xml:space="preserve"> </w:t>
      </w: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Produktsicherheit (</w:t>
      </w:r>
      <w:proofErr w:type="spellStart"/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ABl.</w:t>
      </w:r>
      <w:proofErr w:type="spellEnd"/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 xml:space="preserve"> L 11 vom 15.1.2002, S. 4) jeweils unverzüglich die an ihrem Geschäftssitz zuständige</w:t>
      </w:r>
      <w:r>
        <w:rPr>
          <w:rFonts w:ascii="Book Antiqua" w:eastAsia="Times New Roman" w:hAnsi="Book Antiqua" w:cs="Courier New"/>
          <w:sz w:val="25"/>
          <w:szCs w:val="25"/>
          <w:lang w:eastAsia="de-DE"/>
        </w:rPr>
        <w:t xml:space="preserve"> </w:t>
      </w: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Marktüberwachungsbehörde zu unterrichten, wenn sie wissen oder auf Grund der ihnen vorliegenden</w:t>
      </w:r>
      <w:r>
        <w:rPr>
          <w:rFonts w:ascii="Book Antiqua" w:eastAsia="Times New Roman" w:hAnsi="Book Antiqua" w:cs="Courier New"/>
          <w:sz w:val="25"/>
          <w:szCs w:val="25"/>
          <w:lang w:eastAsia="de-DE"/>
        </w:rPr>
        <w:t xml:space="preserve"> </w:t>
      </w: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Informationen oder ihrer Erfahrung wissen müssen, dass ein Verbraucherprodukt, das sie auf dem Markt</w:t>
      </w:r>
      <w:r>
        <w:rPr>
          <w:rFonts w:ascii="Book Antiqua" w:eastAsia="Times New Roman" w:hAnsi="Book Antiqua" w:cs="Courier New"/>
          <w:sz w:val="25"/>
          <w:szCs w:val="25"/>
          <w:lang w:eastAsia="de-DE"/>
        </w:rPr>
        <w:t xml:space="preserve"> </w:t>
      </w: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bereitgestellt haben, ein Risiko für die Sicherheit und Gesundheit von Personen darstellt; insbesondere haben</w:t>
      </w:r>
    </w:p>
    <w:p w:rsidR="00D312A6" w:rsidRDefault="00D312A6" w:rsidP="00D312A6">
      <w:pPr>
        <w:spacing w:after="0" w:line="240" w:lineRule="auto"/>
        <w:jc w:val="both"/>
        <w:rPr>
          <w:rFonts w:ascii="Book Antiqua" w:eastAsia="Times New Roman" w:hAnsi="Book Antiqua" w:cs="Courier New"/>
          <w:sz w:val="25"/>
          <w:szCs w:val="25"/>
          <w:lang w:eastAsia="de-DE"/>
        </w:rPr>
      </w:pP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sie die Marktüberwachungsbehörde über die Maßnahmen zu unterrichten, die sie zur Vermeidung dieses</w:t>
      </w:r>
      <w:r>
        <w:rPr>
          <w:rFonts w:ascii="Book Antiqua" w:eastAsia="Times New Roman" w:hAnsi="Book Antiqua" w:cs="Courier New"/>
          <w:sz w:val="25"/>
          <w:szCs w:val="25"/>
          <w:lang w:eastAsia="de-DE"/>
        </w:rPr>
        <w:t xml:space="preserve"> </w:t>
      </w: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Risikos getroffen haben. Die Marktüberwachungsbehörde unterrichtet unverzüglich die Bundesanstalt für</w:t>
      </w:r>
      <w:r>
        <w:rPr>
          <w:rFonts w:ascii="Book Antiqua" w:eastAsia="Times New Roman" w:hAnsi="Book Antiqua" w:cs="Courier New"/>
          <w:sz w:val="25"/>
          <w:szCs w:val="25"/>
          <w:lang w:eastAsia="de-DE"/>
        </w:rPr>
        <w:t xml:space="preserve"> </w:t>
      </w: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Arbeitsschutz und Arbeitsmedizin über den Sachverhalt, insbesondere bei Rückrufen. Eine Unterrichtung nach</w:t>
      </w:r>
      <w:r>
        <w:rPr>
          <w:rFonts w:ascii="Book Antiqua" w:eastAsia="Times New Roman" w:hAnsi="Book Antiqua" w:cs="Courier New"/>
          <w:sz w:val="25"/>
          <w:szCs w:val="25"/>
          <w:lang w:eastAsia="de-DE"/>
        </w:rPr>
        <w:t xml:space="preserve"> </w:t>
      </w: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Satz 1 darf nicht zur strafrechtlichen Verfolgung des Unterrichtenden oder für ein Verfahren nach dem Gesetz</w:t>
      </w:r>
      <w:r>
        <w:rPr>
          <w:rFonts w:ascii="Book Antiqua" w:eastAsia="Times New Roman" w:hAnsi="Book Antiqua" w:cs="Courier New"/>
          <w:sz w:val="25"/>
          <w:szCs w:val="25"/>
          <w:lang w:eastAsia="de-DE"/>
        </w:rPr>
        <w:t xml:space="preserve"> </w:t>
      </w: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über Ordnungswidrigkeiten gegen den Unterrichtenden verwendet werden.</w:t>
      </w:r>
    </w:p>
    <w:p w:rsidR="00D312A6" w:rsidRPr="00D312A6" w:rsidRDefault="00D312A6" w:rsidP="00D312A6">
      <w:pPr>
        <w:spacing w:after="0" w:line="240" w:lineRule="auto"/>
        <w:jc w:val="both"/>
        <w:rPr>
          <w:rFonts w:ascii="Book Antiqua" w:eastAsia="Times New Roman" w:hAnsi="Book Antiqua" w:cs="Courier New"/>
          <w:sz w:val="25"/>
          <w:szCs w:val="25"/>
          <w:lang w:eastAsia="de-DE"/>
        </w:rPr>
      </w:pPr>
    </w:p>
    <w:p w:rsidR="001D30CE" w:rsidRPr="00D312A6" w:rsidRDefault="00D312A6" w:rsidP="00D312A6">
      <w:pPr>
        <w:spacing w:after="0" w:line="240" w:lineRule="auto"/>
        <w:jc w:val="both"/>
        <w:rPr>
          <w:rFonts w:ascii="Book Antiqua" w:hAnsi="Book Antiqua"/>
        </w:rPr>
      </w:pPr>
      <w:r w:rsidRPr="00D312A6">
        <w:rPr>
          <w:rFonts w:ascii="Book Antiqua" w:eastAsia="Times New Roman" w:hAnsi="Book Antiqua" w:cs="Courier New"/>
          <w:b/>
          <w:sz w:val="25"/>
          <w:szCs w:val="25"/>
          <w:lang w:eastAsia="de-DE"/>
        </w:rPr>
        <w:t>(5)</w:t>
      </w: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 xml:space="preserve"> Der Händler hat dazu beizutragen, dass nur sichere Verbraucherprodukte auf dem Markt bereitgestellt</w:t>
      </w:r>
      <w:r>
        <w:rPr>
          <w:rFonts w:ascii="Book Antiqua" w:eastAsia="Times New Roman" w:hAnsi="Book Antiqua" w:cs="Courier New"/>
          <w:sz w:val="25"/>
          <w:szCs w:val="25"/>
          <w:lang w:eastAsia="de-DE"/>
        </w:rPr>
        <w:t xml:space="preserve"> </w:t>
      </w: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werden. Er darf insbesondere kein Verbraucherprodukt auf dem Markt bereitstellen, von dem er weiß oder auf</w:t>
      </w:r>
      <w:r>
        <w:rPr>
          <w:rFonts w:ascii="Book Antiqua" w:eastAsia="Times New Roman" w:hAnsi="Book Antiqua" w:cs="Courier New"/>
          <w:sz w:val="25"/>
          <w:szCs w:val="25"/>
          <w:lang w:eastAsia="de-DE"/>
        </w:rPr>
        <w:t xml:space="preserve"> </w:t>
      </w: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Grund der ihm vorliegenden Informationen oder seiner Erfahrung wissen muss, dass es nicht den Anforderungen</w:t>
      </w:r>
      <w:r>
        <w:rPr>
          <w:rFonts w:ascii="Book Antiqua" w:eastAsia="Times New Roman" w:hAnsi="Book Antiqua" w:cs="Courier New"/>
          <w:sz w:val="25"/>
          <w:szCs w:val="25"/>
          <w:lang w:eastAsia="de-DE"/>
        </w:rPr>
        <w:t xml:space="preserve"> </w:t>
      </w: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 xml:space="preserve">nach § 3 entspricht. Absatz 4 gilt für den </w:t>
      </w:r>
      <w:r w:rsidRPr="00D312A6">
        <w:rPr>
          <w:rFonts w:ascii="Book Antiqua" w:eastAsia="Times New Roman" w:hAnsi="Book Antiqua" w:cs="Courier New"/>
          <w:sz w:val="25"/>
          <w:szCs w:val="25"/>
          <w:lang w:eastAsia="de-DE"/>
        </w:rPr>
        <w:t>Händler entsprechend.</w:t>
      </w:r>
    </w:p>
    <w:sectPr w:rsidR="001D30CE" w:rsidRPr="00D312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A6"/>
    <w:rsid w:val="001D30CE"/>
    <w:rsid w:val="00D3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31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31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OEYWin8</dc:creator>
  <cp:lastModifiedBy>OEYWin8</cp:lastModifiedBy>
  <cp:revision>1</cp:revision>
  <dcterms:created xsi:type="dcterms:W3CDTF">2018-07-25T09:13:00Z</dcterms:created>
  <dcterms:modified xsi:type="dcterms:W3CDTF">2018-07-25T09:20:00Z</dcterms:modified>
</cp:coreProperties>
</file>