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3" w:rsidRDefault="003D7503" w:rsidP="003D7503">
      <w:pPr>
        <w:ind w:right="468"/>
        <w:jc w:val="both"/>
        <w:rPr>
          <w:sz w:val="24"/>
          <w:lang w:val="en-US"/>
        </w:rPr>
      </w:pPr>
    </w:p>
    <w:p w:rsidR="003D7503" w:rsidRDefault="003D7503" w:rsidP="003D7503">
      <w:pPr>
        <w:ind w:right="468"/>
        <w:jc w:val="both"/>
        <w:rPr>
          <w:sz w:val="24"/>
          <w:lang w:val="en-US"/>
        </w:rPr>
      </w:pPr>
    </w:p>
    <w:p w:rsidR="003D7503" w:rsidRDefault="003D7503" w:rsidP="003D7503">
      <w:pPr>
        <w:ind w:right="468"/>
        <w:jc w:val="both"/>
        <w:rPr>
          <w:sz w:val="24"/>
          <w:lang w:val="en-US"/>
        </w:rPr>
      </w:pPr>
    </w:p>
    <w:p w:rsidR="003526C2" w:rsidRPr="003D7503" w:rsidRDefault="003526C2" w:rsidP="003D7503">
      <w:pPr>
        <w:ind w:right="468"/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b/>
          <w:bCs/>
          <w:sz w:val="22"/>
          <w:szCs w:val="22"/>
        </w:rPr>
        <w:t xml:space="preserve">ΥΠΟΥΡΓΕΙΟ ΥΠΟΔΟΜΩΝ &amp; ΜΕΤΑΦΟΡΩΝ </w:t>
      </w:r>
    </w:p>
    <w:p w:rsidR="003526C2" w:rsidRPr="00971FC4" w:rsidRDefault="003526C2" w:rsidP="00971FC4">
      <w:pPr>
        <w:tabs>
          <w:tab w:val="left" w:pos="-2700"/>
        </w:tabs>
        <w:ind w:right="-34"/>
        <w:rPr>
          <w:rFonts w:ascii="Century Gothic" w:hAnsi="Century Gothic"/>
          <w:b/>
          <w:bCs/>
          <w:sz w:val="22"/>
          <w:szCs w:val="22"/>
        </w:rPr>
      </w:pPr>
      <w:r w:rsidRPr="00971FC4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3526C2" w:rsidRPr="00971FC4" w:rsidRDefault="003526C2" w:rsidP="00971FC4">
      <w:pPr>
        <w:tabs>
          <w:tab w:val="left" w:pos="-2700"/>
        </w:tabs>
        <w:ind w:right="-34"/>
        <w:rPr>
          <w:rFonts w:ascii="Century Gothic" w:hAnsi="Century Gothic"/>
          <w:b/>
          <w:bCs/>
          <w:sz w:val="22"/>
          <w:szCs w:val="22"/>
        </w:rPr>
      </w:pPr>
      <w:r w:rsidRPr="00971FC4">
        <w:rPr>
          <w:rFonts w:ascii="Century Gothic" w:hAnsi="Century Gothic"/>
          <w:b/>
          <w:bCs/>
          <w:sz w:val="22"/>
          <w:szCs w:val="22"/>
        </w:rPr>
        <w:t>ΓΕΝΙΚΗ ΔΙΕΥΘΥΝΣΗ ΔΙΟΙΚΗΤΙΚΗΣ ΥΠΟΣΤΗΡΙΞΗΣ</w:t>
      </w:r>
    </w:p>
    <w:p w:rsidR="003526C2" w:rsidRPr="00971FC4" w:rsidRDefault="003526C2" w:rsidP="00971FC4">
      <w:pPr>
        <w:tabs>
          <w:tab w:val="left" w:pos="-2700"/>
        </w:tabs>
        <w:ind w:right="-34"/>
        <w:rPr>
          <w:rFonts w:ascii="Century Gothic" w:hAnsi="Century Gothic"/>
          <w:b/>
          <w:bCs/>
          <w:sz w:val="22"/>
          <w:szCs w:val="22"/>
        </w:rPr>
      </w:pPr>
      <w:r w:rsidRPr="00971FC4">
        <w:rPr>
          <w:rFonts w:ascii="Century Gothic" w:hAnsi="Century Gothic"/>
          <w:b/>
          <w:bCs/>
          <w:sz w:val="22"/>
          <w:szCs w:val="22"/>
        </w:rPr>
        <w:t>ΔΙΕΥΘΥΝΣΗ ΟΙΚΟΝΟΜΙΚΟΥ – ΕΦΟΔΙΑΣΜΟΥ</w:t>
      </w:r>
    </w:p>
    <w:p w:rsidR="003526C2" w:rsidRPr="00971FC4" w:rsidRDefault="003526C2" w:rsidP="00971FC4">
      <w:pPr>
        <w:tabs>
          <w:tab w:val="left" w:pos="-2700"/>
        </w:tabs>
        <w:ind w:right="-34"/>
        <w:rPr>
          <w:rFonts w:ascii="Century Gothic" w:hAnsi="Century Gothic"/>
          <w:b/>
          <w:bCs/>
          <w:sz w:val="22"/>
          <w:szCs w:val="22"/>
        </w:rPr>
      </w:pPr>
      <w:r w:rsidRPr="00971FC4">
        <w:rPr>
          <w:rFonts w:ascii="Century Gothic" w:hAnsi="Century Gothic"/>
          <w:b/>
          <w:bCs/>
          <w:sz w:val="22"/>
          <w:szCs w:val="22"/>
        </w:rPr>
        <w:t>ΤΜΗΜΑ ΠΡΟΜΗΘΕΙΩΝ</w:t>
      </w:r>
    </w:p>
    <w:p w:rsidR="003526C2" w:rsidRPr="00971FC4" w:rsidRDefault="003526C2" w:rsidP="00971FC4">
      <w:pPr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>ΤΑΧ. ΔΙΕΥΘΥΝΣΗ : Τ.Θ. 703 60</w:t>
      </w:r>
    </w:p>
    <w:p w:rsidR="003526C2" w:rsidRPr="00971FC4" w:rsidRDefault="003526C2" w:rsidP="00971FC4">
      <w:pPr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 xml:space="preserve"> 166 10, Γλυφάδα</w:t>
      </w:r>
    </w:p>
    <w:p w:rsidR="003526C2" w:rsidRPr="00971FC4" w:rsidRDefault="003526C2" w:rsidP="00971FC4">
      <w:pPr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>Τηλέφωνο: 210 - 8916307</w:t>
      </w:r>
    </w:p>
    <w:p w:rsidR="003526C2" w:rsidRPr="00971FC4" w:rsidRDefault="003526C2" w:rsidP="00971FC4">
      <w:pPr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 xml:space="preserve">Fax: 210 - 8916384 </w:t>
      </w:r>
    </w:p>
    <w:p w:rsidR="003526C2" w:rsidRPr="00971FC4" w:rsidRDefault="003526C2" w:rsidP="003526C2">
      <w:pPr>
        <w:rPr>
          <w:rFonts w:ascii="Century Gothic" w:hAnsi="Century Gothic"/>
          <w:sz w:val="22"/>
          <w:szCs w:val="22"/>
        </w:rPr>
      </w:pPr>
    </w:p>
    <w:p w:rsidR="003526C2" w:rsidRPr="003526C2" w:rsidRDefault="003526C2" w:rsidP="003526C2">
      <w:pPr>
        <w:jc w:val="center"/>
        <w:rPr>
          <w:rFonts w:ascii="Century Gothic" w:hAnsi="Century Gothic" w:cs="Tahoma"/>
          <w:bCs/>
          <w:sz w:val="16"/>
          <w:szCs w:val="16"/>
        </w:rPr>
      </w:pPr>
    </w:p>
    <w:p w:rsidR="00971FC4" w:rsidRPr="00971FC4" w:rsidRDefault="00971FC4" w:rsidP="003526C2">
      <w:pPr>
        <w:jc w:val="center"/>
        <w:rPr>
          <w:rFonts w:ascii="Century Gothic" w:hAnsi="Century Gothic"/>
          <w:sz w:val="22"/>
          <w:szCs w:val="22"/>
        </w:rPr>
      </w:pPr>
    </w:p>
    <w:p w:rsidR="003526C2" w:rsidRPr="00971FC4" w:rsidRDefault="003526C2" w:rsidP="003526C2">
      <w:pPr>
        <w:jc w:val="center"/>
        <w:rPr>
          <w:rFonts w:ascii="Century Gothic" w:hAnsi="Century Gothic"/>
          <w:b/>
          <w:spacing w:val="20"/>
          <w:sz w:val="18"/>
          <w:szCs w:val="18"/>
        </w:rPr>
      </w:pPr>
      <w:r w:rsidRPr="00971FC4">
        <w:rPr>
          <w:rFonts w:ascii="Century Gothic" w:hAnsi="Century Gothic"/>
          <w:b/>
          <w:sz w:val="22"/>
          <w:szCs w:val="22"/>
        </w:rPr>
        <w:t>ΑΝΑΚΟΙΝΩΣΗ</w:t>
      </w:r>
      <w:r w:rsidRPr="00971FC4">
        <w:rPr>
          <w:rFonts w:ascii="Century Gothic" w:hAnsi="Century Gothic"/>
          <w:b/>
          <w:spacing w:val="20"/>
          <w:sz w:val="18"/>
          <w:szCs w:val="18"/>
        </w:rPr>
        <w:t xml:space="preserve"> </w:t>
      </w:r>
    </w:p>
    <w:p w:rsidR="00971FC4" w:rsidRDefault="00971FC4" w:rsidP="003526C2">
      <w:pPr>
        <w:jc w:val="center"/>
        <w:rPr>
          <w:rFonts w:ascii="Century Gothic" w:hAnsi="Century Gothic"/>
          <w:b/>
          <w:spacing w:val="20"/>
          <w:sz w:val="18"/>
          <w:szCs w:val="18"/>
        </w:rPr>
      </w:pPr>
    </w:p>
    <w:p w:rsidR="00971FC4" w:rsidRPr="00971FC4" w:rsidRDefault="00971FC4" w:rsidP="00971FC4">
      <w:pPr>
        <w:pStyle w:val="a9"/>
        <w:tabs>
          <w:tab w:val="left" w:pos="142"/>
        </w:tabs>
        <w:spacing w:line="360" w:lineRule="auto"/>
        <w:rPr>
          <w:rFonts w:ascii="Century Gothic" w:hAnsi="Century Gothic"/>
          <w:kern w:val="0"/>
          <w:sz w:val="22"/>
          <w:szCs w:val="22"/>
        </w:rPr>
      </w:pPr>
      <w:r w:rsidRPr="00971FC4">
        <w:rPr>
          <w:rFonts w:ascii="Century Gothic" w:hAnsi="Century Gothic"/>
          <w:kern w:val="0"/>
          <w:sz w:val="22"/>
          <w:szCs w:val="22"/>
        </w:rPr>
        <w:t>Η Υπηρεσία Πολιτικής Αεροπορίας ανακοινώνει ότι:</w:t>
      </w:r>
    </w:p>
    <w:p w:rsidR="00971FC4" w:rsidRPr="00971FC4" w:rsidRDefault="00971FC4" w:rsidP="00971FC4">
      <w:pPr>
        <w:pStyle w:val="a9"/>
        <w:tabs>
          <w:tab w:val="left" w:pos="142"/>
        </w:tabs>
        <w:spacing w:line="360" w:lineRule="auto"/>
        <w:rPr>
          <w:rFonts w:ascii="Century Gothic" w:hAnsi="Century Gothic"/>
          <w:kern w:val="0"/>
          <w:sz w:val="22"/>
          <w:szCs w:val="22"/>
        </w:rPr>
      </w:pPr>
      <w:r w:rsidRPr="00971FC4">
        <w:rPr>
          <w:rFonts w:ascii="Century Gothic" w:hAnsi="Century Gothic"/>
          <w:kern w:val="0"/>
          <w:sz w:val="22"/>
          <w:szCs w:val="22"/>
        </w:rPr>
        <w:t xml:space="preserve">Η καταληκτική ημερομηνία υποβολής προσφορών για τον ηλεκτρονικό ανοιχτό διαγωνισμό που θα πραγματοποιηθεί με χρήση της πλατφόρμας του Εθνικού Συστήματος Δημοσίων Συμβάσεων (ΕΣΗΔΗΣ), μέσω της διαδικτυακής πύλης </w:t>
      </w:r>
      <w:hyperlink r:id="rId7" w:history="1">
        <w:r w:rsidRPr="00971FC4">
          <w:rPr>
            <w:kern w:val="0"/>
            <w:sz w:val="22"/>
            <w:szCs w:val="22"/>
          </w:rPr>
          <w:t>www.promitheus.gov.gr</w:t>
        </w:r>
      </w:hyperlink>
      <w:r w:rsidRPr="00971FC4">
        <w:rPr>
          <w:rFonts w:ascii="Century Gothic" w:hAnsi="Century Gothic"/>
          <w:kern w:val="0"/>
          <w:sz w:val="22"/>
          <w:szCs w:val="22"/>
        </w:rPr>
        <w:t xml:space="preserve"> του συστήματος για την «Προμήθεια Συστημάτων Αεροναυτιλίας για τη μετεγκατάσταση της Προσέγγισης Αθηνών από το ΚΕΠ</w:t>
      </w:r>
      <w:r w:rsidR="003F61B2">
        <w:rPr>
          <w:rFonts w:ascii="Century Gothic" w:hAnsi="Century Gothic"/>
          <w:kern w:val="0"/>
          <w:sz w:val="22"/>
          <w:szCs w:val="22"/>
        </w:rPr>
        <w:t>ΑΘΜ στο ΔΑΑ», μετατίθεται κατά 4</w:t>
      </w:r>
      <w:r w:rsidRPr="00971FC4">
        <w:rPr>
          <w:rFonts w:ascii="Century Gothic" w:hAnsi="Century Gothic"/>
          <w:kern w:val="0"/>
          <w:sz w:val="22"/>
          <w:szCs w:val="22"/>
        </w:rPr>
        <w:t xml:space="preserve">0 ημέρες, ήτοι για την 28η </w:t>
      </w:r>
      <w:r w:rsidR="003F61B2">
        <w:rPr>
          <w:rFonts w:ascii="Century Gothic" w:hAnsi="Century Gothic"/>
          <w:kern w:val="0"/>
          <w:sz w:val="22"/>
          <w:szCs w:val="22"/>
        </w:rPr>
        <w:t>Αυγούστου</w:t>
      </w:r>
      <w:r w:rsidRPr="00971FC4">
        <w:rPr>
          <w:rFonts w:ascii="Century Gothic" w:hAnsi="Century Gothic"/>
          <w:kern w:val="0"/>
          <w:sz w:val="22"/>
          <w:szCs w:val="22"/>
        </w:rPr>
        <w:t xml:space="preserve"> 2017 και ώρα 17:00  σύμφωνα με την υπ’ αριθμ. Δ11/Ε/</w:t>
      </w:r>
      <w:r w:rsidR="003F61B2">
        <w:rPr>
          <w:rFonts w:ascii="Century Gothic" w:hAnsi="Century Gothic"/>
          <w:kern w:val="0"/>
          <w:sz w:val="22"/>
          <w:szCs w:val="22"/>
        </w:rPr>
        <w:t>14006/10330</w:t>
      </w:r>
      <w:r w:rsidRPr="00971FC4">
        <w:rPr>
          <w:rFonts w:ascii="Century Gothic" w:hAnsi="Century Gothic"/>
          <w:kern w:val="0"/>
          <w:sz w:val="22"/>
          <w:szCs w:val="22"/>
        </w:rPr>
        <w:t>/</w:t>
      </w:r>
      <w:r w:rsidR="003F61B2">
        <w:rPr>
          <w:rFonts w:ascii="Century Gothic" w:hAnsi="Century Gothic"/>
          <w:kern w:val="0"/>
          <w:sz w:val="22"/>
          <w:szCs w:val="22"/>
        </w:rPr>
        <w:t>6-7-</w:t>
      </w:r>
      <w:r w:rsidRPr="00971FC4">
        <w:rPr>
          <w:rFonts w:ascii="Century Gothic" w:hAnsi="Century Gothic"/>
          <w:kern w:val="0"/>
          <w:sz w:val="22"/>
          <w:szCs w:val="22"/>
        </w:rPr>
        <w:t>2017 απόφαση.</w:t>
      </w:r>
    </w:p>
    <w:p w:rsidR="00971FC4" w:rsidRPr="00971FC4" w:rsidRDefault="00971FC4" w:rsidP="00971FC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>Κατά τα λοιπά η απόφαση Διακήρυξης Δ11/Ε/12218/9000/15-6-2017 ισχύει ως έχει.</w:t>
      </w:r>
    </w:p>
    <w:p w:rsidR="00971FC4" w:rsidRPr="00971FC4" w:rsidRDefault="00971FC4" w:rsidP="00971FC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/>
          <w:sz w:val="22"/>
          <w:szCs w:val="22"/>
        </w:rPr>
        <w:t xml:space="preserve">Ημερομηνία αποστολής για δημοσίευση στην εφημερίδα της Ε.Ε: </w:t>
      </w:r>
      <w:r w:rsidR="003F61B2">
        <w:rPr>
          <w:rFonts w:ascii="Century Gothic" w:hAnsi="Century Gothic"/>
          <w:sz w:val="22"/>
          <w:szCs w:val="22"/>
        </w:rPr>
        <w:t>07-07-2017.</w:t>
      </w:r>
    </w:p>
    <w:p w:rsidR="00971FC4" w:rsidRDefault="00971FC4" w:rsidP="003526C2">
      <w:pPr>
        <w:jc w:val="center"/>
        <w:rPr>
          <w:rFonts w:ascii="Century Gothic" w:hAnsi="Century Gothic"/>
          <w:b/>
          <w:spacing w:val="20"/>
          <w:sz w:val="18"/>
          <w:szCs w:val="18"/>
        </w:rPr>
      </w:pPr>
    </w:p>
    <w:p w:rsidR="00234F9B" w:rsidRPr="00234F9B" w:rsidRDefault="00234F9B" w:rsidP="00234F9B">
      <w:pPr>
        <w:jc w:val="both"/>
        <w:rPr>
          <w:rFonts w:ascii="Century Gothic" w:hAnsi="Century Gothic"/>
          <w:b/>
          <w:spacing w:val="20"/>
          <w:sz w:val="18"/>
          <w:szCs w:val="18"/>
        </w:rPr>
      </w:pP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  <w:r w:rsidRPr="003526C2">
        <w:rPr>
          <w:rFonts w:ascii="Century Gothic" w:hAnsi="Century Gothic"/>
          <w:sz w:val="18"/>
          <w:szCs w:val="18"/>
          <w:lang w:val="de-DE"/>
        </w:rPr>
        <w:t xml:space="preserve">    </w:t>
      </w:r>
      <w:r w:rsidRPr="003526C2">
        <w:rPr>
          <w:rFonts w:ascii="Century Gothic" w:hAnsi="Century Gothic"/>
          <w:sz w:val="18"/>
          <w:szCs w:val="18"/>
          <w:lang w:val="de-DE"/>
        </w:rPr>
        <w:tab/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</w:t>
      </w:r>
      <w:r w:rsidRPr="003526C2">
        <w:rPr>
          <w:rFonts w:ascii="Century Gothic" w:hAnsi="Century Gothic"/>
          <w:b/>
          <w:sz w:val="18"/>
          <w:szCs w:val="18"/>
        </w:rPr>
        <w:t xml:space="preserve">                                                    </w:t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        </w:t>
      </w: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</w:p>
    <w:p w:rsidR="003526C2" w:rsidRPr="00971FC4" w:rsidRDefault="003526C2" w:rsidP="003526C2">
      <w:pPr>
        <w:ind w:left="6255"/>
        <w:rPr>
          <w:rFonts w:ascii="Century Gothic" w:hAnsi="Century Gothic" w:cs="Tahoma"/>
          <w:sz w:val="22"/>
          <w:szCs w:val="22"/>
          <w:lang w:val="de-DE"/>
        </w:rPr>
      </w:pPr>
      <w:r w:rsidRPr="00971FC4">
        <w:rPr>
          <w:rFonts w:ascii="Century Gothic" w:hAnsi="Century Gothic" w:cs="Tahoma"/>
          <w:sz w:val="22"/>
          <w:szCs w:val="22"/>
        </w:rPr>
        <w:t>Ο</w:t>
      </w: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Προϊστ</w:t>
      </w:r>
      <w:r w:rsidRPr="00971FC4">
        <w:rPr>
          <w:rFonts w:ascii="Century Gothic" w:hAnsi="Century Gothic" w:cs="Tahoma"/>
          <w:sz w:val="22"/>
          <w:szCs w:val="22"/>
        </w:rPr>
        <w:t>ά</w:t>
      </w:r>
      <w:r w:rsidRPr="00971FC4">
        <w:rPr>
          <w:rFonts w:ascii="Century Gothic" w:hAnsi="Century Gothic" w:cs="Tahoma"/>
          <w:sz w:val="22"/>
          <w:szCs w:val="22"/>
          <w:lang w:val="de-DE"/>
        </w:rPr>
        <w:t>μ</w:t>
      </w:r>
      <w:r w:rsidRPr="00971FC4">
        <w:rPr>
          <w:rFonts w:ascii="Century Gothic" w:hAnsi="Century Gothic" w:cs="Tahoma"/>
          <w:sz w:val="22"/>
          <w:szCs w:val="22"/>
        </w:rPr>
        <w:t>ε</w:t>
      </w:r>
      <w:r w:rsidRPr="00971FC4">
        <w:rPr>
          <w:rFonts w:ascii="Century Gothic" w:hAnsi="Century Gothic" w:cs="Tahoma"/>
          <w:sz w:val="22"/>
          <w:szCs w:val="22"/>
          <w:lang w:val="de-DE"/>
        </w:rPr>
        <w:t>ν</w:t>
      </w:r>
      <w:r w:rsidRPr="00971FC4">
        <w:rPr>
          <w:rFonts w:ascii="Century Gothic" w:hAnsi="Century Gothic" w:cs="Tahoma"/>
          <w:sz w:val="22"/>
          <w:szCs w:val="22"/>
        </w:rPr>
        <w:t>ος</w:t>
      </w: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Διεύθυνσης                                              </w:t>
      </w:r>
      <w:r w:rsidRPr="00971FC4">
        <w:rPr>
          <w:rFonts w:ascii="Century Gothic" w:hAnsi="Century Gothic" w:cs="Tahoma"/>
          <w:sz w:val="22"/>
          <w:szCs w:val="22"/>
        </w:rPr>
        <w:t xml:space="preserve">                        </w:t>
      </w: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                                                                                       </w:t>
      </w:r>
      <w:r w:rsidRPr="00971FC4">
        <w:rPr>
          <w:rFonts w:ascii="Century Gothic" w:hAnsi="Century Gothic" w:cs="Tahoma"/>
          <w:sz w:val="22"/>
          <w:szCs w:val="22"/>
        </w:rPr>
        <w:t xml:space="preserve">        </w:t>
      </w:r>
      <w:r w:rsidRPr="00971FC4">
        <w:rPr>
          <w:rFonts w:ascii="Century Gothic" w:hAnsi="Century Gothic" w:cs="Tahoma"/>
          <w:sz w:val="22"/>
          <w:szCs w:val="22"/>
          <w:lang w:val="de-DE"/>
        </w:rPr>
        <w:t>Οικονομικού &amp; Εφοδιασμού</w:t>
      </w:r>
    </w:p>
    <w:p w:rsidR="00746AC0" w:rsidRDefault="003526C2" w:rsidP="003526C2">
      <w:pPr>
        <w:jc w:val="center"/>
        <w:rPr>
          <w:rFonts w:ascii="Century Gothic" w:hAnsi="Century Gothic" w:cs="Tahoma"/>
          <w:sz w:val="22"/>
          <w:szCs w:val="22"/>
        </w:rPr>
      </w:pPr>
      <w:r w:rsidRPr="00971FC4">
        <w:rPr>
          <w:rFonts w:ascii="Century Gothic" w:hAnsi="Century Gothic" w:cs="Tahoma"/>
          <w:sz w:val="22"/>
          <w:szCs w:val="22"/>
        </w:rPr>
        <w:t xml:space="preserve">                     </w:t>
      </w: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                      </w:t>
      </w:r>
      <w:r w:rsidR="00746AC0">
        <w:rPr>
          <w:rFonts w:ascii="Century Gothic" w:hAnsi="Century Gothic" w:cs="Tahoma"/>
          <w:sz w:val="22"/>
          <w:szCs w:val="22"/>
        </w:rPr>
        <w:t xml:space="preserve">                                               καα</w:t>
      </w:r>
    </w:p>
    <w:p w:rsidR="003526C2" w:rsidRPr="00971FC4" w:rsidRDefault="003526C2" w:rsidP="003526C2">
      <w:pPr>
        <w:jc w:val="center"/>
        <w:rPr>
          <w:rFonts w:ascii="Century Gothic" w:hAnsi="Century Gothic" w:cs="Tahoma"/>
          <w:sz w:val="22"/>
          <w:szCs w:val="22"/>
        </w:rPr>
      </w:pP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                                           </w:t>
      </w:r>
      <w:r w:rsidRPr="00971FC4">
        <w:rPr>
          <w:rFonts w:ascii="Century Gothic" w:hAnsi="Century Gothic" w:cs="Tahoma"/>
          <w:sz w:val="22"/>
          <w:szCs w:val="22"/>
        </w:rPr>
        <w:t xml:space="preserve">                           </w:t>
      </w:r>
      <w:r w:rsidRPr="00971FC4">
        <w:rPr>
          <w:rFonts w:ascii="Century Gothic" w:hAnsi="Century Gothic" w:cs="Tahoma"/>
          <w:sz w:val="22"/>
          <w:szCs w:val="22"/>
          <w:lang w:val="de-DE"/>
        </w:rPr>
        <w:t xml:space="preserve">                         </w:t>
      </w:r>
    </w:p>
    <w:p w:rsidR="003526C2" w:rsidRPr="00971FC4" w:rsidRDefault="00234F9B" w:rsidP="003526C2">
      <w:pPr>
        <w:ind w:left="3600" w:firstLine="720"/>
        <w:jc w:val="center"/>
        <w:rPr>
          <w:rFonts w:ascii="Century Gothic" w:hAnsi="Century Gothic"/>
          <w:sz w:val="22"/>
          <w:szCs w:val="22"/>
        </w:rPr>
      </w:pPr>
      <w:r w:rsidRPr="00971FC4">
        <w:rPr>
          <w:rFonts w:ascii="Century Gothic" w:hAnsi="Century Gothic" w:cs="Tahoma"/>
          <w:sz w:val="22"/>
          <w:szCs w:val="22"/>
        </w:rPr>
        <w:t xml:space="preserve">  </w:t>
      </w:r>
      <w:r w:rsidR="00971FC4">
        <w:rPr>
          <w:rFonts w:ascii="Century Gothic" w:hAnsi="Century Gothic" w:cs="Tahoma"/>
          <w:sz w:val="22"/>
          <w:szCs w:val="22"/>
        </w:rPr>
        <w:t xml:space="preserve">         </w:t>
      </w:r>
      <w:r w:rsidRPr="00971FC4">
        <w:rPr>
          <w:rFonts w:ascii="Century Gothic" w:hAnsi="Century Gothic" w:cs="Tahoma"/>
          <w:sz w:val="22"/>
          <w:szCs w:val="22"/>
        </w:rPr>
        <w:t xml:space="preserve">       </w:t>
      </w:r>
      <w:r w:rsidR="003526C2" w:rsidRPr="00971FC4">
        <w:rPr>
          <w:rFonts w:ascii="Century Gothic" w:hAnsi="Century Gothic" w:cs="Tahoma"/>
          <w:sz w:val="22"/>
          <w:szCs w:val="22"/>
        </w:rPr>
        <w:t xml:space="preserve">   </w:t>
      </w:r>
      <w:r w:rsidR="00746AC0">
        <w:rPr>
          <w:rFonts w:ascii="Century Gothic" w:hAnsi="Century Gothic" w:cs="Tahoma"/>
          <w:sz w:val="22"/>
          <w:szCs w:val="22"/>
        </w:rPr>
        <w:t>Ν. Σταματίου</w:t>
      </w:r>
    </w:p>
    <w:p w:rsidR="00EC5CEB" w:rsidRDefault="00EC5CEB" w:rsidP="00234F9B">
      <w:pPr>
        <w:jc w:val="both"/>
        <w:rPr>
          <w:sz w:val="24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                                     </w:t>
      </w:r>
    </w:p>
    <w:sectPr w:rsidR="00EC5CEB" w:rsidSect="0035469A">
      <w:headerReference w:type="even" r:id="rId8"/>
      <w:headerReference w:type="default" r:id="rId9"/>
      <w:footerReference w:type="first" r:id="rId10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DA" w:rsidRDefault="008E18DA">
      <w:r>
        <w:separator/>
      </w:r>
    </w:p>
  </w:endnote>
  <w:endnote w:type="continuationSeparator" w:id="0">
    <w:p w:rsidR="008E18DA" w:rsidRDefault="008E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5020503060202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Pr="00002833" w:rsidRDefault="008151A1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EC5CEB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746AC0">
      <w:rPr>
        <w:noProof/>
        <w:sz w:val="10"/>
        <w:szCs w:val="10"/>
      </w:rPr>
      <w:t>C:\Users\mmihali\Desktop\Διαγωνισμός Μετεγκατάστασης\ΔΗΜΟΣΙΕΥΣΕΙΣ\Δημοσιεύσεις μετάθεσης καταληκτικής ημερομηνίας\περιληψη διακήρυξης επιμελητήρια μετάθεση καταληκτικής ημερομηνίας.docx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DA" w:rsidRDefault="008E18DA">
      <w:r>
        <w:separator/>
      </w:r>
    </w:p>
  </w:footnote>
  <w:footnote w:type="continuationSeparator" w:id="0">
    <w:p w:rsidR="008E18DA" w:rsidRDefault="008E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8151A1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C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EB" w:rsidRDefault="00EC5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EC5CEB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177EF"/>
    <w:multiLevelType w:val="hybridMultilevel"/>
    <w:tmpl w:val="7C100BEA"/>
    <w:lvl w:ilvl="0" w:tplc="82D826B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15676"/>
    <w:rsid w:val="00016DE9"/>
    <w:rsid w:val="00021BB3"/>
    <w:rsid w:val="000261B4"/>
    <w:rsid w:val="000445EE"/>
    <w:rsid w:val="00047968"/>
    <w:rsid w:val="00047CFE"/>
    <w:rsid w:val="00050846"/>
    <w:rsid w:val="00054BDF"/>
    <w:rsid w:val="000630D6"/>
    <w:rsid w:val="00067FC0"/>
    <w:rsid w:val="00070787"/>
    <w:rsid w:val="000A11D9"/>
    <w:rsid w:val="00100575"/>
    <w:rsid w:val="00120B47"/>
    <w:rsid w:val="001434EA"/>
    <w:rsid w:val="00176085"/>
    <w:rsid w:val="00176852"/>
    <w:rsid w:val="00183BF2"/>
    <w:rsid w:val="001935AC"/>
    <w:rsid w:val="00194CA4"/>
    <w:rsid w:val="001B600D"/>
    <w:rsid w:val="001C3481"/>
    <w:rsid w:val="001D30CC"/>
    <w:rsid w:val="001D417F"/>
    <w:rsid w:val="00234F9B"/>
    <w:rsid w:val="0024174D"/>
    <w:rsid w:val="002544CB"/>
    <w:rsid w:val="00257079"/>
    <w:rsid w:val="00261F81"/>
    <w:rsid w:val="00280358"/>
    <w:rsid w:val="00292E8E"/>
    <w:rsid w:val="002A490F"/>
    <w:rsid w:val="002A55B6"/>
    <w:rsid w:val="002B27BB"/>
    <w:rsid w:val="002B5174"/>
    <w:rsid w:val="002E5181"/>
    <w:rsid w:val="002F36B7"/>
    <w:rsid w:val="002F55F6"/>
    <w:rsid w:val="003043EC"/>
    <w:rsid w:val="003111D1"/>
    <w:rsid w:val="00321370"/>
    <w:rsid w:val="003332B4"/>
    <w:rsid w:val="00337FA6"/>
    <w:rsid w:val="003526C2"/>
    <w:rsid w:val="0035469A"/>
    <w:rsid w:val="00356807"/>
    <w:rsid w:val="00363163"/>
    <w:rsid w:val="003853BD"/>
    <w:rsid w:val="003A23F3"/>
    <w:rsid w:val="003A3CFA"/>
    <w:rsid w:val="003C2FD8"/>
    <w:rsid w:val="003D2889"/>
    <w:rsid w:val="003D7503"/>
    <w:rsid w:val="003E51D2"/>
    <w:rsid w:val="003E5DC5"/>
    <w:rsid w:val="003F61B2"/>
    <w:rsid w:val="0041023F"/>
    <w:rsid w:val="00413EBD"/>
    <w:rsid w:val="004243C8"/>
    <w:rsid w:val="00426297"/>
    <w:rsid w:val="00433B10"/>
    <w:rsid w:val="0043787A"/>
    <w:rsid w:val="004401E5"/>
    <w:rsid w:val="00450605"/>
    <w:rsid w:val="00450814"/>
    <w:rsid w:val="004564C6"/>
    <w:rsid w:val="004637FA"/>
    <w:rsid w:val="004A1723"/>
    <w:rsid w:val="004A31F6"/>
    <w:rsid w:val="004C3EFE"/>
    <w:rsid w:val="004C3F3C"/>
    <w:rsid w:val="004C65AC"/>
    <w:rsid w:val="004E59F7"/>
    <w:rsid w:val="004F0775"/>
    <w:rsid w:val="004F1A1A"/>
    <w:rsid w:val="004F6173"/>
    <w:rsid w:val="00505CDF"/>
    <w:rsid w:val="00506C2E"/>
    <w:rsid w:val="00506F15"/>
    <w:rsid w:val="00515AC8"/>
    <w:rsid w:val="005202A1"/>
    <w:rsid w:val="00546593"/>
    <w:rsid w:val="00551757"/>
    <w:rsid w:val="0055527F"/>
    <w:rsid w:val="00560885"/>
    <w:rsid w:val="00591149"/>
    <w:rsid w:val="005933EA"/>
    <w:rsid w:val="005A7F3A"/>
    <w:rsid w:val="005E68F7"/>
    <w:rsid w:val="005F00C9"/>
    <w:rsid w:val="005F16FE"/>
    <w:rsid w:val="005F38C8"/>
    <w:rsid w:val="0060735D"/>
    <w:rsid w:val="00616223"/>
    <w:rsid w:val="00624877"/>
    <w:rsid w:val="0065262D"/>
    <w:rsid w:val="006569E0"/>
    <w:rsid w:val="006810AB"/>
    <w:rsid w:val="0068410A"/>
    <w:rsid w:val="006A0802"/>
    <w:rsid w:val="006A0DC2"/>
    <w:rsid w:val="006A76AF"/>
    <w:rsid w:val="006C2425"/>
    <w:rsid w:val="006D4782"/>
    <w:rsid w:val="006E5A44"/>
    <w:rsid w:val="00725759"/>
    <w:rsid w:val="00730E1A"/>
    <w:rsid w:val="00731E9E"/>
    <w:rsid w:val="007426CC"/>
    <w:rsid w:val="0074315C"/>
    <w:rsid w:val="00746AC0"/>
    <w:rsid w:val="00750B76"/>
    <w:rsid w:val="00760399"/>
    <w:rsid w:val="00770119"/>
    <w:rsid w:val="00773B50"/>
    <w:rsid w:val="00794CA9"/>
    <w:rsid w:val="007A0A10"/>
    <w:rsid w:val="007A55BC"/>
    <w:rsid w:val="007A67D8"/>
    <w:rsid w:val="007B7EE8"/>
    <w:rsid w:val="007C1386"/>
    <w:rsid w:val="007C500B"/>
    <w:rsid w:val="007D13DF"/>
    <w:rsid w:val="007E2DA0"/>
    <w:rsid w:val="0080059E"/>
    <w:rsid w:val="008151A1"/>
    <w:rsid w:val="00821D76"/>
    <w:rsid w:val="00822883"/>
    <w:rsid w:val="00827DB9"/>
    <w:rsid w:val="00844441"/>
    <w:rsid w:val="00853D2D"/>
    <w:rsid w:val="00855126"/>
    <w:rsid w:val="008807F7"/>
    <w:rsid w:val="00885A6C"/>
    <w:rsid w:val="008A0014"/>
    <w:rsid w:val="008A16B1"/>
    <w:rsid w:val="008B6DF3"/>
    <w:rsid w:val="008C583C"/>
    <w:rsid w:val="008D0D5F"/>
    <w:rsid w:val="008E18DA"/>
    <w:rsid w:val="008F02F8"/>
    <w:rsid w:val="008F11CA"/>
    <w:rsid w:val="008F37CA"/>
    <w:rsid w:val="009008DE"/>
    <w:rsid w:val="00904808"/>
    <w:rsid w:val="00905AA1"/>
    <w:rsid w:val="0090795A"/>
    <w:rsid w:val="009156F5"/>
    <w:rsid w:val="00926F9F"/>
    <w:rsid w:val="00957411"/>
    <w:rsid w:val="00971FC4"/>
    <w:rsid w:val="009876B8"/>
    <w:rsid w:val="009905EA"/>
    <w:rsid w:val="00992BAE"/>
    <w:rsid w:val="009A6DA8"/>
    <w:rsid w:val="009A79EC"/>
    <w:rsid w:val="009B16A1"/>
    <w:rsid w:val="009B4DA4"/>
    <w:rsid w:val="009F2399"/>
    <w:rsid w:val="009F2A71"/>
    <w:rsid w:val="009F6CB9"/>
    <w:rsid w:val="00A029F1"/>
    <w:rsid w:val="00A061A0"/>
    <w:rsid w:val="00A1075D"/>
    <w:rsid w:val="00A305FE"/>
    <w:rsid w:val="00A30E46"/>
    <w:rsid w:val="00A30FBD"/>
    <w:rsid w:val="00A31004"/>
    <w:rsid w:val="00A37375"/>
    <w:rsid w:val="00A51039"/>
    <w:rsid w:val="00A54399"/>
    <w:rsid w:val="00A54956"/>
    <w:rsid w:val="00A554EF"/>
    <w:rsid w:val="00A77334"/>
    <w:rsid w:val="00A83828"/>
    <w:rsid w:val="00AA2FDC"/>
    <w:rsid w:val="00AA55FA"/>
    <w:rsid w:val="00AB12FC"/>
    <w:rsid w:val="00AC3250"/>
    <w:rsid w:val="00AE2A14"/>
    <w:rsid w:val="00AF1F30"/>
    <w:rsid w:val="00B11F94"/>
    <w:rsid w:val="00B25057"/>
    <w:rsid w:val="00B45304"/>
    <w:rsid w:val="00B672B5"/>
    <w:rsid w:val="00BA4AF8"/>
    <w:rsid w:val="00BC4626"/>
    <w:rsid w:val="00BD3B86"/>
    <w:rsid w:val="00BE5B14"/>
    <w:rsid w:val="00BF18AA"/>
    <w:rsid w:val="00BF1D6E"/>
    <w:rsid w:val="00C01E52"/>
    <w:rsid w:val="00C15779"/>
    <w:rsid w:val="00C20812"/>
    <w:rsid w:val="00C41E92"/>
    <w:rsid w:val="00C46C96"/>
    <w:rsid w:val="00C474A8"/>
    <w:rsid w:val="00C50BD1"/>
    <w:rsid w:val="00C51881"/>
    <w:rsid w:val="00C5348B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C10A4"/>
    <w:rsid w:val="00CD6868"/>
    <w:rsid w:val="00CE1149"/>
    <w:rsid w:val="00CE140A"/>
    <w:rsid w:val="00CE71E8"/>
    <w:rsid w:val="00CF02C4"/>
    <w:rsid w:val="00D300A4"/>
    <w:rsid w:val="00D43CFE"/>
    <w:rsid w:val="00D47BE7"/>
    <w:rsid w:val="00D82771"/>
    <w:rsid w:val="00D83F36"/>
    <w:rsid w:val="00D8552F"/>
    <w:rsid w:val="00DC1BCE"/>
    <w:rsid w:val="00DC37B9"/>
    <w:rsid w:val="00DD2616"/>
    <w:rsid w:val="00DE50BB"/>
    <w:rsid w:val="00DF08EC"/>
    <w:rsid w:val="00DF788C"/>
    <w:rsid w:val="00DF7B64"/>
    <w:rsid w:val="00E029D1"/>
    <w:rsid w:val="00E15B96"/>
    <w:rsid w:val="00E1781D"/>
    <w:rsid w:val="00E35A01"/>
    <w:rsid w:val="00E47AD2"/>
    <w:rsid w:val="00E614B5"/>
    <w:rsid w:val="00E631EB"/>
    <w:rsid w:val="00E746BA"/>
    <w:rsid w:val="00EA5A78"/>
    <w:rsid w:val="00EC0741"/>
    <w:rsid w:val="00EC4D63"/>
    <w:rsid w:val="00EC5CEB"/>
    <w:rsid w:val="00EC6338"/>
    <w:rsid w:val="00EE6BA2"/>
    <w:rsid w:val="00F24753"/>
    <w:rsid w:val="00F46BD1"/>
    <w:rsid w:val="00F47CCF"/>
    <w:rsid w:val="00F617E8"/>
    <w:rsid w:val="00F752D5"/>
    <w:rsid w:val="00F91CD7"/>
    <w:rsid w:val="00F943E2"/>
    <w:rsid w:val="00FA4DFC"/>
    <w:rsid w:val="00FA5DFC"/>
    <w:rsid w:val="00FB4868"/>
    <w:rsid w:val="00FC0642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6BD1"/>
    <w:rPr>
      <w:sz w:val="20"/>
      <w:szCs w:val="20"/>
    </w:rPr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A51039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4A3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A51039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rsid w:val="00CB4949"/>
    <w:pPr>
      <w:spacing w:line="240" w:lineRule="atLeast"/>
      <w:jc w:val="both"/>
    </w:pPr>
    <w:rPr>
      <w:rFonts w:ascii="Garamond" w:hAnsi="Garamond"/>
      <w:kern w:val="18"/>
    </w:rPr>
  </w:style>
  <w:style w:type="paragraph" w:styleId="aa">
    <w:name w:val="List Paragraph"/>
    <w:basedOn w:val="a"/>
    <w:uiPriority w:val="34"/>
    <w:qFormat/>
    <w:rsid w:val="007A55BC"/>
    <w:pPr>
      <w:ind w:left="720"/>
      <w:contextualSpacing/>
    </w:pPr>
    <w:rPr>
      <w:rFonts w:ascii="Arial" w:hAnsi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ΥΠΑ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v.ifadis</cp:lastModifiedBy>
  <cp:revision>2</cp:revision>
  <cp:lastPrinted>2017-07-10T08:57:00Z</cp:lastPrinted>
  <dcterms:created xsi:type="dcterms:W3CDTF">2017-07-12T14:07:00Z</dcterms:created>
  <dcterms:modified xsi:type="dcterms:W3CDTF">2017-07-12T14:07:00Z</dcterms:modified>
</cp:coreProperties>
</file>