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DA8" w:rsidRDefault="00C11193">
      <w:pPr>
        <w:ind w:left="2160" w:firstLine="720"/>
      </w:pPr>
      <w:r>
        <w:rPr>
          <w:noProof/>
        </w:rPr>
        <w:drawing>
          <wp:anchor distT="0" distB="0" distL="0" distR="0" simplePos="0" relativeHeight="4" behindDoc="1" locked="0" layoutInCell="1" allowOverlap="1">
            <wp:simplePos x="0" y="0"/>
            <wp:positionH relativeFrom="column">
              <wp:posOffset>2097405</wp:posOffset>
            </wp:positionH>
            <wp:positionV relativeFrom="page">
              <wp:posOffset>501015</wp:posOffset>
            </wp:positionV>
            <wp:extent cx="1542415" cy="434975"/>
            <wp:effectExtent l="0" t="0" r="0" b="0"/>
            <wp:wrapNone/>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Γραφικό 1"/>
                    <pic:cNvPicPr>
                      <a:picLocks noChangeAspect="1" noChangeArrowheads="1"/>
                    </pic:cNvPicPr>
                  </pic:nvPicPr>
                  <pic:blipFill>
                    <a:blip r:embed="rId8"/>
                    <a:stretch>
                      <a:fillRect/>
                    </a:stretch>
                  </pic:blipFill>
                  <pic:spPr bwMode="auto">
                    <a:xfrm>
                      <a:off x="0" y="0"/>
                      <a:ext cx="1542415" cy="434975"/>
                    </a:xfrm>
                    <a:prstGeom prst="rect">
                      <a:avLst/>
                    </a:prstGeom>
                  </pic:spPr>
                </pic:pic>
              </a:graphicData>
            </a:graphic>
          </wp:anchor>
        </w:drawing>
      </w:r>
      <w:r>
        <w:rPr>
          <w:lang w:val="en-US"/>
        </w:rPr>
        <w:t xml:space="preserve">      </w:t>
      </w:r>
    </w:p>
    <w:p w:rsidR="00042DA8" w:rsidRDefault="00C11193">
      <w:r>
        <w:rPr>
          <w:lang w:val="en-US"/>
        </w:rPr>
        <w:t xml:space="preserve"> </w:t>
      </w:r>
      <w:r>
        <w:t xml:space="preserve"> </w:t>
      </w:r>
    </w:p>
    <w:tbl>
      <w:tblPr>
        <w:tblStyle w:val="af7"/>
        <w:tblW w:w="10740" w:type="dxa"/>
        <w:tblLook w:val="04A0" w:firstRow="1" w:lastRow="0" w:firstColumn="1" w:lastColumn="0" w:noHBand="0" w:noVBand="1"/>
      </w:tblPr>
      <w:tblGrid>
        <w:gridCol w:w="2551"/>
        <w:gridCol w:w="3522"/>
        <w:gridCol w:w="4667"/>
      </w:tblGrid>
      <w:tr w:rsidR="00042DA8">
        <w:trPr>
          <w:trHeight w:val="1020"/>
        </w:trPr>
        <w:tc>
          <w:tcPr>
            <w:tcW w:w="2551" w:type="dxa"/>
            <w:tcBorders>
              <w:top w:val="nil"/>
              <w:left w:val="nil"/>
              <w:bottom w:val="nil"/>
              <w:right w:val="nil"/>
            </w:tcBorders>
            <w:shd w:val="clear" w:color="auto" w:fill="auto"/>
          </w:tcPr>
          <w:p w:rsidR="00042DA8" w:rsidRDefault="00C11193">
            <w:pPr>
              <w:jc w:val="center"/>
              <w:rPr>
                <w:lang w:val="en-US"/>
              </w:rPr>
            </w:pPr>
            <w:r>
              <w:rPr>
                <w:noProof/>
                <w:lang w:val="en-US"/>
              </w:rPr>
              <w:drawing>
                <wp:anchor distT="0" distB="0" distL="0" distR="0" simplePos="0" relativeHeight="5" behindDoc="1" locked="0" layoutInCell="1" allowOverlap="1">
                  <wp:simplePos x="0" y="0"/>
                  <wp:positionH relativeFrom="column">
                    <wp:posOffset>342900</wp:posOffset>
                  </wp:positionH>
                  <wp:positionV relativeFrom="page">
                    <wp:posOffset>-635</wp:posOffset>
                  </wp:positionV>
                  <wp:extent cx="795020" cy="548640"/>
                  <wp:effectExtent l="0" t="0" r="0" b="0"/>
                  <wp:wrapNone/>
                  <wp:docPr id="2"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pic:cNvPicPr>
                            <a:picLocks noChangeAspect="1" noChangeArrowheads="1"/>
                          </pic:cNvPicPr>
                        </pic:nvPicPr>
                        <pic:blipFill>
                          <a:blip r:embed="rId9"/>
                          <a:stretch>
                            <a:fillRect/>
                          </a:stretch>
                        </pic:blipFill>
                        <pic:spPr bwMode="auto">
                          <a:xfrm>
                            <a:off x="0" y="0"/>
                            <a:ext cx="795020" cy="548640"/>
                          </a:xfrm>
                          <a:prstGeom prst="rect">
                            <a:avLst/>
                          </a:prstGeom>
                        </pic:spPr>
                      </pic:pic>
                    </a:graphicData>
                  </a:graphic>
                </wp:anchor>
              </w:drawing>
            </w:r>
          </w:p>
        </w:tc>
        <w:tc>
          <w:tcPr>
            <w:tcW w:w="3522" w:type="dxa"/>
            <w:tcBorders>
              <w:top w:val="nil"/>
              <w:left w:val="nil"/>
              <w:bottom w:val="nil"/>
              <w:right w:val="nil"/>
            </w:tcBorders>
            <w:shd w:val="clear" w:color="auto" w:fill="auto"/>
          </w:tcPr>
          <w:p w:rsidR="00042DA8" w:rsidRDefault="00042DA8"/>
        </w:tc>
        <w:tc>
          <w:tcPr>
            <w:tcW w:w="4667" w:type="dxa"/>
            <w:tcBorders>
              <w:top w:val="nil"/>
              <w:left w:val="nil"/>
              <w:bottom w:val="nil"/>
              <w:right w:val="nil"/>
            </w:tcBorders>
            <w:shd w:val="clear" w:color="auto" w:fill="auto"/>
          </w:tcPr>
          <w:p w:rsidR="00042DA8" w:rsidRDefault="00C11193">
            <w:r>
              <w:rPr>
                <w:noProof/>
              </w:rPr>
              <mc:AlternateContent>
                <mc:Choice Requires="wps">
                  <w:drawing>
                    <wp:anchor distT="0" distB="0" distL="0" distR="0" simplePos="0" relativeHeight="3" behindDoc="1" locked="0" layoutInCell="1" allowOverlap="1" wp14:anchorId="026F30E9">
                      <wp:simplePos x="0" y="0"/>
                      <wp:positionH relativeFrom="page">
                        <wp:posOffset>1233805</wp:posOffset>
                      </wp:positionH>
                      <wp:positionV relativeFrom="paragraph">
                        <wp:posOffset>172720</wp:posOffset>
                      </wp:positionV>
                      <wp:extent cx="1638935" cy="314960"/>
                      <wp:effectExtent l="0" t="0" r="19050" b="28575"/>
                      <wp:wrapNone/>
                      <wp:docPr id="3" name="Πλαίσιο κειμένου 2"/>
                      <wp:cNvGraphicFramePr/>
                      <a:graphic xmlns:a="http://schemas.openxmlformats.org/drawingml/2006/main">
                        <a:graphicData uri="http://schemas.microsoft.com/office/word/2010/wordprocessingShape">
                          <wps:wsp>
                            <wps:cNvSpPr/>
                            <wps:spPr>
                              <a:xfrm>
                                <a:off x="0" y="0"/>
                                <a:ext cx="1638360" cy="314280"/>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txbx>
                              <w:txbxContent>
                                <w:p w:rsidR="00042DA8" w:rsidRDefault="00C11193">
                                  <w:pPr>
                                    <w:pStyle w:val="af6"/>
                                  </w:pPr>
                                  <w:r>
                                    <w:rPr>
                                      <w:rFonts w:ascii="Arial" w:hAnsi="Arial" w:cs="Arial"/>
                                      <w:b/>
                                      <w:color w:val="FFFFFF" w:themeColor="background1"/>
                                      <w:sz w:val="28"/>
                                      <w:szCs w:val="28"/>
                                    </w:rPr>
                                    <w:t>Δελτίο Τύπου</w:t>
                                  </w:r>
                                </w:p>
                              </w:txbxContent>
                            </wps:txbx>
                            <wps:bodyPr>
                              <a:noAutofit/>
                            </wps:bodyPr>
                          </wps:wsp>
                        </a:graphicData>
                      </a:graphic>
                    </wp:anchor>
                  </w:drawing>
                </mc:Choice>
                <mc:Fallback>
                  <w:pict>
                    <v:rect id="shape_0" ID="Πλαίσιο κειμένου 2" fillcolor="#006896" stroked="t" style="position:absolute;margin-left:97.15pt;margin-top:13.6pt;width:128.95pt;height:24.7pt;mso-position-horizontal-relative:page" wp14:anchorId="026F30E9">
                      <w10:wrap type="square"/>
                      <v:fill o:detectmouseclick="t" type="solid" color2="#ff9769"/>
                      <v:stroke color="white" weight="9360" joinstyle="miter" endcap="flat"/>
                      <v:textbox>
                        <w:txbxContent>
                          <w:p>
                            <w:pPr>
                              <w:pStyle w:val="Style16"/>
                              <w:rPr/>
                            </w:pPr>
                            <w:r>
                              <w:rPr>
                                <w:rFonts w:cs="Arial" w:ascii="Arial" w:hAnsi="Arial"/>
                                <w:b/>
                                <w:color w:val="FFFFFF" w:themeColor="background1"/>
                                <w:sz w:val="28"/>
                                <w:szCs w:val="28"/>
                              </w:rPr>
                              <w:t>Δελτίο Τύπου</w:t>
                            </w:r>
                          </w:p>
                        </w:txbxContent>
                      </v:textbox>
                    </v:rect>
                  </w:pict>
                </mc:Fallback>
              </mc:AlternateContent>
            </w:r>
          </w:p>
        </w:tc>
      </w:tr>
      <w:tr w:rsidR="00042DA8">
        <w:trPr>
          <w:trHeight w:val="342"/>
        </w:trPr>
        <w:tc>
          <w:tcPr>
            <w:tcW w:w="2551" w:type="dxa"/>
            <w:tcBorders>
              <w:top w:val="nil"/>
              <w:left w:val="nil"/>
              <w:bottom w:val="nil"/>
              <w:right w:val="nil"/>
            </w:tcBorders>
            <w:shd w:val="clear" w:color="auto" w:fill="auto"/>
          </w:tcPr>
          <w:p w:rsidR="00042DA8" w:rsidRDefault="00C11193">
            <w:pPr>
              <w:jc w:val="center"/>
              <w:rPr>
                <w:rFonts w:ascii="Arial" w:hAnsi="Arial" w:cs="Arial"/>
                <w:b/>
                <w:bCs/>
                <w:color w:val="006896"/>
                <w:sz w:val="16"/>
                <w:szCs w:val="16"/>
              </w:rPr>
            </w:pPr>
            <w:r>
              <w:rPr>
                <w:rFonts w:ascii="Arial" w:hAnsi="Arial" w:cs="Arial"/>
                <w:b/>
                <w:bCs/>
                <w:color w:val="006896"/>
                <w:sz w:val="16"/>
                <w:szCs w:val="16"/>
              </w:rPr>
              <w:t>ΟΡΓΑΝΙΣΜΟΣ ΑΠΑΣΧΟΛΗΣΗΣ</w:t>
            </w:r>
          </w:p>
          <w:p w:rsidR="00042DA8" w:rsidRDefault="00C11193">
            <w:pPr>
              <w:jc w:val="center"/>
              <w:rPr>
                <w:rFonts w:ascii="Arial" w:hAnsi="Arial" w:cs="Arial"/>
                <w:b/>
                <w:bCs/>
                <w:color w:val="2F5496" w:themeColor="accent1" w:themeShade="BF"/>
                <w:sz w:val="16"/>
                <w:szCs w:val="16"/>
              </w:rPr>
            </w:pPr>
            <w:r>
              <w:rPr>
                <w:rFonts w:ascii="Arial" w:hAnsi="Arial" w:cs="Arial"/>
                <w:b/>
                <w:bCs/>
                <w:color w:val="006896"/>
                <w:sz w:val="16"/>
                <w:szCs w:val="16"/>
              </w:rPr>
              <w:t>ΕΡΓΑΤΙΚΟΥ ΔΥΝΑΜΙΚΟΥ</w:t>
            </w:r>
          </w:p>
        </w:tc>
        <w:tc>
          <w:tcPr>
            <w:tcW w:w="3522" w:type="dxa"/>
            <w:tcBorders>
              <w:top w:val="nil"/>
              <w:left w:val="nil"/>
              <w:bottom w:val="nil"/>
              <w:right w:val="nil"/>
            </w:tcBorders>
            <w:shd w:val="clear" w:color="auto" w:fill="auto"/>
          </w:tcPr>
          <w:p w:rsidR="00042DA8" w:rsidRDefault="00042DA8">
            <w:pPr>
              <w:rPr>
                <w:sz w:val="16"/>
                <w:szCs w:val="16"/>
              </w:rPr>
            </w:pPr>
          </w:p>
        </w:tc>
        <w:tc>
          <w:tcPr>
            <w:tcW w:w="4667" w:type="dxa"/>
            <w:tcBorders>
              <w:top w:val="nil"/>
              <w:left w:val="nil"/>
              <w:bottom w:val="nil"/>
              <w:right w:val="nil"/>
            </w:tcBorders>
            <w:shd w:val="clear" w:color="auto" w:fill="auto"/>
          </w:tcPr>
          <w:p w:rsidR="00042DA8" w:rsidRDefault="00042DA8">
            <w:pPr>
              <w:rPr>
                <w:sz w:val="16"/>
                <w:szCs w:val="16"/>
              </w:rPr>
            </w:pPr>
          </w:p>
        </w:tc>
      </w:tr>
      <w:tr w:rsidR="00042DA8">
        <w:trPr>
          <w:trHeight w:val="60"/>
        </w:trPr>
        <w:tc>
          <w:tcPr>
            <w:tcW w:w="2551" w:type="dxa"/>
            <w:tcBorders>
              <w:top w:val="nil"/>
              <w:left w:val="nil"/>
              <w:bottom w:val="nil"/>
              <w:right w:val="nil"/>
            </w:tcBorders>
            <w:shd w:val="clear" w:color="auto" w:fill="auto"/>
          </w:tcPr>
          <w:p w:rsidR="00042DA8" w:rsidRDefault="00042DA8">
            <w:pPr>
              <w:jc w:val="center"/>
              <w:rPr>
                <w:rFonts w:ascii="Arial" w:hAnsi="Arial" w:cs="Arial"/>
                <w:b/>
                <w:bCs/>
                <w:color w:val="2F5496" w:themeColor="accent1" w:themeShade="BF"/>
                <w:sz w:val="16"/>
                <w:szCs w:val="16"/>
              </w:rPr>
            </w:pPr>
          </w:p>
        </w:tc>
        <w:tc>
          <w:tcPr>
            <w:tcW w:w="3522" w:type="dxa"/>
            <w:tcBorders>
              <w:top w:val="nil"/>
              <w:left w:val="nil"/>
              <w:bottom w:val="nil"/>
              <w:right w:val="nil"/>
            </w:tcBorders>
            <w:shd w:val="clear" w:color="auto" w:fill="auto"/>
          </w:tcPr>
          <w:p w:rsidR="00042DA8" w:rsidRDefault="00042DA8">
            <w:pPr>
              <w:rPr>
                <w:sz w:val="16"/>
                <w:szCs w:val="16"/>
              </w:rPr>
            </w:pPr>
          </w:p>
        </w:tc>
        <w:tc>
          <w:tcPr>
            <w:tcW w:w="4667" w:type="dxa"/>
            <w:tcBorders>
              <w:top w:val="nil"/>
              <w:left w:val="nil"/>
              <w:bottom w:val="nil"/>
              <w:right w:val="nil"/>
            </w:tcBorders>
            <w:shd w:val="clear" w:color="auto" w:fill="auto"/>
          </w:tcPr>
          <w:p w:rsidR="00042DA8" w:rsidRDefault="00042DA8">
            <w:pPr>
              <w:rPr>
                <w:sz w:val="16"/>
                <w:szCs w:val="16"/>
              </w:rPr>
            </w:pPr>
          </w:p>
        </w:tc>
      </w:tr>
      <w:tr w:rsidR="00042DA8">
        <w:trPr>
          <w:trHeight w:val="342"/>
        </w:trPr>
        <w:tc>
          <w:tcPr>
            <w:tcW w:w="2551" w:type="dxa"/>
            <w:tcBorders>
              <w:top w:val="nil"/>
              <w:left w:val="nil"/>
              <w:bottom w:val="nil"/>
              <w:right w:val="nil"/>
            </w:tcBorders>
            <w:shd w:val="clear" w:color="auto" w:fill="auto"/>
          </w:tcPr>
          <w:p w:rsidR="00042DA8" w:rsidRDefault="00C11193">
            <w:pPr>
              <w:jc w:val="center"/>
              <w:rPr>
                <w:rFonts w:ascii="Arial" w:hAnsi="Arial" w:cs="Arial"/>
                <w:b/>
                <w:bCs/>
                <w:color w:val="2F5496" w:themeColor="accent1" w:themeShade="BF"/>
                <w:sz w:val="16"/>
                <w:szCs w:val="16"/>
              </w:rPr>
            </w:pPr>
            <w:r>
              <w:rPr>
                <w:noProof/>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0"/>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val="clear" w:color="auto" w:fill="auto"/>
          </w:tcPr>
          <w:p w:rsidR="00042DA8" w:rsidRDefault="00042DA8">
            <w:pPr>
              <w:rPr>
                <w:sz w:val="16"/>
                <w:szCs w:val="16"/>
              </w:rPr>
            </w:pPr>
          </w:p>
        </w:tc>
        <w:tc>
          <w:tcPr>
            <w:tcW w:w="4667" w:type="dxa"/>
            <w:tcBorders>
              <w:top w:val="nil"/>
              <w:left w:val="nil"/>
              <w:bottom w:val="nil"/>
              <w:right w:val="nil"/>
            </w:tcBorders>
            <w:shd w:val="clear" w:color="auto" w:fill="auto"/>
          </w:tcPr>
          <w:p w:rsidR="00042DA8" w:rsidRDefault="00042DA8">
            <w:pPr>
              <w:rPr>
                <w:sz w:val="16"/>
                <w:szCs w:val="16"/>
              </w:rPr>
            </w:pPr>
          </w:p>
        </w:tc>
      </w:tr>
      <w:tr w:rsidR="00042DA8">
        <w:trPr>
          <w:trHeight w:val="342"/>
        </w:trPr>
        <w:tc>
          <w:tcPr>
            <w:tcW w:w="2551" w:type="dxa"/>
            <w:tcBorders>
              <w:top w:val="nil"/>
              <w:left w:val="nil"/>
              <w:bottom w:val="nil"/>
              <w:right w:val="nil"/>
            </w:tcBorders>
            <w:shd w:val="clear" w:color="auto" w:fill="auto"/>
          </w:tcPr>
          <w:p w:rsidR="00042DA8" w:rsidRDefault="00C11193">
            <w:pPr>
              <w:jc w:val="center"/>
              <w:rPr>
                <w:rFonts w:ascii="Arial" w:hAnsi="Arial" w:cs="Arial"/>
                <w:b/>
                <w:bCs/>
                <w:color w:val="006896"/>
                <w:sz w:val="20"/>
                <w:szCs w:val="20"/>
              </w:rPr>
            </w:pPr>
            <w:r>
              <w:rPr>
                <w:rFonts w:ascii="Arial" w:hAnsi="Arial" w:cs="Arial"/>
                <w:b/>
                <w:bCs/>
                <w:color w:val="006896"/>
                <w:sz w:val="20"/>
                <w:szCs w:val="20"/>
              </w:rPr>
              <w:t>Γραφείο Τύπου</w:t>
            </w:r>
          </w:p>
          <w:p w:rsidR="00042DA8" w:rsidRDefault="00C11193">
            <w:pPr>
              <w:jc w:val="center"/>
              <w:rPr>
                <w:rFonts w:ascii="Arial" w:hAnsi="Arial" w:cs="Arial"/>
                <w:b/>
                <w:bCs/>
                <w:color w:val="006896"/>
                <w:sz w:val="16"/>
                <w:szCs w:val="16"/>
              </w:rPr>
            </w:pPr>
            <w:r>
              <w:rPr>
                <w:rFonts w:ascii="Arial" w:hAnsi="Arial" w:cs="Arial"/>
                <w:b/>
                <w:bCs/>
                <w:color w:val="006896"/>
                <w:sz w:val="20"/>
                <w:szCs w:val="20"/>
              </w:rPr>
              <w:t>Αθήνα, 09.03.2022</w:t>
            </w:r>
          </w:p>
        </w:tc>
        <w:tc>
          <w:tcPr>
            <w:tcW w:w="3522" w:type="dxa"/>
            <w:tcBorders>
              <w:top w:val="nil"/>
              <w:left w:val="nil"/>
              <w:bottom w:val="nil"/>
              <w:right w:val="nil"/>
            </w:tcBorders>
            <w:shd w:val="clear" w:color="auto" w:fill="auto"/>
          </w:tcPr>
          <w:p w:rsidR="00042DA8" w:rsidRDefault="00042DA8">
            <w:pPr>
              <w:rPr>
                <w:sz w:val="16"/>
                <w:szCs w:val="16"/>
              </w:rPr>
            </w:pPr>
          </w:p>
        </w:tc>
        <w:tc>
          <w:tcPr>
            <w:tcW w:w="4667" w:type="dxa"/>
            <w:tcBorders>
              <w:top w:val="nil"/>
              <w:left w:val="nil"/>
              <w:bottom w:val="nil"/>
              <w:right w:val="nil"/>
            </w:tcBorders>
            <w:shd w:val="clear" w:color="auto" w:fill="auto"/>
          </w:tcPr>
          <w:p w:rsidR="00042DA8" w:rsidRDefault="00042DA8">
            <w:pPr>
              <w:rPr>
                <w:sz w:val="16"/>
                <w:szCs w:val="16"/>
              </w:rPr>
            </w:pPr>
          </w:p>
        </w:tc>
      </w:tr>
    </w:tbl>
    <w:p w:rsidR="00042DA8" w:rsidRDefault="00042DA8">
      <w:pPr>
        <w:rPr>
          <w:sz w:val="16"/>
          <w:szCs w:val="16"/>
        </w:rPr>
      </w:pPr>
    </w:p>
    <w:p w:rsidR="00042DA8" w:rsidRDefault="00042DA8">
      <w:pPr>
        <w:rPr>
          <w:sz w:val="16"/>
          <w:szCs w:val="16"/>
        </w:rPr>
      </w:pPr>
    </w:p>
    <w:p w:rsidR="00042DA8" w:rsidRDefault="00042DA8">
      <w:pPr>
        <w:rPr>
          <w:sz w:val="16"/>
          <w:szCs w:val="16"/>
        </w:rPr>
      </w:pPr>
    </w:p>
    <w:p w:rsidR="00042DA8" w:rsidRDefault="00C11193">
      <w:pPr>
        <w:pStyle w:val="ac"/>
        <w:spacing w:line="240" w:lineRule="auto"/>
        <w:jc w:val="center"/>
        <w:rPr>
          <w:rFonts w:ascii="Arial" w:hAnsi="Arial" w:cs="Arial"/>
          <w:sz w:val="22"/>
          <w:szCs w:val="22"/>
        </w:rPr>
      </w:pPr>
      <w:r>
        <w:rPr>
          <w:rFonts w:ascii="Arial" w:hAnsi="Arial" w:cs="Arial"/>
          <w:b/>
          <w:bCs/>
          <w:sz w:val="22"/>
          <w:szCs w:val="22"/>
        </w:rPr>
        <w:t>ΔΕΛΤΙΟ ΤΥΠΟΥ</w:t>
      </w:r>
    </w:p>
    <w:p w:rsidR="00042DA8" w:rsidRDefault="00042DA8">
      <w:pPr>
        <w:pStyle w:val="ac"/>
        <w:spacing w:line="240" w:lineRule="auto"/>
        <w:jc w:val="center"/>
        <w:rPr>
          <w:rFonts w:ascii="Arial" w:hAnsi="Arial" w:cs="Arial"/>
          <w:sz w:val="22"/>
          <w:szCs w:val="22"/>
        </w:rPr>
      </w:pPr>
    </w:p>
    <w:p w:rsidR="00042DA8" w:rsidRDefault="00C11193">
      <w:pPr>
        <w:pStyle w:val="ac"/>
        <w:spacing w:line="240" w:lineRule="auto"/>
        <w:jc w:val="center"/>
        <w:rPr>
          <w:rFonts w:ascii="Arial" w:hAnsi="Arial" w:cs="Arial"/>
          <w:b/>
          <w:sz w:val="22"/>
          <w:szCs w:val="22"/>
        </w:rPr>
      </w:pPr>
      <w:r>
        <w:rPr>
          <w:rFonts w:ascii="Arial" w:hAnsi="Arial" w:cs="Arial"/>
          <w:b/>
          <w:sz w:val="22"/>
          <w:szCs w:val="22"/>
        </w:rPr>
        <w:t xml:space="preserve">«Άνοιξε» για όσους διέκοψαν την επιχειρηματική δραστηριότητά τους πριν το 2022 το ενισχυμένο πρόγραμμα δεύτερης επιχειρηματικής ευκαιρίας, με έμφαση στις γυναίκες </w:t>
      </w:r>
      <w:r w:rsidR="00B336E3">
        <w:rPr>
          <w:rFonts w:ascii="Arial" w:hAnsi="Arial" w:cs="Arial"/>
          <w:b/>
          <w:sz w:val="22"/>
          <w:szCs w:val="22"/>
        </w:rPr>
        <w:t xml:space="preserve">και στην ψηφιακή οικονομία </w:t>
      </w:r>
      <w:r w:rsidR="00827001">
        <w:rPr>
          <w:rFonts w:ascii="Arial" w:hAnsi="Arial" w:cs="Arial"/>
          <w:b/>
          <w:sz w:val="22"/>
          <w:szCs w:val="22"/>
        </w:rPr>
        <w:t xml:space="preserve">με </w:t>
      </w:r>
      <w:r>
        <w:rPr>
          <w:rFonts w:ascii="Arial" w:hAnsi="Arial" w:cs="Arial"/>
          <w:b/>
          <w:sz w:val="22"/>
          <w:szCs w:val="22"/>
        </w:rPr>
        <w:t xml:space="preserve">επιδότηση έως 36.000 € </w:t>
      </w:r>
    </w:p>
    <w:p w:rsidR="00042DA8" w:rsidRDefault="00042DA8">
      <w:pPr>
        <w:pStyle w:val="ac"/>
        <w:spacing w:line="240" w:lineRule="auto"/>
        <w:rPr>
          <w:rFonts w:ascii="Arial" w:hAnsi="Arial" w:cs="Arial"/>
          <w:sz w:val="22"/>
          <w:szCs w:val="22"/>
        </w:rPr>
      </w:pPr>
    </w:p>
    <w:p w:rsidR="00B336E3" w:rsidRDefault="00C11193">
      <w:pPr>
        <w:pStyle w:val="ac"/>
        <w:spacing w:line="240" w:lineRule="auto"/>
        <w:rPr>
          <w:rFonts w:ascii="Arial" w:hAnsi="Arial" w:cs="Arial"/>
          <w:sz w:val="22"/>
          <w:szCs w:val="22"/>
        </w:rPr>
      </w:pPr>
      <w:r>
        <w:rPr>
          <w:rFonts w:ascii="Arial" w:hAnsi="Arial" w:cs="Arial"/>
          <w:sz w:val="22"/>
          <w:szCs w:val="22"/>
        </w:rPr>
        <w:t>Από σήμερα Τετάρτη 9 Μαρτίου</w:t>
      </w:r>
      <w:r w:rsidR="00CA7024" w:rsidRPr="00CA7024">
        <w:rPr>
          <w:rFonts w:ascii="Arial" w:hAnsi="Arial" w:cs="Arial"/>
          <w:sz w:val="22"/>
          <w:szCs w:val="22"/>
        </w:rPr>
        <w:t>,</w:t>
      </w:r>
      <w:r>
        <w:rPr>
          <w:rFonts w:ascii="Arial" w:hAnsi="Arial" w:cs="Arial"/>
          <w:sz w:val="22"/>
          <w:szCs w:val="22"/>
        </w:rPr>
        <w:t xml:space="preserve"> μπορούν να υποβάλουν αιτήσεις όσοι άνεργοι διέκοψαν την επιχειρηματική τους δραστηριότητα </w:t>
      </w:r>
      <w:r w:rsidR="00B336E3">
        <w:rPr>
          <w:rFonts w:ascii="Arial" w:hAnsi="Arial" w:cs="Arial"/>
          <w:sz w:val="22"/>
          <w:szCs w:val="22"/>
        </w:rPr>
        <w:t>πριν το 2022</w:t>
      </w:r>
      <w:r>
        <w:rPr>
          <w:rFonts w:ascii="Arial" w:hAnsi="Arial" w:cs="Arial"/>
          <w:sz w:val="22"/>
          <w:szCs w:val="22"/>
        </w:rPr>
        <w:t xml:space="preserve"> για το ανασχεδιασμένο </w:t>
      </w:r>
      <w:r w:rsidR="00B336E3">
        <w:rPr>
          <w:rFonts w:ascii="Arial" w:hAnsi="Arial" w:cs="Arial"/>
          <w:sz w:val="22"/>
          <w:szCs w:val="22"/>
        </w:rPr>
        <w:t>π</w:t>
      </w:r>
      <w:r>
        <w:rPr>
          <w:rFonts w:ascii="Arial" w:hAnsi="Arial" w:cs="Arial"/>
          <w:sz w:val="22"/>
          <w:szCs w:val="22"/>
        </w:rPr>
        <w:t xml:space="preserve">ρόγραμμα </w:t>
      </w:r>
      <w:r w:rsidR="00B336E3">
        <w:rPr>
          <w:rFonts w:ascii="Arial" w:hAnsi="Arial" w:cs="Arial"/>
          <w:sz w:val="22"/>
          <w:szCs w:val="22"/>
        </w:rPr>
        <w:t>«</w:t>
      </w:r>
      <w:r>
        <w:rPr>
          <w:rFonts w:ascii="Arial" w:hAnsi="Arial" w:cs="Arial"/>
          <w:sz w:val="22"/>
          <w:szCs w:val="22"/>
        </w:rPr>
        <w:t>δεύτερης επιχειρηματικής ευκαιρίας» με έμφαση στις γυναίκες</w:t>
      </w:r>
      <w:r w:rsidR="00B336E3" w:rsidRPr="00B336E3">
        <w:rPr>
          <w:rFonts w:ascii="Arial" w:hAnsi="Arial" w:cs="Arial"/>
          <w:sz w:val="22"/>
          <w:szCs w:val="22"/>
        </w:rPr>
        <w:t xml:space="preserve"> </w:t>
      </w:r>
      <w:r w:rsidR="00B336E3">
        <w:rPr>
          <w:rFonts w:ascii="Arial" w:hAnsi="Arial" w:cs="Arial"/>
          <w:sz w:val="22"/>
          <w:szCs w:val="22"/>
        </w:rPr>
        <w:t>και στην ψηφιακή οικονομία</w:t>
      </w:r>
      <w:r>
        <w:rPr>
          <w:rFonts w:ascii="Arial" w:hAnsi="Arial" w:cs="Arial"/>
          <w:sz w:val="22"/>
          <w:szCs w:val="22"/>
        </w:rPr>
        <w:t xml:space="preserve">. </w:t>
      </w:r>
    </w:p>
    <w:p w:rsidR="00B336E3" w:rsidRDefault="00B336E3">
      <w:pPr>
        <w:pStyle w:val="ac"/>
        <w:spacing w:line="240" w:lineRule="auto"/>
        <w:rPr>
          <w:rFonts w:ascii="Arial" w:hAnsi="Arial" w:cs="Arial"/>
          <w:sz w:val="22"/>
          <w:szCs w:val="22"/>
        </w:rPr>
      </w:pPr>
    </w:p>
    <w:p w:rsidR="00042DA8" w:rsidRDefault="00C11193">
      <w:pPr>
        <w:pStyle w:val="ac"/>
        <w:spacing w:line="240" w:lineRule="auto"/>
        <w:rPr>
          <w:rFonts w:ascii="Arial" w:hAnsi="Arial" w:cs="Arial"/>
          <w:sz w:val="22"/>
          <w:szCs w:val="22"/>
        </w:rPr>
      </w:pPr>
      <w:r>
        <w:rPr>
          <w:rFonts w:ascii="Arial" w:hAnsi="Arial" w:cs="Arial"/>
          <w:sz w:val="22"/>
          <w:szCs w:val="22"/>
        </w:rPr>
        <w:t>Σκοπός του προγράμματος είναι να δώσει μια δεύτερη επιχειρηματική ευκαιρία σε πρώην επιχειρηματίες ώστε να επανενταχτούν στην αγορά εργασίας.</w:t>
      </w:r>
      <w:r w:rsidR="00B336E3">
        <w:rPr>
          <w:rFonts w:ascii="Arial" w:hAnsi="Arial" w:cs="Arial"/>
          <w:sz w:val="22"/>
          <w:szCs w:val="22"/>
        </w:rPr>
        <w:t xml:space="preserve"> </w:t>
      </w:r>
      <w:r>
        <w:rPr>
          <w:rFonts w:ascii="Arial" w:hAnsi="Arial" w:cs="Arial"/>
          <w:sz w:val="22"/>
          <w:szCs w:val="22"/>
        </w:rPr>
        <w:t>Η επιχορήγηση διαρκεί 12 μήνες, με 3μηνη δέσμευση και το ποσό επιχορήγησης κυμαίνεται από 12.000 € (για ατομική επιχείρηση) έως 24.000 € (για επιχείρηση με τρεις δικαιούχους εταίρους). Μετά την ολοκλήρωση της 3μηνης δέσμευσης, η διάρκεια μπορεί να επεκταθεί κατά 12 μήνες και το συνολικό ποσό της επιχορήγησης θα κυμανθεί από 20.000 € έως 36.000 €, κατόπιν αίτησης.</w:t>
      </w:r>
    </w:p>
    <w:p w:rsidR="00042DA8" w:rsidRDefault="00042DA8">
      <w:pPr>
        <w:pStyle w:val="ac"/>
        <w:spacing w:line="240" w:lineRule="auto"/>
        <w:rPr>
          <w:rFonts w:ascii="Arial" w:hAnsi="Arial" w:cs="Arial"/>
          <w:sz w:val="22"/>
          <w:szCs w:val="22"/>
        </w:rPr>
      </w:pPr>
    </w:p>
    <w:p w:rsidR="00042DA8" w:rsidRDefault="00C11193">
      <w:pPr>
        <w:pStyle w:val="ac"/>
        <w:spacing w:line="240" w:lineRule="auto"/>
        <w:rPr>
          <w:rFonts w:ascii="Arial" w:hAnsi="Arial" w:cs="Arial"/>
          <w:sz w:val="22"/>
          <w:szCs w:val="22"/>
        </w:rPr>
      </w:pPr>
      <w:r>
        <w:rPr>
          <w:rFonts w:ascii="Arial" w:hAnsi="Arial" w:cs="Arial"/>
          <w:sz w:val="22"/>
          <w:szCs w:val="22"/>
        </w:rPr>
        <w:t>Σημειώνεται ότι το πρόγραμμα έχει γίνει πιο ευέλικτο, στοχευμένο και ελκυστικό:</w:t>
      </w:r>
    </w:p>
    <w:p w:rsidR="00042DA8" w:rsidRDefault="00C11193">
      <w:pPr>
        <w:pStyle w:val="ac"/>
        <w:numPr>
          <w:ilvl w:val="0"/>
          <w:numId w:val="1"/>
        </w:numPr>
        <w:suppressAutoHyphens/>
        <w:spacing w:line="240" w:lineRule="auto"/>
        <w:ind w:left="567" w:hanging="283"/>
        <w:rPr>
          <w:rFonts w:ascii="Arial" w:hAnsi="Arial" w:cs="Arial"/>
          <w:sz w:val="22"/>
          <w:szCs w:val="22"/>
        </w:rPr>
      </w:pPr>
      <w:r>
        <w:rPr>
          <w:rFonts w:ascii="Arial" w:hAnsi="Arial" w:cs="Arial"/>
          <w:sz w:val="22"/>
          <w:szCs w:val="22"/>
        </w:rPr>
        <w:t>Τουλάχιστον 40% των θέσεων θα καλυφτούν από άνεργες γυναίκες</w:t>
      </w:r>
    </w:p>
    <w:p w:rsidR="00042DA8" w:rsidRDefault="00C11193">
      <w:pPr>
        <w:pStyle w:val="ac"/>
        <w:numPr>
          <w:ilvl w:val="0"/>
          <w:numId w:val="1"/>
        </w:numPr>
        <w:suppressAutoHyphens/>
        <w:spacing w:line="240" w:lineRule="auto"/>
        <w:ind w:left="567" w:hanging="283"/>
        <w:rPr>
          <w:rFonts w:ascii="Arial" w:hAnsi="Arial" w:cs="Arial"/>
          <w:sz w:val="22"/>
          <w:szCs w:val="22"/>
        </w:rPr>
      </w:pPr>
      <w:r>
        <w:rPr>
          <w:rFonts w:ascii="Arial" w:hAnsi="Arial" w:cs="Arial"/>
          <w:sz w:val="22"/>
          <w:szCs w:val="22"/>
        </w:rPr>
        <w:t>ΑμεΑ και γυναίκες θύματα έμφυλης βίας λαμβάνουν 60% επιπλέον μόρια</w:t>
      </w:r>
    </w:p>
    <w:p w:rsidR="00042DA8" w:rsidRDefault="00C11193">
      <w:pPr>
        <w:pStyle w:val="ac"/>
        <w:numPr>
          <w:ilvl w:val="0"/>
          <w:numId w:val="1"/>
        </w:numPr>
        <w:suppressAutoHyphens/>
        <w:spacing w:line="240" w:lineRule="auto"/>
        <w:ind w:left="567" w:hanging="283"/>
        <w:rPr>
          <w:rFonts w:ascii="Arial" w:hAnsi="Arial" w:cs="Arial"/>
          <w:sz w:val="22"/>
          <w:szCs w:val="22"/>
        </w:rPr>
      </w:pPr>
      <w:r>
        <w:rPr>
          <w:rFonts w:ascii="Arial" w:hAnsi="Arial" w:cs="Arial"/>
          <w:sz w:val="22"/>
          <w:szCs w:val="22"/>
        </w:rPr>
        <w:t>Επιχειρήσεις ψηφιακής οικονομίας λαμβάνουν 40% επιπλέον μόρια</w:t>
      </w:r>
    </w:p>
    <w:p w:rsidR="00042DA8" w:rsidRDefault="00C11193">
      <w:pPr>
        <w:pStyle w:val="ac"/>
        <w:numPr>
          <w:ilvl w:val="0"/>
          <w:numId w:val="1"/>
        </w:numPr>
        <w:suppressAutoHyphens/>
        <w:spacing w:line="240" w:lineRule="auto"/>
        <w:ind w:left="567" w:hanging="283"/>
        <w:rPr>
          <w:rFonts w:ascii="Arial" w:hAnsi="Arial" w:cs="Arial"/>
          <w:sz w:val="22"/>
          <w:szCs w:val="22"/>
        </w:rPr>
      </w:pPr>
      <w:r>
        <w:rPr>
          <w:rFonts w:ascii="Arial" w:hAnsi="Arial" w:cs="Arial"/>
          <w:sz w:val="22"/>
          <w:szCs w:val="22"/>
        </w:rPr>
        <w:t>Επιτρέπεται η συστέγαση σε θερμοκοιτίδες (</w:t>
      </w:r>
      <w:r>
        <w:rPr>
          <w:rFonts w:ascii="Arial" w:hAnsi="Arial" w:cs="Arial"/>
          <w:sz w:val="22"/>
          <w:szCs w:val="22"/>
          <w:lang w:val="en-US"/>
        </w:rPr>
        <w:t>business</w:t>
      </w:r>
      <w:r>
        <w:rPr>
          <w:rFonts w:ascii="Arial" w:hAnsi="Arial" w:cs="Arial"/>
          <w:sz w:val="22"/>
          <w:szCs w:val="22"/>
        </w:rPr>
        <w:t xml:space="preserve"> </w:t>
      </w:r>
      <w:r>
        <w:rPr>
          <w:rFonts w:ascii="Arial" w:hAnsi="Arial" w:cs="Arial"/>
          <w:sz w:val="22"/>
          <w:szCs w:val="22"/>
          <w:lang w:val="en-US"/>
        </w:rPr>
        <w:t>incubators</w:t>
      </w:r>
      <w:r>
        <w:rPr>
          <w:rFonts w:ascii="Arial" w:hAnsi="Arial" w:cs="Arial"/>
          <w:sz w:val="22"/>
          <w:szCs w:val="22"/>
        </w:rPr>
        <w:t>), χώρους συνεργασίας (</w:t>
      </w:r>
      <w:r>
        <w:rPr>
          <w:rFonts w:ascii="Arial" w:hAnsi="Arial" w:cs="Arial"/>
          <w:sz w:val="22"/>
          <w:szCs w:val="22"/>
          <w:lang w:val="en-US"/>
        </w:rPr>
        <w:t>coworking</w:t>
      </w:r>
      <w:r>
        <w:rPr>
          <w:rFonts w:ascii="Arial" w:hAnsi="Arial" w:cs="Arial"/>
          <w:sz w:val="22"/>
          <w:szCs w:val="22"/>
        </w:rPr>
        <w:t xml:space="preserve"> </w:t>
      </w:r>
      <w:r>
        <w:rPr>
          <w:rFonts w:ascii="Arial" w:hAnsi="Arial" w:cs="Arial"/>
          <w:sz w:val="22"/>
          <w:szCs w:val="22"/>
          <w:lang w:val="en-US"/>
        </w:rPr>
        <w:t>spaces</w:t>
      </w:r>
      <w:r>
        <w:rPr>
          <w:rFonts w:ascii="Arial" w:hAnsi="Arial" w:cs="Arial"/>
          <w:sz w:val="22"/>
          <w:szCs w:val="22"/>
        </w:rPr>
        <w:t xml:space="preserve">) και άλλες δομές ενίσχυσης της επιχειρηματικότητας, καθώς και η λειτουργία εντός οικίας για ψηφιακές επιχειρήσεις. </w:t>
      </w:r>
    </w:p>
    <w:p w:rsidR="00042DA8" w:rsidRDefault="00042DA8">
      <w:pPr>
        <w:pStyle w:val="ac"/>
        <w:suppressAutoHyphens/>
        <w:spacing w:line="240" w:lineRule="auto"/>
        <w:ind w:left="567"/>
        <w:rPr>
          <w:rFonts w:ascii="Arial" w:hAnsi="Arial" w:cs="Arial"/>
          <w:sz w:val="22"/>
          <w:szCs w:val="22"/>
        </w:rPr>
      </w:pPr>
    </w:p>
    <w:p w:rsidR="00042DA8" w:rsidRPr="00B336E3" w:rsidRDefault="00C11193">
      <w:pPr>
        <w:jc w:val="both"/>
        <w:rPr>
          <w:rFonts w:ascii="Arial" w:hAnsi="Arial" w:cs="Arial"/>
          <w:sz w:val="22"/>
          <w:szCs w:val="22"/>
        </w:rPr>
      </w:pPr>
      <w:r w:rsidRPr="00B336E3">
        <w:rPr>
          <w:rFonts w:ascii="Arial" w:hAnsi="Arial" w:cs="Arial"/>
          <w:sz w:val="22"/>
          <w:szCs w:val="22"/>
        </w:rPr>
        <w:t>Δικαιούχοι είναι εγγεγραμμένοι άνεργοι που πληρούν όλες τις ακόλουθες προϋποθέσεις:</w:t>
      </w:r>
    </w:p>
    <w:p w:rsidR="00042DA8" w:rsidRPr="00B336E3" w:rsidRDefault="00C11193">
      <w:pPr>
        <w:numPr>
          <w:ilvl w:val="0"/>
          <w:numId w:val="2"/>
        </w:numPr>
        <w:ind w:left="567" w:hanging="283"/>
        <w:jc w:val="both"/>
      </w:pPr>
      <w:r w:rsidRPr="00B336E3">
        <w:rPr>
          <w:rFonts w:ascii="Arial" w:hAnsi="Arial" w:cs="Arial"/>
          <w:sz w:val="22"/>
          <w:szCs w:val="22"/>
        </w:rPr>
        <w:t xml:space="preserve">έχουν διακόψει την επιχειρηματική δραστηριότητα </w:t>
      </w:r>
      <w:r w:rsidR="00B336E3">
        <w:rPr>
          <w:rFonts w:ascii="Arial" w:hAnsi="Arial" w:cs="Arial"/>
          <w:sz w:val="22"/>
          <w:szCs w:val="22"/>
        </w:rPr>
        <w:t xml:space="preserve">στο διάστημα </w:t>
      </w:r>
      <w:r w:rsidRPr="00B336E3">
        <w:rPr>
          <w:rFonts w:ascii="Arial" w:hAnsi="Arial" w:cs="Arial"/>
          <w:sz w:val="22"/>
          <w:szCs w:val="22"/>
        </w:rPr>
        <w:t xml:space="preserve">1/1/2012 </w:t>
      </w:r>
      <w:r w:rsidR="00B336E3">
        <w:rPr>
          <w:rFonts w:ascii="Arial" w:hAnsi="Arial" w:cs="Arial"/>
          <w:sz w:val="22"/>
          <w:szCs w:val="22"/>
        </w:rPr>
        <w:t>-</w:t>
      </w:r>
      <w:r w:rsidRPr="00B336E3">
        <w:rPr>
          <w:rFonts w:ascii="Arial" w:hAnsi="Arial" w:cs="Arial"/>
          <w:sz w:val="22"/>
          <w:szCs w:val="22"/>
        </w:rPr>
        <w:t xml:space="preserve"> 31/12/2021</w:t>
      </w:r>
    </w:p>
    <w:p w:rsidR="00042DA8" w:rsidRPr="00B336E3" w:rsidRDefault="00C11193">
      <w:pPr>
        <w:numPr>
          <w:ilvl w:val="0"/>
          <w:numId w:val="2"/>
        </w:numPr>
        <w:ind w:left="567" w:hanging="283"/>
        <w:jc w:val="both"/>
        <w:rPr>
          <w:rFonts w:ascii="Arial" w:hAnsi="Arial" w:cs="Arial"/>
          <w:sz w:val="22"/>
          <w:szCs w:val="22"/>
        </w:rPr>
      </w:pPr>
      <w:r w:rsidRPr="00B336E3">
        <w:rPr>
          <w:rFonts w:ascii="Arial" w:hAnsi="Arial" w:cs="Arial"/>
          <w:sz w:val="22"/>
          <w:szCs w:val="22"/>
        </w:rPr>
        <w:t>δεν έχουν μεταβιβάσει την επιχείρησή τους ή το μερίδιό τους σε επιχείρηση η οποία ανήκε σε συζύγους ή πρόσωπα α’ ή β’ βαθμού συγγένειας</w:t>
      </w:r>
      <w:bookmarkStart w:id="0" w:name="_GoBack"/>
      <w:bookmarkEnd w:id="0"/>
    </w:p>
    <w:p w:rsidR="00042DA8" w:rsidRPr="00B336E3" w:rsidRDefault="00C11193">
      <w:pPr>
        <w:numPr>
          <w:ilvl w:val="0"/>
          <w:numId w:val="2"/>
        </w:numPr>
        <w:ind w:left="567" w:hanging="283"/>
        <w:jc w:val="both"/>
      </w:pPr>
      <w:r w:rsidRPr="00B336E3">
        <w:rPr>
          <w:rFonts w:ascii="Arial" w:hAnsi="Arial" w:cs="Arial"/>
          <w:sz w:val="22"/>
          <w:szCs w:val="22"/>
        </w:rPr>
        <w:t>δεν έχουν ασκήσει οποιαδήποτε επαγγελματική/επιχειρηματική δραστηριότητα από 01/01/2022 έως τη δημοσίευση της Υπουργικής Απόφασης, και</w:t>
      </w:r>
    </w:p>
    <w:p w:rsidR="00042DA8" w:rsidRPr="00B336E3" w:rsidRDefault="00C11193">
      <w:pPr>
        <w:numPr>
          <w:ilvl w:val="0"/>
          <w:numId w:val="2"/>
        </w:numPr>
        <w:ind w:left="567" w:hanging="283"/>
        <w:jc w:val="both"/>
        <w:rPr>
          <w:rFonts w:ascii="Arial" w:hAnsi="Arial" w:cs="Arial"/>
          <w:sz w:val="22"/>
          <w:szCs w:val="22"/>
        </w:rPr>
      </w:pPr>
      <w:r w:rsidRPr="00B336E3">
        <w:rPr>
          <w:rFonts w:ascii="Arial" w:hAnsi="Arial" w:cs="Arial"/>
          <w:sz w:val="22"/>
          <w:szCs w:val="22"/>
        </w:rPr>
        <w:t>έχουν καταβάλει στον Ειδικό Λογαριασμό Ανεργίας τη μηνιαία εισφορά</w:t>
      </w:r>
      <w:r w:rsidR="00B336E3">
        <w:rPr>
          <w:rFonts w:ascii="Arial" w:hAnsi="Arial" w:cs="Arial"/>
          <w:sz w:val="22"/>
          <w:szCs w:val="22"/>
        </w:rPr>
        <w:t xml:space="preserve"> </w:t>
      </w:r>
      <w:r w:rsidRPr="00B336E3">
        <w:rPr>
          <w:rFonts w:ascii="Arial" w:hAnsi="Arial" w:cs="Arial"/>
          <w:sz w:val="22"/>
          <w:szCs w:val="22"/>
        </w:rPr>
        <w:t>10</w:t>
      </w:r>
      <w:r w:rsidR="00B336E3">
        <w:rPr>
          <w:rFonts w:ascii="Arial" w:hAnsi="Arial" w:cs="Arial"/>
          <w:sz w:val="22"/>
          <w:szCs w:val="22"/>
        </w:rPr>
        <w:t xml:space="preserve"> € </w:t>
      </w:r>
      <w:r w:rsidRPr="00B336E3">
        <w:rPr>
          <w:rFonts w:ascii="Arial" w:hAnsi="Arial" w:cs="Arial"/>
          <w:sz w:val="22"/>
          <w:szCs w:val="22"/>
        </w:rPr>
        <w:t xml:space="preserve">για τουλάχιστον </w:t>
      </w:r>
      <w:r w:rsidR="00B336E3">
        <w:rPr>
          <w:rFonts w:ascii="Arial" w:hAnsi="Arial" w:cs="Arial"/>
          <w:sz w:val="22"/>
          <w:szCs w:val="22"/>
        </w:rPr>
        <w:t>1</w:t>
      </w:r>
      <w:r w:rsidRPr="00B336E3">
        <w:rPr>
          <w:rFonts w:ascii="Arial" w:hAnsi="Arial" w:cs="Arial"/>
          <w:sz w:val="22"/>
          <w:szCs w:val="22"/>
        </w:rPr>
        <w:t xml:space="preserve"> έτος ή την έχουν ρυθμίσει και είναι ενήμεροι με τους όρους της ρύθμισης.</w:t>
      </w:r>
    </w:p>
    <w:p w:rsidR="00042DA8" w:rsidRDefault="00042DA8">
      <w:pPr>
        <w:ind w:left="567"/>
        <w:jc w:val="both"/>
        <w:rPr>
          <w:rFonts w:ascii="Arial" w:hAnsi="Arial" w:cs="Arial"/>
          <w:sz w:val="22"/>
          <w:szCs w:val="22"/>
        </w:rPr>
      </w:pPr>
    </w:p>
    <w:p w:rsidR="00B336E3" w:rsidRDefault="00C11193" w:rsidP="00B336E3">
      <w:pPr>
        <w:jc w:val="both"/>
        <w:rPr>
          <w:rFonts w:ascii="Arial" w:hAnsi="Arial" w:cs="Arial"/>
          <w:sz w:val="22"/>
          <w:szCs w:val="22"/>
        </w:rPr>
      </w:pPr>
      <w:r>
        <w:rPr>
          <w:rFonts w:ascii="Arial" w:hAnsi="Arial" w:cs="Arial"/>
          <w:sz w:val="22"/>
          <w:szCs w:val="22"/>
        </w:rPr>
        <w:t>Στο πρόγραμμα επίσης μπορούν να υποβάλουν αίτηση και άνεργοι πρώην επιχειρηματίες που δεν έχουν προχωρήσει σε νέα έναρξη δραστηριότητας, με την προϋπόθεση ότι μετά την κοινοποίηση της θετικής αξιολόγησης (προέγκριση) του επιχειρηματικού τους σχεδίου από τον ΟΑΕΔ θα προχωρήσουν στην έναρξη δραστηριότητας σε ΔΟΥ εντός δύο μηνών.</w:t>
      </w:r>
      <w:r w:rsidR="00B336E3">
        <w:rPr>
          <w:rFonts w:ascii="Arial" w:hAnsi="Arial" w:cs="Arial"/>
          <w:sz w:val="22"/>
          <w:szCs w:val="22"/>
        </w:rPr>
        <w:t xml:space="preserve"> </w:t>
      </w:r>
    </w:p>
    <w:p w:rsidR="00B336E3" w:rsidRDefault="00B336E3" w:rsidP="00B336E3">
      <w:pPr>
        <w:jc w:val="both"/>
        <w:rPr>
          <w:rFonts w:ascii="Arial" w:hAnsi="Arial" w:cs="Arial"/>
          <w:sz w:val="22"/>
          <w:szCs w:val="22"/>
        </w:rPr>
      </w:pPr>
    </w:p>
    <w:p w:rsidR="00042DA8" w:rsidRPr="00B336E3" w:rsidRDefault="00C11193" w:rsidP="00B336E3">
      <w:pPr>
        <w:jc w:val="both"/>
        <w:rPr>
          <w:rFonts w:ascii="Arial" w:hAnsi="Arial" w:cs="Arial"/>
          <w:sz w:val="22"/>
          <w:szCs w:val="22"/>
        </w:rPr>
      </w:pPr>
      <w:r>
        <w:rPr>
          <w:rFonts w:ascii="Arial" w:hAnsi="Arial" w:cs="Arial"/>
          <w:sz w:val="22"/>
          <w:szCs w:val="22"/>
        </w:rPr>
        <w:t xml:space="preserve">Ο συνολικός </w:t>
      </w:r>
      <w:r w:rsidR="00B336E3">
        <w:rPr>
          <w:rFonts w:ascii="Arial" w:hAnsi="Arial" w:cs="Arial"/>
          <w:sz w:val="22"/>
          <w:szCs w:val="22"/>
        </w:rPr>
        <w:t>προϋπολογισμός</w:t>
      </w:r>
      <w:r>
        <w:rPr>
          <w:rFonts w:ascii="Arial" w:hAnsi="Arial" w:cs="Arial"/>
          <w:sz w:val="22"/>
          <w:szCs w:val="22"/>
        </w:rPr>
        <w:t xml:space="preserve"> του προγράμματος ανέρχεται σε 48.000.000 €.</w:t>
      </w:r>
      <w:r>
        <w:rPr>
          <w:rStyle w:val="a3"/>
          <w:rFonts w:ascii="Arial" w:hAnsi="Arial" w:cs="Arial"/>
          <w:color w:val="111111"/>
          <w:sz w:val="22"/>
          <w:szCs w:val="22"/>
        </w:rPr>
        <w:t xml:space="preserve"> </w:t>
      </w:r>
    </w:p>
    <w:sectPr w:rsidR="00042DA8" w:rsidRPr="00B336E3">
      <w:headerReference w:type="default" r:id="rId11"/>
      <w:footerReference w:type="default" r:id="rId12"/>
      <w:pgSz w:w="11906" w:h="16838"/>
      <w:pgMar w:top="1077" w:right="1418" w:bottom="567" w:left="1418"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4FE" w:rsidRDefault="008A24FE">
      <w:r>
        <w:separator/>
      </w:r>
    </w:p>
  </w:endnote>
  <w:endnote w:type="continuationSeparator" w:id="0">
    <w:p w:rsidR="008A24FE" w:rsidRDefault="008A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Liberation Sans">
    <w:altName w:val="Arial"/>
    <w:panose1 w:val="020B0604020202020204"/>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Noto Serif CJK SC">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DA8" w:rsidRDefault="00042DA8">
    <w:pPr>
      <w:pStyle w:val="a7"/>
    </w:pPr>
  </w:p>
  <w:p w:rsidR="00042DA8" w:rsidRDefault="00C11193">
    <w:pPr>
      <w:pStyle w:val="a7"/>
      <w:tabs>
        <w:tab w:val="clear" w:pos="8306"/>
        <w:tab w:val="left" w:pos="4095"/>
        <w:tab w:val="left" w:pos="4153"/>
      </w:tabs>
      <w:ind w:right="360" w:firstLine="2160"/>
      <w:rPr>
        <w:rFonts w:ascii="Tahoma" w:hAnsi="Tahoma" w:cs="Cambria"/>
      </w:rPr>
    </w:pPr>
    <w:r>
      <w:rPr>
        <w:noProof/>
      </w:rPr>
      <w:drawing>
        <wp:inline distT="0" distB="0" distL="0" distR="0">
          <wp:extent cx="2700020" cy="733425"/>
          <wp:effectExtent l="0" t="0" r="0" b="0"/>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3"/>
                  <pic:cNvPicPr>
                    <a:picLocks noChangeAspect="1" noChangeArrowheads="1"/>
                  </pic:cNvPicPr>
                </pic:nvPicPr>
                <pic:blipFill>
                  <a:blip r:embed="rId1"/>
                  <a:srcRect b="31472"/>
                  <a:stretch>
                    <a:fillRect/>
                  </a:stretch>
                </pic:blipFill>
                <pic:spPr bwMode="auto">
                  <a:xfrm>
                    <a:off x="0" y="0"/>
                    <a:ext cx="2700020" cy="733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4FE" w:rsidRDefault="008A24FE">
      <w:r>
        <w:separator/>
      </w:r>
    </w:p>
  </w:footnote>
  <w:footnote w:type="continuationSeparator" w:id="0">
    <w:p w:rsidR="008A24FE" w:rsidRDefault="008A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DA8" w:rsidRDefault="00042DA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53515"/>
    <w:multiLevelType w:val="multilevel"/>
    <w:tmpl w:val="6660EC8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684D0F95"/>
    <w:multiLevelType w:val="multilevel"/>
    <w:tmpl w:val="E88A72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E29743B"/>
    <w:multiLevelType w:val="multilevel"/>
    <w:tmpl w:val="74601D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A8"/>
    <w:rsid w:val="00004E89"/>
    <w:rsid w:val="00042DA8"/>
    <w:rsid w:val="00542B88"/>
    <w:rsid w:val="005651C0"/>
    <w:rsid w:val="005E4D26"/>
    <w:rsid w:val="00827001"/>
    <w:rsid w:val="008A24FE"/>
    <w:rsid w:val="00A45C25"/>
    <w:rsid w:val="00B336E3"/>
    <w:rsid w:val="00BC4834"/>
    <w:rsid w:val="00C11193"/>
    <w:rsid w:val="00C12502"/>
    <w:rsid w:val="00C62B6D"/>
    <w:rsid w:val="00CA7024"/>
    <w:rsid w:val="00D62043"/>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0A89"/>
  <w15:docId w15:val="{B68CDB25-6D55-43A9-BF15-9F0B5889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60"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5B365E"/>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uiPriority w:val="60"/>
    <w:qFormat/>
    <w:rsid w:val="006D64A8"/>
    <w:rPr>
      <w:b/>
      <w:bCs/>
    </w:rPr>
  </w:style>
  <w:style w:type="character" w:customStyle="1" w:styleId="Char1">
    <w:name w:val="Υποσέλιδο Char1"/>
    <w:link w:val="a7"/>
    <w:uiPriority w:val="99"/>
    <w:qFormat/>
    <w:rsid w:val="00D52C58"/>
    <w:rPr>
      <w:rFonts w:ascii="Consolas" w:eastAsia="Calibri" w:hAnsi="Consolas" w:cs="Times New Roman"/>
      <w:sz w:val="21"/>
      <w:szCs w:val="21"/>
      <w:lang w:val="el-GR"/>
    </w:rPr>
  </w:style>
  <w:style w:type="character" w:customStyle="1" w:styleId="Char">
    <w:name w:val="Κείμενο πλαισίου Char"/>
    <w:link w:val="a8"/>
    <w:qFormat/>
    <w:rsid w:val="0048686C"/>
    <w:rPr>
      <w:rFonts w:ascii="Tahoma" w:hAnsi="Tahoma" w:cs="Tahoma"/>
      <w:sz w:val="16"/>
      <w:szCs w:val="16"/>
    </w:rPr>
  </w:style>
  <w:style w:type="character" w:styleId="a9">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customStyle="1" w:styleId="10">
    <w:name w:val="Ανεπίλυτη αναφορά1"/>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customStyle="1" w:styleId="Char0">
    <w:name w:val="Υποσέλιδο Char"/>
    <w:basedOn w:val="a0"/>
    <w:uiPriority w:val="99"/>
    <w:qFormat/>
    <w:rsid w:val="003769A9"/>
    <w:rPr>
      <w:sz w:val="24"/>
      <w:szCs w:val="24"/>
    </w:rPr>
  </w:style>
  <w:style w:type="character" w:customStyle="1" w:styleId="15">
    <w:name w:val="15"/>
    <w:qFormat/>
    <w:rsid w:val="005B365E"/>
  </w:style>
  <w:style w:type="character" w:styleId="aa">
    <w:name w:val="Unresolved Mention"/>
    <w:basedOn w:val="a0"/>
    <w:uiPriority w:val="99"/>
    <w:semiHidden/>
    <w:unhideWhenUsed/>
    <w:qFormat/>
    <w:rsid w:val="005B365E"/>
    <w:rPr>
      <w:color w:val="605E5C"/>
      <w:shd w:val="clear" w:color="auto" w:fill="E1DFDD"/>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Courier New"/>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paragraph" w:customStyle="1" w:styleId="ab">
    <w:name w:val="Επικεφαλίδα"/>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line="280" w:lineRule="atLeast"/>
      <w:jc w:val="both"/>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customStyle="1" w:styleId="af">
    <w:name w:val="Ευρετήριο"/>
    <w:basedOn w:val="a"/>
    <w:qFormat/>
    <w:pPr>
      <w:suppressLineNumbers/>
    </w:pPr>
    <w:rPr>
      <w:rFonts w:cs="Lohit Devanagari"/>
    </w:rPr>
  </w:style>
  <w:style w:type="paragraph" w:styleId="af0">
    <w:name w:val="Block Text"/>
    <w:basedOn w:val="a"/>
    <w:qFormat/>
    <w:pPr>
      <w:ind w:left="720" w:right="540" w:hanging="360"/>
    </w:pPr>
    <w:rPr>
      <w:rFonts w:eastAsia="SimSun"/>
      <w:szCs w:val="20"/>
    </w:rPr>
  </w:style>
  <w:style w:type="paragraph" w:styleId="a7">
    <w:name w:val="footer"/>
    <w:basedOn w:val="a"/>
    <w:link w:val="Char1"/>
    <w:uiPriority w:val="99"/>
    <w:pPr>
      <w:tabs>
        <w:tab w:val="center" w:pos="4153"/>
        <w:tab w:val="right" w:pos="8306"/>
      </w:tabs>
    </w:pPr>
  </w:style>
  <w:style w:type="paragraph" w:styleId="af1">
    <w:name w:val="header"/>
    <w:basedOn w:val="a"/>
    <w:pPr>
      <w:tabs>
        <w:tab w:val="center" w:pos="4153"/>
        <w:tab w:val="right" w:pos="8306"/>
      </w:tabs>
    </w:pPr>
  </w:style>
  <w:style w:type="paragraph" w:styleId="af2">
    <w:name w:val="List Paragraph"/>
    <w:basedOn w:val="a"/>
    <w:qFormat/>
    <w:pPr>
      <w:spacing w:line="300" w:lineRule="auto"/>
      <w:ind w:left="720"/>
      <w:jc w:val="both"/>
    </w:pPr>
    <w:rPr>
      <w:rFonts w:ascii="Arial" w:hAnsi="Arial"/>
      <w:sz w:val="22"/>
      <w:szCs w:val="20"/>
      <w:lang w:eastAsia="en-US"/>
    </w:rPr>
  </w:style>
  <w:style w:type="paragraph" w:styleId="af3">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4">
    <w:name w:val="No Spacing"/>
    <w:uiPriority w:val="1"/>
    <w:qFormat/>
    <w:rsid w:val="00AB7464"/>
    <w:rPr>
      <w:rFonts w:ascii="Calibri" w:hAnsi="Calibri"/>
      <w:sz w:val="22"/>
      <w:szCs w:val="22"/>
    </w:rPr>
  </w:style>
  <w:style w:type="paragraph" w:styleId="af5">
    <w:name w:val="Plain Text"/>
    <w:basedOn w:val="a"/>
    <w:uiPriority w:val="99"/>
    <w:unhideWhenUsed/>
    <w:qFormat/>
    <w:rsid w:val="00D52C58"/>
    <w:rPr>
      <w:rFonts w:ascii="Consolas" w:eastAsia="Calibri" w:hAnsi="Consolas"/>
      <w:sz w:val="21"/>
      <w:szCs w:val="21"/>
      <w:lang w:eastAsia="x-none"/>
    </w:rPr>
  </w:style>
  <w:style w:type="paragraph" w:styleId="a8">
    <w:name w:val="Balloon Text"/>
    <w:basedOn w:val="a"/>
    <w:link w:val="Char"/>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customStyle="1" w:styleId="Default">
    <w:name w:val="Default"/>
    <w:qFormat/>
    <w:rsid w:val="00545FBD"/>
    <w:pPr>
      <w:suppressAutoHyphens/>
    </w:pPr>
    <w:rPr>
      <w:rFonts w:ascii="Calibri" w:eastAsia="Noto Serif CJK SC" w:hAnsi="Calibri" w:cs="Calibri"/>
      <w:color w:val="000000"/>
      <w:sz w:val="24"/>
      <w:szCs w:val="24"/>
      <w:lang w:eastAsia="zh-CN" w:bidi="hi-IN"/>
    </w:rPr>
  </w:style>
  <w:style w:type="paragraph" w:customStyle="1" w:styleId="NormalWeb1">
    <w:name w:val="Normal (Web)1"/>
    <w:basedOn w:val="a"/>
    <w:qFormat/>
    <w:rsid w:val="002473B5"/>
    <w:pPr>
      <w:spacing w:before="280" w:after="280"/>
    </w:pPr>
    <w:rPr>
      <w:color w:val="000000"/>
      <w:lang w:val="en-US" w:eastAsia="zh-CN"/>
    </w:rPr>
  </w:style>
  <w:style w:type="paragraph" w:customStyle="1" w:styleId="af6">
    <w:name w:val="Περιεχόμενα πλαισίου"/>
    <w:basedOn w:val="a"/>
    <w:qFormat/>
  </w:style>
  <w:style w:type="table" w:styleId="af7">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2235-02BC-43CC-9B34-C8F91C12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2194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OAED</cp:lastModifiedBy>
  <cp:revision>3</cp:revision>
  <cp:lastPrinted>2021-09-20T12:20:00Z</cp:lastPrinted>
  <dcterms:created xsi:type="dcterms:W3CDTF">2022-03-09T08:16:00Z</dcterms:created>
  <dcterms:modified xsi:type="dcterms:W3CDTF">2022-03-09T08:19:00Z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