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420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327"/>
        <w:gridCol w:w="3526"/>
      </w:tblGrid>
      <w:tr w:rsidR="002B6D40" w14:paraId="77511EFE" w14:textId="77777777">
        <w:tc>
          <w:tcPr>
            <w:tcW w:w="4361" w:type="dxa"/>
          </w:tcPr>
          <w:p w14:paraId="096D7143" w14:textId="77777777" w:rsidR="002B6D40" w:rsidRDefault="002B6D40">
            <w:pPr>
              <w:ind w:right="-334"/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2B6D40">
              <w:rPr>
                <w:rFonts w:ascii="Calibri" w:eastAsia="Arial Unicode MS" w:hAnsi="Calibri" w:cstheme="minorBidi"/>
                <w:sz w:val="24"/>
                <w:szCs w:val="24"/>
                <w:lang w:val="el-GR" w:eastAsia="el-GR"/>
              </w:rPr>
              <w:object w:dxaOrig="1335" w:dyaOrig="1380" w14:anchorId="67EEC8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05pt;height:41.95pt" o:ole="">
                  <v:imagedata r:id="rId10" o:title=""/>
                </v:shape>
                <o:OLEObject Type="Embed" ProgID="Word.Picture.8" ShapeID="_x0000_i1025" DrawAspect="Content" ObjectID="_1717323570" r:id="rId11"/>
              </w:object>
            </w:r>
          </w:p>
        </w:tc>
        <w:tc>
          <w:tcPr>
            <w:tcW w:w="1327" w:type="dxa"/>
          </w:tcPr>
          <w:p w14:paraId="469EBDC7" w14:textId="77777777" w:rsidR="002B6D40" w:rsidRDefault="002B6D40">
            <w:pPr>
              <w:ind w:right="-334"/>
              <w:jc w:val="center"/>
              <w:rPr>
                <w:rFonts w:eastAsia="Arial Unicode MS"/>
                <w:sz w:val="24"/>
                <w:szCs w:val="24"/>
                <w:lang w:val="el-GR" w:eastAsia="el-GR"/>
              </w:rPr>
            </w:pPr>
          </w:p>
        </w:tc>
        <w:tc>
          <w:tcPr>
            <w:tcW w:w="3526" w:type="dxa"/>
          </w:tcPr>
          <w:p w14:paraId="52E35C19" w14:textId="77777777" w:rsidR="002B6D40" w:rsidRDefault="002B6D40">
            <w:pPr>
              <w:ind w:right="-334"/>
              <w:rPr>
                <w:b/>
                <w:sz w:val="24"/>
                <w:szCs w:val="24"/>
                <w:lang w:val="el-GR" w:eastAsia="el-GR"/>
              </w:rPr>
            </w:pPr>
          </w:p>
        </w:tc>
      </w:tr>
      <w:tr w:rsidR="002B6D40" w:rsidRPr="002E4878" w14:paraId="7744D139" w14:textId="77777777">
        <w:tc>
          <w:tcPr>
            <w:tcW w:w="4361" w:type="dxa"/>
          </w:tcPr>
          <w:p w14:paraId="7E1EF666" w14:textId="77777777" w:rsidR="002B6D40" w:rsidRDefault="00BA7C23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>
              <w:rPr>
                <w:rFonts w:eastAsia="Arial Unicode MS"/>
                <w:b/>
                <w:sz w:val="24"/>
                <w:szCs w:val="24"/>
                <w:lang w:val="el-GR" w:eastAsia="el-GR"/>
              </w:rPr>
              <w:t>ΠΡΕΣΒΕΙΑ ΤΗΣ ΕΛΛΑΔΟΣ</w:t>
            </w:r>
          </w:p>
          <w:p w14:paraId="04DF9846" w14:textId="77777777" w:rsidR="002B6D40" w:rsidRDefault="00BA7C23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>
              <w:rPr>
                <w:rFonts w:eastAsia="Arial Unicode MS"/>
                <w:b/>
                <w:sz w:val="24"/>
                <w:szCs w:val="24"/>
                <w:lang w:val="el-GR" w:eastAsia="el-GR"/>
              </w:rPr>
              <w:t>ΣΤΟ ΛΟΝΔΙΝΟ</w:t>
            </w:r>
          </w:p>
        </w:tc>
        <w:tc>
          <w:tcPr>
            <w:tcW w:w="1327" w:type="dxa"/>
          </w:tcPr>
          <w:p w14:paraId="10E17A97" w14:textId="77777777" w:rsidR="002B6D40" w:rsidRDefault="002B6D40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3526" w:type="dxa"/>
          </w:tcPr>
          <w:p w14:paraId="3528BF6F" w14:textId="77777777" w:rsidR="002B6D40" w:rsidRDefault="002B6D40">
            <w:pPr>
              <w:jc w:val="right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</w:tr>
      <w:tr w:rsidR="002B6D40" w14:paraId="42A0367D" w14:textId="77777777">
        <w:tc>
          <w:tcPr>
            <w:tcW w:w="4361" w:type="dxa"/>
          </w:tcPr>
          <w:p w14:paraId="261B77FC" w14:textId="77777777" w:rsidR="002B6D40" w:rsidRDefault="00BA7C23">
            <w:pPr>
              <w:jc w:val="center"/>
              <w:rPr>
                <w:rFonts w:eastAsia="Arial Unicode MS"/>
                <w:b/>
                <w:sz w:val="24"/>
                <w:szCs w:val="24"/>
                <w:lang w:val="en-GB" w:eastAsia="el-GR"/>
              </w:rPr>
            </w:pPr>
            <w:r>
              <w:rPr>
                <w:rFonts w:eastAsia="Arial Unicode MS"/>
                <w:b/>
                <w:sz w:val="24"/>
                <w:szCs w:val="24"/>
                <w:lang w:val="el-GR" w:eastAsia="el-GR"/>
              </w:rPr>
              <w:t>Γραφείο</w:t>
            </w:r>
          </w:p>
          <w:p w14:paraId="06D6D731" w14:textId="77777777" w:rsidR="002B6D40" w:rsidRDefault="00BA7C23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>
              <w:rPr>
                <w:rFonts w:eastAsia="Arial Unicode MS"/>
                <w:b/>
                <w:sz w:val="24"/>
                <w:szCs w:val="24"/>
                <w:lang w:val="el-GR" w:eastAsia="el-GR"/>
              </w:rPr>
              <w:t>Οικονομικών &amp; Εμπορικών Υποθέσεων</w:t>
            </w:r>
          </w:p>
        </w:tc>
        <w:tc>
          <w:tcPr>
            <w:tcW w:w="1327" w:type="dxa"/>
          </w:tcPr>
          <w:p w14:paraId="7B0A21B4" w14:textId="77777777" w:rsidR="002B6D40" w:rsidRDefault="002B6D40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3526" w:type="dxa"/>
          </w:tcPr>
          <w:p w14:paraId="4EBBEB5A" w14:textId="77777777" w:rsidR="002B6D40" w:rsidRDefault="00BA7C23">
            <w:pPr>
              <w:jc w:val="right"/>
              <w:rPr>
                <w:b/>
                <w:sz w:val="24"/>
                <w:szCs w:val="24"/>
                <w:lang w:val="el-GR" w:eastAsia="el-GR"/>
              </w:rPr>
            </w:pPr>
            <w:r>
              <w:rPr>
                <w:b/>
                <w:sz w:val="24"/>
                <w:szCs w:val="24"/>
                <w:lang w:val="el-GR" w:eastAsia="el-GR"/>
              </w:rPr>
              <w:t xml:space="preserve">ΑΔΙΑΒΑΘΜΗΤΟ </w:t>
            </w:r>
          </w:p>
          <w:p w14:paraId="1A40CA5E" w14:textId="77777777" w:rsidR="002B6D40" w:rsidRDefault="00BA7C23">
            <w:pPr>
              <w:jc w:val="right"/>
              <w:rPr>
                <w:sz w:val="24"/>
                <w:szCs w:val="24"/>
                <w:lang w:val="el-GR" w:eastAsia="el-GR"/>
              </w:rPr>
            </w:pPr>
            <w:r>
              <w:rPr>
                <w:b/>
                <w:sz w:val="24"/>
                <w:szCs w:val="24"/>
                <w:lang w:val="en-GB" w:eastAsia="el-GR"/>
              </w:rPr>
              <w:t>KANONIKO</w:t>
            </w:r>
          </w:p>
        </w:tc>
      </w:tr>
    </w:tbl>
    <w:p w14:paraId="1757380C" w14:textId="77777777" w:rsidR="002B6D40" w:rsidRDefault="002B6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080DE7A6" w14:textId="7D888FD9" w:rsidR="002B6D40" w:rsidRDefault="00BA7C23">
      <w:pPr>
        <w:tabs>
          <w:tab w:val="left" w:pos="1418"/>
          <w:tab w:val="right" w:pos="9026"/>
        </w:tabs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Λονδίνο, </w:t>
      </w:r>
      <w:r w:rsidR="00DB3D5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21</w:t>
      </w:r>
      <w:r w:rsidR="0098048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DB3D59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Ιουνίου </w:t>
      </w:r>
      <w:r w:rsidR="0098048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2022</w:t>
      </w:r>
    </w:p>
    <w:p w14:paraId="187C8321" w14:textId="49D43F0D" w:rsidR="002B6D40" w:rsidRPr="004E3B2A" w:rsidRDefault="00BA7C23">
      <w:pPr>
        <w:tabs>
          <w:tab w:val="left" w:pos="1418"/>
          <w:tab w:val="right" w:pos="90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Α.Π.Φ.: 4200/</w:t>
      </w:r>
      <w:r w:rsidR="00D4366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2504</w:t>
      </w:r>
    </w:p>
    <w:p w14:paraId="7F1A3D68" w14:textId="77777777" w:rsidR="00980488" w:rsidRDefault="00980488" w:rsidP="00980488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Πληροφορίες: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Γ. Βελέντζα</w:t>
      </w:r>
    </w:p>
    <w:p w14:paraId="2CB2B8D7" w14:textId="77777777" w:rsidR="00980488" w:rsidRDefault="00980488" w:rsidP="0098048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Γραμματέας ΟΕΥ Α΄</w:t>
      </w:r>
    </w:p>
    <w:p w14:paraId="326DF354" w14:textId="6E9C7243" w:rsidR="008019C3" w:rsidRDefault="008019C3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02D86EA0" w14:textId="77777777" w:rsidR="00980488" w:rsidRDefault="0098048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tbl>
      <w:tblPr>
        <w:tblW w:w="9026" w:type="dxa"/>
        <w:tblLayout w:type="fixed"/>
        <w:tblLook w:val="04A0" w:firstRow="1" w:lastRow="0" w:firstColumn="1" w:lastColumn="0" w:noHBand="0" w:noVBand="1"/>
      </w:tblPr>
      <w:tblGrid>
        <w:gridCol w:w="1200"/>
        <w:gridCol w:w="7826"/>
      </w:tblGrid>
      <w:tr w:rsidR="002B6D40" w14:paraId="3EC0A0ED" w14:textId="77777777">
        <w:tc>
          <w:tcPr>
            <w:tcW w:w="1200" w:type="dxa"/>
          </w:tcPr>
          <w:p w14:paraId="3F1CA67F" w14:textId="77777777" w:rsidR="002B6D40" w:rsidRDefault="00BA7C23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ΠΡΟΣ:</w:t>
            </w:r>
          </w:p>
        </w:tc>
        <w:tc>
          <w:tcPr>
            <w:tcW w:w="7826" w:type="dxa"/>
          </w:tcPr>
          <w:p w14:paraId="492C2CD4" w14:textId="7CEC3F2C" w:rsidR="002B6D40" w:rsidRDefault="00BA7C2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="00F94B3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 Διεύθυνση</w:t>
            </w:r>
          </w:p>
        </w:tc>
      </w:tr>
      <w:tr w:rsidR="002B6D40" w14:paraId="7A91BA73" w14:textId="77777777">
        <w:tc>
          <w:tcPr>
            <w:tcW w:w="1200" w:type="dxa"/>
          </w:tcPr>
          <w:p w14:paraId="7EEA6AC0" w14:textId="77777777" w:rsidR="002B6D40" w:rsidRDefault="00BA7C23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ΚΟΙΝ.:</w:t>
            </w:r>
          </w:p>
        </w:tc>
        <w:tc>
          <w:tcPr>
            <w:tcW w:w="7826" w:type="dxa"/>
          </w:tcPr>
          <w:p w14:paraId="020E52F9" w14:textId="77777777" w:rsidR="002B6D40" w:rsidRDefault="00BA7C23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Ως Πίνακας κοινοποίησης</w:t>
            </w:r>
          </w:p>
        </w:tc>
      </w:tr>
    </w:tbl>
    <w:p w14:paraId="00F9AA0C" w14:textId="77777777" w:rsidR="00DC3FC8" w:rsidRDefault="00DC3FC8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14:paraId="04FD4A15" w14:textId="3AE7ED94" w:rsidR="002B6D40" w:rsidRPr="00F94B34" w:rsidRDefault="00BA7C23" w:rsidP="001A2B69">
      <w:pPr>
        <w:tabs>
          <w:tab w:val="left" w:pos="993"/>
        </w:tabs>
        <w:spacing w:before="60" w:after="6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ΘΕΜΑ:</w:t>
      </w:r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ab/>
      </w:r>
      <w:r w:rsidR="00980488" w:rsidRPr="0098048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Διάθεση στην αγορά </w:t>
      </w:r>
      <w:r w:rsidR="0031186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της Μεγάλης Βρετανίας</w:t>
      </w:r>
      <w:r w:rsidR="00980488" w:rsidRPr="0098048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προϊόντων για τα οποία προηγουμένως απαιτούνταν σήμανση CE</w:t>
      </w:r>
    </w:p>
    <w:p w14:paraId="0D4A9184" w14:textId="53F37F82" w:rsidR="00EE26D4" w:rsidRPr="006557AF" w:rsidRDefault="00F94B34" w:rsidP="001958C7">
      <w:pPr>
        <w:tabs>
          <w:tab w:val="left" w:pos="993"/>
        </w:tabs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Σχετ.:</w:t>
      </w:r>
      <w:r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ab/>
      </w:r>
      <w:r w:rsidR="001958C7" w:rsidRPr="00F94B34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Έγγραφ</w:t>
      </w:r>
      <w:r w:rsidR="001958C7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ό</w:t>
      </w:r>
      <w:r w:rsidR="001958C7" w:rsidRPr="00F94B34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μας με Α.Π.Φ.: </w:t>
      </w:r>
      <w:r w:rsidR="006557AF" w:rsidRPr="00EE26D4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4200/</w:t>
      </w:r>
      <w:r w:rsidR="006557AF" w:rsidRPr="006557AF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143</w:t>
      </w:r>
      <w:r w:rsidR="006557AF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/</w:t>
      </w:r>
      <w:r w:rsidR="006557AF" w:rsidRPr="006557AF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13</w:t>
      </w:r>
      <w:r w:rsidR="006557AF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.</w:t>
      </w:r>
      <w:r w:rsidR="006557AF" w:rsidRPr="006557AF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1</w:t>
      </w:r>
      <w:r w:rsidR="006557AF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.202</w:t>
      </w:r>
      <w:r w:rsidR="006557AF" w:rsidRPr="006557AF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>2</w:t>
      </w:r>
      <w:r w:rsidR="0031186A">
        <w:rPr>
          <w:rFonts w:ascii="Times New Roman" w:eastAsia="Times New Roman" w:hAnsi="Times New Roman" w:cs="Times New Roman"/>
          <w:bCs/>
          <w:sz w:val="24"/>
          <w:szCs w:val="24"/>
          <w:lang w:val="el-GR" w:eastAsia="el-GR"/>
        </w:rPr>
        <w:t xml:space="preserve"> και προηγούμενη αλληλογραφία</w:t>
      </w:r>
    </w:p>
    <w:p w14:paraId="040FB231" w14:textId="77777777" w:rsidR="002B6D40" w:rsidRPr="00980488" w:rsidRDefault="002B6D40">
      <w:pPr>
        <w:tabs>
          <w:tab w:val="left" w:pos="993"/>
        </w:tabs>
        <w:spacing w:before="60" w:after="60" w:line="240" w:lineRule="auto"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14:paraId="28D4551C" w14:textId="457EFCC1" w:rsidR="00F01626" w:rsidRDefault="006557AF" w:rsidP="006557AF">
      <w:pPr>
        <w:pStyle w:val="ListParagraph"/>
        <w:tabs>
          <w:tab w:val="left" w:pos="440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l-GR"/>
        </w:rPr>
      </w:pPr>
      <w:r w:rsidRPr="00B94A13">
        <w:rPr>
          <w:rFonts w:ascii="Times New Roman" w:hAnsi="Times New Roman"/>
          <w:sz w:val="24"/>
          <w:szCs w:val="24"/>
          <w:lang w:val="el-GR"/>
        </w:rPr>
        <w:t>Το Η</w:t>
      </w:r>
      <w:r>
        <w:rPr>
          <w:rFonts w:ascii="Times New Roman" w:hAnsi="Times New Roman"/>
          <w:sz w:val="24"/>
          <w:szCs w:val="24"/>
          <w:lang w:val="el-GR"/>
        </w:rPr>
        <w:t>νωμένο Βασίλειο</w:t>
      </w:r>
      <w:r w:rsidRPr="00B94A13">
        <w:rPr>
          <w:rFonts w:ascii="Times New Roman" w:hAnsi="Times New Roman"/>
          <w:sz w:val="24"/>
          <w:szCs w:val="24"/>
          <w:lang w:val="el-GR"/>
        </w:rPr>
        <w:t xml:space="preserve"> εισήγαγε τη σήμανση </w:t>
      </w:r>
      <w:r w:rsidRPr="00F31648">
        <w:rPr>
          <w:rFonts w:ascii="Times New Roman" w:hAnsi="Times New Roman"/>
          <w:sz w:val="24"/>
          <w:szCs w:val="24"/>
          <w:lang w:val="el-GR"/>
        </w:rPr>
        <w:t>UKCA</w:t>
      </w:r>
      <w:r w:rsidRPr="00B94A13">
        <w:rPr>
          <w:rFonts w:ascii="Times New Roman" w:hAnsi="Times New Roman"/>
          <w:sz w:val="24"/>
          <w:szCs w:val="24"/>
          <w:lang w:val="el-GR"/>
        </w:rPr>
        <w:t xml:space="preserve"> (</w:t>
      </w:r>
      <w:r w:rsidRPr="00F31648">
        <w:rPr>
          <w:rFonts w:ascii="Times New Roman" w:hAnsi="Times New Roman"/>
          <w:sz w:val="24"/>
          <w:szCs w:val="24"/>
          <w:lang w:val="el-GR"/>
        </w:rPr>
        <w:t>UK</w:t>
      </w:r>
      <w:r w:rsidRPr="00B94A13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F31648">
        <w:rPr>
          <w:rFonts w:ascii="Times New Roman" w:hAnsi="Times New Roman"/>
          <w:sz w:val="24"/>
          <w:szCs w:val="24"/>
          <w:lang w:val="el-GR"/>
        </w:rPr>
        <w:t>Conformity</w:t>
      </w:r>
      <w:r w:rsidRPr="00B94A13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F31648">
        <w:rPr>
          <w:rFonts w:ascii="Times New Roman" w:hAnsi="Times New Roman"/>
          <w:sz w:val="24"/>
          <w:szCs w:val="24"/>
          <w:lang w:val="el-GR"/>
        </w:rPr>
        <w:t>Assessed</w:t>
      </w:r>
      <w:r w:rsidRPr="00B94A13">
        <w:rPr>
          <w:rFonts w:ascii="Times New Roman" w:hAnsi="Times New Roman"/>
          <w:sz w:val="24"/>
          <w:szCs w:val="24"/>
          <w:lang w:val="el-GR"/>
        </w:rPr>
        <w:t xml:space="preserve">), </w:t>
      </w:r>
      <w:r>
        <w:rPr>
          <w:rFonts w:ascii="Times New Roman" w:hAnsi="Times New Roman"/>
          <w:sz w:val="24"/>
          <w:szCs w:val="24"/>
          <w:lang w:val="el-GR"/>
        </w:rPr>
        <w:t>σε αναλογία με τη</w:t>
      </w:r>
      <w:r w:rsidRPr="00B94A13">
        <w:rPr>
          <w:rFonts w:ascii="Times New Roman" w:hAnsi="Times New Roman"/>
          <w:sz w:val="24"/>
          <w:szCs w:val="24"/>
          <w:lang w:val="el-GR"/>
        </w:rPr>
        <w:t xml:space="preserve"> σήμανση </w:t>
      </w:r>
      <w:r w:rsidRPr="00F31648">
        <w:rPr>
          <w:rFonts w:ascii="Times New Roman" w:hAnsi="Times New Roman"/>
          <w:sz w:val="24"/>
          <w:szCs w:val="24"/>
          <w:lang w:val="el-GR"/>
        </w:rPr>
        <w:t>CE</w:t>
      </w:r>
      <w:r>
        <w:rPr>
          <w:rFonts w:ascii="Times New Roman" w:hAnsi="Times New Roman"/>
          <w:sz w:val="24"/>
          <w:szCs w:val="24"/>
          <w:lang w:val="el-GR"/>
        </w:rPr>
        <w:t>, για τη δήλωση</w:t>
      </w:r>
      <w:r w:rsidRPr="00F31648">
        <w:rPr>
          <w:rFonts w:ascii="Times New Roman" w:hAnsi="Times New Roman"/>
          <w:sz w:val="24"/>
          <w:szCs w:val="24"/>
          <w:lang w:val="el-GR"/>
        </w:rPr>
        <w:t xml:space="preserve"> συμμόρφωση</w:t>
      </w:r>
      <w:r>
        <w:rPr>
          <w:rFonts w:ascii="Times New Roman" w:hAnsi="Times New Roman"/>
          <w:sz w:val="24"/>
          <w:szCs w:val="24"/>
          <w:lang w:val="el-GR"/>
        </w:rPr>
        <w:t>ς</w:t>
      </w:r>
      <w:r w:rsidRPr="00F31648">
        <w:rPr>
          <w:rFonts w:ascii="Times New Roman" w:hAnsi="Times New Roman"/>
          <w:sz w:val="24"/>
          <w:szCs w:val="24"/>
          <w:lang w:val="el-GR"/>
        </w:rPr>
        <w:t xml:space="preserve"> ενός προϊόντος με τις προδιαγραφές ασφάλειας </w:t>
      </w:r>
      <w:r>
        <w:rPr>
          <w:rFonts w:ascii="Times New Roman" w:hAnsi="Times New Roman"/>
          <w:sz w:val="24"/>
          <w:szCs w:val="24"/>
          <w:lang w:val="el-GR"/>
        </w:rPr>
        <w:t>της Μεγάλης Βρετανίας</w:t>
      </w:r>
      <w:r w:rsidR="0031186A">
        <w:rPr>
          <w:rFonts w:ascii="Times New Roman" w:hAnsi="Times New Roman"/>
          <w:sz w:val="24"/>
          <w:szCs w:val="24"/>
          <w:lang w:val="el-GR"/>
        </w:rPr>
        <w:t xml:space="preserve"> (ΜΒ)</w:t>
      </w:r>
      <w:r>
        <w:rPr>
          <w:rStyle w:val="FootnoteReference"/>
          <w:rFonts w:ascii="Times New Roman" w:hAnsi="Times New Roman"/>
          <w:sz w:val="24"/>
          <w:szCs w:val="24"/>
          <w:lang w:val="el-GR"/>
        </w:rPr>
        <w:footnoteReference w:id="1"/>
      </w:r>
      <w:r w:rsidR="00F01626" w:rsidRPr="00F01626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F01626">
        <w:rPr>
          <w:rFonts w:ascii="Times New Roman" w:hAnsi="Times New Roman"/>
          <w:sz w:val="24"/>
          <w:szCs w:val="24"/>
          <w:lang w:val="el-GR"/>
        </w:rPr>
        <w:t>(ανωτέρω σχετικά)</w:t>
      </w:r>
      <w:r w:rsidR="005C4700">
        <w:rPr>
          <w:rFonts w:ascii="Times New Roman" w:hAnsi="Times New Roman"/>
          <w:sz w:val="24"/>
          <w:szCs w:val="24"/>
          <w:lang w:val="el-GR"/>
        </w:rPr>
        <w:t>.</w:t>
      </w:r>
      <w:r w:rsidR="00BD557D">
        <w:rPr>
          <w:rFonts w:ascii="Times New Roman" w:hAnsi="Times New Roman"/>
          <w:sz w:val="24"/>
          <w:szCs w:val="24"/>
          <w:lang w:val="el-GR"/>
        </w:rPr>
        <w:t xml:space="preserve"> Ανακοινώθηκαν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F01626">
        <w:rPr>
          <w:rFonts w:ascii="Times New Roman" w:hAnsi="Times New Roman"/>
          <w:sz w:val="24"/>
          <w:szCs w:val="24"/>
          <w:lang w:val="el-GR"/>
        </w:rPr>
        <w:t xml:space="preserve">τα ακόλουθα μέτρα </w:t>
      </w:r>
      <w:r w:rsidR="0043749B">
        <w:rPr>
          <w:rFonts w:ascii="Times New Roman" w:hAnsi="Times New Roman"/>
          <w:sz w:val="24"/>
          <w:szCs w:val="24"/>
          <w:lang w:val="el-GR"/>
        </w:rPr>
        <w:t xml:space="preserve">και διευκρινίσεις </w:t>
      </w:r>
      <w:r w:rsidR="00F01626">
        <w:rPr>
          <w:rFonts w:ascii="Times New Roman" w:hAnsi="Times New Roman"/>
          <w:sz w:val="24"/>
          <w:szCs w:val="24"/>
          <w:lang w:val="el-GR"/>
        </w:rPr>
        <w:t xml:space="preserve">για την υποστήριξη των επιχειρήσεων που προετοιμάζονται για την υιοθέτηση της σήμανσης </w:t>
      </w:r>
      <w:r w:rsidR="00F01626">
        <w:rPr>
          <w:rFonts w:ascii="Times New Roman" w:hAnsi="Times New Roman"/>
          <w:sz w:val="24"/>
          <w:szCs w:val="24"/>
          <w:lang w:val="en-GB"/>
        </w:rPr>
        <w:t>UKCA</w:t>
      </w:r>
      <w:r w:rsidR="00F01626" w:rsidRPr="00F01626">
        <w:rPr>
          <w:rFonts w:ascii="Times New Roman" w:hAnsi="Times New Roman"/>
          <w:sz w:val="24"/>
          <w:szCs w:val="24"/>
          <w:lang w:val="el-GR"/>
        </w:rPr>
        <w:t>: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</w:p>
    <w:p w14:paraId="346A3EAB" w14:textId="7778E918" w:rsidR="00F01626" w:rsidRDefault="000F4D43" w:rsidP="00DB3D59">
      <w:pPr>
        <w:pStyle w:val="ListParagraph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Α</w:t>
      </w:r>
      <w:r w:rsidRPr="000F4D43">
        <w:rPr>
          <w:rFonts w:ascii="Times New Roman" w:hAnsi="Times New Roman"/>
          <w:sz w:val="24"/>
          <w:szCs w:val="24"/>
          <w:lang w:val="el-GR"/>
        </w:rPr>
        <w:t>ξιολόγηση συμμόρφωσης</w:t>
      </w:r>
      <w:r>
        <w:rPr>
          <w:rFonts w:ascii="Times New Roman" w:hAnsi="Times New Roman"/>
          <w:sz w:val="24"/>
          <w:szCs w:val="24"/>
          <w:lang w:val="el-GR"/>
        </w:rPr>
        <w:t xml:space="preserve"> για τη λήψη της σήμανσης </w:t>
      </w:r>
      <w:r>
        <w:rPr>
          <w:rFonts w:ascii="Times New Roman" w:hAnsi="Times New Roman"/>
          <w:sz w:val="24"/>
          <w:szCs w:val="24"/>
          <w:lang w:val="en-GB"/>
        </w:rPr>
        <w:t>CE</w:t>
      </w:r>
      <w:r>
        <w:rPr>
          <w:rFonts w:ascii="Times New Roman" w:hAnsi="Times New Roman"/>
          <w:sz w:val="24"/>
          <w:szCs w:val="24"/>
          <w:lang w:val="el-GR"/>
        </w:rPr>
        <w:t xml:space="preserve"> που </w:t>
      </w:r>
      <w:r w:rsidR="001A3FD5">
        <w:rPr>
          <w:rFonts w:ascii="Times New Roman" w:hAnsi="Times New Roman"/>
          <w:sz w:val="24"/>
          <w:szCs w:val="24"/>
          <w:lang w:val="el-GR"/>
        </w:rPr>
        <w:t xml:space="preserve">πραγματοποιήθηκε από οργανισμό της ΕΕ </w:t>
      </w:r>
      <w:r>
        <w:rPr>
          <w:rFonts w:ascii="Times New Roman" w:hAnsi="Times New Roman"/>
          <w:sz w:val="24"/>
          <w:szCs w:val="24"/>
          <w:lang w:val="el-GR"/>
        </w:rPr>
        <w:t xml:space="preserve">μέχρι τις 31 Δεκεμβρίου 2022, θα μπορεί να χρησιμοποιηθεί από τους κατασκευαστές ως βάση για τη σήμανση </w:t>
      </w:r>
      <w:r w:rsidRPr="006557AF">
        <w:rPr>
          <w:rFonts w:ascii="Times New Roman" w:hAnsi="Times New Roman"/>
          <w:sz w:val="24"/>
          <w:szCs w:val="24"/>
          <w:lang w:val="en-GB"/>
        </w:rPr>
        <w:t>UKCA</w:t>
      </w:r>
      <w:r w:rsidR="00F357D5">
        <w:rPr>
          <w:rFonts w:ascii="Times New Roman" w:hAnsi="Times New Roman"/>
          <w:sz w:val="24"/>
          <w:szCs w:val="24"/>
          <w:lang w:val="el-GR"/>
        </w:rPr>
        <w:t xml:space="preserve">, η οποία θα </w:t>
      </w:r>
      <w:r w:rsidR="00EA74DA">
        <w:rPr>
          <w:rFonts w:ascii="Times New Roman" w:hAnsi="Times New Roman"/>
          <w:sz w:val="24"/>
          <w:szCs w:val="24"/>
          <w:lang w:val="el-GR"/>
        </w:rPr>
        <w:t xml:space="preserve">ισχύει </w:t>
      </w:r>
      <w:r w:rsidR="00F357D5">
        <w:rPr>
          <w:rFonts w:ascii="Times New Roman" w:hAnsi="Times New Roman"/>
          <w:sz w:val="24"/>
          <w:szCs w:val="24"/>
          <w:lang w:val="el-GR"/>
        </w:rPr>
        <w:t xml:space="preserve">μέχρι τη λήξη του πιστοποιητικού τους ή για 5 χρόνια (31 Δεκεμβρίου 2027), όποιο από τα δύο συμβεί </w:t>
      </w:r>
      <w:r w:rsidR="00BD557D">
        <w:rPr>
          <w:rFonts w:ascii="Times New Roman" w:hAnsi="Times New Roman"/>
          <w:sz w:val="24"/>
          <w:szCs w:val="24"/>
          <w:lang w:val="el-GR"/>
        </w:rPr>
        <w:t>πρώτο</w:t>
      </w:r>
      <w:r w:rsidR="00F357D5">
        <w:rPr>
          <w:rFonts w:ascii="Times New Roman" w:hAnsi="Times New Roman"/>
          <w:sz w:val="24"/>
          <w:szCs w:val="24"/>
          <w:lang w:val="el-GR"/>
        </w:rPr>
        <w:t>.</w:t>
      </w:r>
    </w:p>
    <w:p w14:paraId="545A7766" w14:textId="7427E26E" w:rsidR="00D3278A" w:rsidRDefault="0043749B" w:rsidP="00DB3D59">
      <w:pPr>
        <w:pStyle w:val="ListParagraph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Δεν </w:t>
      </w:r>
      <w:r w:rsidR="00AF5165">
        <w:rPr>
          <w:rFonts w:ascii="Times New Roman" w:hAnsi="Times New Roman"/>
          <w:sz w:val="24"/>
          <w:szCs w:val="24"/>
          <w:lang w:val="el-GR"/>
        </w:rPr>
        <w:t xml:space="preserve">θα </w:t>
      </w:r>
      <w:r>
        <w:rPr>
          <w:rFonts w:ascii="Times New Roman" w:hAnsi="Times New Roman"/>
          <w:sz w:val="24"/>
          <w:szCs w:val="24"/>
          <w:lang w:val="el-GR"/>
        </w:rPr>
        <w:t xml:space="preserve">απαιτείται επαναξιολόγηση της συμμόρφωσης </w:t>
      </w:r>
      <w:r w:rsidR="00AF5165">
        <w:rPr>
          <w:rFonts w:ascii="Times New Roman" w:hAnsi="Times New Roman"/>
          <w:sz w:val="24"/>
          <w:szCs w:val="24"/>
          <w:lang w:val="el-GR"/>
        </w:rPr>
        <w:t>προϊόντων</w:t>
      </w:r>
      <w:r w:rsidR="00AF5165" w:rsidRPr="00AF516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F5165">
        <w:rPr>
          <w:rFonts w:ascii="Times New Roman" w:hAnsi="Times New Roman"/>
          <w:sz w:val="24"/>
          <w:szCs w:val="24"/>
          <w:lang w:val="el-GR"/>
        </w:rPr>
        <w:t>που</w:t>
      </w:r>
      <w:r w:rsidR="00AF5165" w:rsidRPr="00AF516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F5165">
        <w:rPr>
          <w:rFonts w:ascii="Times New Roman" w:hAnsi="Times New Roman"/>
          <w:sz w:val="24"/>
          <w:szCs w:val="24"/>
          <w:lang w:val="el-GR"/>
        </w:rPr>
        <w:t>φέρουν</w:t>
      </w:r>
      <w:r w:rsidR="00AF5165" w:rsidRPr="00AF516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F5165">
        <w:rPr>
          <w:rFonts w:ascii="Times New Roman" w:hAnsi="Times New Roman"/>
          <w:sz w:val="24"/>
          <w:szCs w:val="24"/>
          <w:lang w:val="el-GR"/>
        </w:rPr>
        <w:t>σήμανση</w:t>
      </w:r>
      <w:r w:rsidR="00AF5165" w:rsidRPr="00AF516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F5165" w:rsidRPr="001A3FD5">
        <w:rPr>
          <w:rFonts w:ascii="Times New Roman" w:hAnsi="Times New Roman"/>
          <w:sz w:val="24"/>
          <w:szCs w:val="24"/>
          <w:lang w:val="en-GB"/>
        </w:rPr>
        <w:t>CE</w:t>
      </w:r>
      <w:r w:rsidR="00AF5165" w:rsidRPr="00AF516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F5165">
        <w:rPr>
          <w:rFonts w:ascii="Times New Roman" w:hAnsi="Times New Roman"/>
          <w:sz w:val="24"/>
          <w:szCs w:val="24"/>
          <w:lang w:val="el-GR"/>
        </w:rPr>
        <w:t>τα</w:t>
      </w:r>
      <w:r w:rsidR="00AF5165" w:rsidRPr="00AF516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F5165">
        <w:rPr>
          <w:rFonts w:ascii="Times New Roman" w:hAnsi="Times New Roman"/>
          <w:sz w:val="24"/>
          <w:szCs w:val="24"/>
          <w:lang w:val="el-GR"/>
        </w:rPr>
        <w:t>οποία</w:t>
      </w:r>
      <w:r w:rsidR="00AF5165" w:rsidRPr="00AF516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F5165">
        <w:rPr>
          <w:rFonts w:ascii="Times New Roman" w:hAnsi="Times New Roman"/>
          <w:sz w:val="24"/>
          <w:szCs w:val="24"/>
          <w:lang w:val="el-GR"/>
        </w:rPr>
        <w:t>κατασκευάστηκαν</w:t>
      </w:r>
      <w:r w:rsidR="00AF5165" w:rsidRPr="00AF516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F5165">
        <w:rPr>
          <w:rFonts w:ascii="Times New Roman" w:hAnsi="Times New Roman"/>
          <w:sz w:val="24"/>
          <w:szCs w:val="24"/>
          <w:lang w:val="el-GR"/>
        </w:rPr>
        <w:t>και</w:t>
      </w:r>
      <w:r w:rsidR="00AF5165" w:rsidRPr="00AF516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F5165">
        <w:rPr>
          <w:rFonts w:ascii="Times New Roman" w:hAnsi="Times New Roman"/>
          <w:sz w:val="24"/>
          <w:szCs w:val="24"/>
          <w:lang w:val="el-GR"/>
        </w:rPr>
        <w:t>εισήχθησαν</w:t>
      </w:r>
      <w:r w:rsidR="00AF5165" w:rsidRPr="00AF516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F5165">
        <w:rPr>
          <w:rFonts w:ascii="Times New Roman" w:hAnsi="Times New Roman"/>
          <w:sz w:val="24"/>
          <w:szCs w:val="24"/>
          <w:lang w:val="el-GR"/>
        </w:rPr>
        <w:t>στη</w:t>
      </w:r>
      <w:r w:rsidR="00AF5165" w:rsidRPr="00AF516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F5165">
        <w:rPr>
          <w:rFonts w:ascii="Times New Roman" w:hAnsi="Times New Roman"/>
          <w:sz w:val="24"/>
          <w:szCs w:val="24"/>
          <w:lang w:val="el-GR"/>
        </w:rPr>
        <w:t>ΜΒ</w:t>
      </w:r>
      <w:r w:rsidR="00AF5165" w:rsidRPr="00AF516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F5165">
        <w:rPr>
          <w:rFonts w:ascii="Times New Roman" w:hAnsi="Times New Roman"/>
          <w:sz w:val="24"/>
          <w:szCs w:val="24"/>
          <w:lang w:val="el-GR"/>
        </w:rPr>
        <w:t>μέχρι</w:t>
      </w:r>
      <w:r w:rsidR="00AF5165" w:rsidRPr="00AF516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F5165">
        <w:rPr>
          <w:rFonts w:ascii="Times New Roman" w:hAnsi="Times New Roman"/>
          <w:sz w:val="24"/>
          <w:szCs w:val="24"/>
          <w:lang w:val="el-GR"/>
        </w:rPr>
        <w:t>το</w:t>
      </w:r>
      <w:r w:rsidR="00AF5165" w:rsidRPr="00AF516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F5165">
        <w:rPr>
          <w:rFonts w:ascii="Times New Roman" w:hAnsi="Times New Roman"/>
          <w:sz w:val="24"/>
          <w:szCs w:val="24"/>
          <w:lang w:val="el-GR"/>
        </w:rPr>
        <w:t>τέλος</w:t>
      </w:r>
      <w:r w:rsidR="00AF5165" w:rsidRPr="00AF516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F5165">
        <w:rPr>
          <w:rFonts w:ascii="Times New Roman" w:hAnsi="Times New Roman"/>
          <w:sz w:val="24"/>
          <w:szCs w:val="24"/>
          <w:lang w:val="el-GR"/>
        </w:rPr>
        <w:t>του 2022</w:t>
      </w:r>
      <w:r w:rsidR="00D3278A">
        <w:rPr>
          <w:rFonts w:ascii="Times New Roman" w:hAnsi="Times New Roman"/>
          <w:sz w:val="24"/>
          <w:szCs w:val="24"/>
          <w:lang w:val="el-GR"/>
        </w:rPr>
        <w:t>.</w:t>
      </w:r>
    </w:p>
    <w:p w14:paraId="622D801B" w14:textId="1E535994" w:rsidR="00F357D5" w:rsidRDefault="003E30E7" w:rsidP="00DB3D59">
      <w:pPr>
        <w:pStyle w:val="ListParagraph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Α</w:t>
      </w:r>
      <w:r w:rsidRPr="003E30E7">
        <w:rPr>
          <w:rFonts w:ascii="Times New Roman" w:hAnsi="Times New Roman"/>
          <w:sz w:val="24"/>
          <w:szCs w:val="24"/>
          <w:lang w:val="el-GR"/>
        </w:rPr>
        <w:t xml:space="preserve">νταλλακτικά </w:t>
      </w:r>
      <w:r>
        <w:rPr>
          <w:rFonts w:ascii="Times New Roman" w:hAnsi="Times New Roman"/>
          <w:sz w:val="24"/>
          <w:szCs w:val="24"/>
          <w:lang w:val="el-GR"/>
        </w:rPr>
        <w:t xml:space="preserve">για την επισκευή, </w:t>
      </w:r>
      <w:r w:rsidR="00EA74DA">
        <w:rPr>
          <w:rFonts w:ascii="Times New Roman" w:hAnsi="Times New Roman"/>
          <w:sz w:val="24"/>
          <w:szCs w:val="24"/>
          <w:lang w:val="el-GR"/>
        </w:rPr>
        <w:t xml:space="preserve">την </w:t>
      </w:r>
      <w:r>
        <w:rPr>
          <w:rFonts w:ascii="Times New Roman" w:hAnsi="Times New Roman"/>
          <w:sz w:val="24"/>
          <w:szCs w:val="24"/>
          <w:lang w:val="el-GR"/>
        </w:rPr>
        <w:t xml:space="preserve">αντικατάσταση ή </w:t>
      </w:r>
      <w:r w:rsidR="00EA74DA">
        <w:rPr>
          <w:rFonts w:ascii="Times New Roman" w:hAnsi="Times New Roman"/>
          <w:sz w:val="24"/>
          <w:szCs w:val="24"/>
          <w:lang w:val="el-GR"/>
        </w:rPr>
        <w:t xml:space="preserve">τη </w:t>
      </w:r>
      <w:r>
        <w:rPr>
          <w:rFonts w:ascii="Times New Roman" w:hAnsi="Times New Roman"/>
          <w:sz w:val="24"/>
          <w:szCs w:val="24"/>
          <w:lang w:val="el-GR"/>
        </w:rPr>
        <w:t>συντήρηση προϊόντων</w:t>
      </w:r>
      <w:r w:rsidRPr="003E30E7">
        <w:rPr>
          <w:rFonts w:ascii="Times New Roman" w:hAnsi="Times New Roman"/>
          <w:sz w:val="24"/>
          <w:szCs w:val="24"/>
          <w:lang w:val="el-GR"/>
        </w:rPr>
        <w:t xml:space="preserve"> που </w:t>
      </w:r>
      <w:r>
        <w:rPr>
          <w:rFonts w:ascii="Times New Roman" w:hAnsi="Times New Roman"/>
          <w:sz w:val="24"/>
          <w:szCs w:val="24"/>
          <w:lang w:val="el-GR"/>
        </w:rPr>
        <w:t>διατίθενται</w:t>
      </w:r>
      <w:r w:rsidRPr="003E30E7">
        <w:rPr>
          <w:rFonts w:ascii="Times New Roman" w:hAnsi="Times New Roman"/>
          <w:sz w:val="24"/>
          <w:szCs w:val="24"/>
          <w:lang w:val="el-GR"/>
        </w:rPr>
        <w:t xml:space="preserve"> ήδη στην αγορά </w:t>
      </w:r>
      <w:r>
        <w:rPr>
          <w:rFonts w:ascii="Times New Roman" w:hAnsi="Times New Roman"/>
          <w:sz w:val="24"/>
          <w:szCs w:val="24"/>
          <w:lang w:val="el-GR"/>
        </w:rPr>
        <w:t xml:space="preserve">της </w:t>
      </w:r>
      <w:r w:rsidR="00DB3D59">
        <w:rPr>
          <w:rFonts w:ascii="Times New Roman" w:hAnsi="Times New Roman"/>
          <w:sz w:val="24"/>
          <w:szCs w:val="24"/>
          <w:lang w:val="el-GR"/>
        </w:rPr>
        <w:t>ΜΒ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3E30E7">
        <w:rPr>
          <w:rFonts w:ascii="Times New Roman" w:hAnsi="Times New Roman"/>
          <w:sz w:val="24"/>
          <w:szCs w:val="24"/>
          <w:lang w:val="el-GR"/>
        </w:rPr>
        <w:t xml:space="preserve">μπορούν να πληρούν τις ίδιες απαιτήσεις που ίσχυαν τη στιγμή που το αρχικό προϊόν ή σύστημα </w:t>
      </w:r>
      <w:r w:rsidR="00EA74DA">
        <w:rPr>
          <w:rFonts w:ascii="Times New Roman" w:hAnsi="Times New Roman"/>
          <w:sz w:val="24"/>
          <w:szCs w:val="24"/>
          <w:lang w:val="el-GR"/>
        </w:rPr>
        <w:t>διατέθηκε</w:t>
      </w:r>
      <w:r w:rsidRPr="003E30E7">
        <w:rPr>
          <w:rFonts w:ascii="Times New Roman" w:hAnsi="Times New Roman"/>
          <w:sz w:val="24"/>
          <w:szCs w:val="24"/>
          <w:lang w:val="el-GR"/>
        </w:rPr>
        <w:t xml:space="preserve"> στην αγορά </w:t>
      </w:r>
      <w:r w:rsidR="00EA74DA">
        <w:rPr>
          <w:rFonts w:ascii="Times New Roman" w:hAnsi="Times New Roman"/>
          <w:sz w:val="24"/>
          <w:szCs w:val="24"/>
          <w:lang w:val="el-GR"/>
        </w:rPr>
        <w:t xml:space="preserve">της </w:t>
      </w:r>
      <w:r w:rsidR="00DB3D59">
        <w:rPr>
          <w:rFonts w:ascii="Times New Roman" w:hAnsi="Times New Roman"/>
          <w:sz w:val="24"/>
          <w:szCs w:val="24"/>
          <w:lang w:val="el-GR"/>
        </w:rPr>
        <w:t>ΜΒ</w:t>
      </w:r>
      <w:r w:rsidRPr="003E30E7">
        <w:rPr>
          <w:rFonts w:ascii="Times New Roman" w:hAnsi="Times New Roman"/>
          <w:sz w:val="24"/>
          <w:szCs w:val="24"/>
          <w:lang w:val="el-GR"/>
        </w:rPr>
        <w:t>.</w:t>
      </w:r>
    </w:p>
    <w:p w14:paraId="1C3848F1" w14:textId="2BF82680" w:rsidR="00821A71" w:rsidRPr="00821A71" w:rsidRDefault="00821A71" w:rsidP="00DB3D59">
      <w:pPr>
        <w:pStyle w:val="ListParagraph"/>
        <w:numPr>
          <w:ilvl w:val="0"/>
          <w:numId w:val="8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Θα επιτρέπεται η </w:t>
      </w:r>
      <w:r w:rsidR="001B6B2D">
        <w:rPr>
          <w:rFonts w:ascii="Times New Roman" w:hAnsi="Times New Roman"/>
          <w:sz w:val="24"/>
          <w:szCs w:val="24"/>
          <w:lang w:val="el-GR"/>
        </w:rPr>
        <w:t>εμφάνιση</w:t>
      </w:r>
      <w:r>
        <w:rPr>
          <w:rFonts w:ascii="Times New Roman" w:hAnsi="Times New Roman"/>
          <w:sz w:val="24"/>
          <w:szCs w:val="24"/>
          <w:lang w:val="el-GR"/>
        </w:rPr>
        <w:t xml:space="preserve"> του σήματος </w:t>
      </w:r>
      <w:r w:rsidRPr="006557AF">
        <w:rPr>
          <w:rFonts w:ascii="Times New Roman" w:hAnsi="Times New Roman"/>
          <w:sz w:val="24"/>
          <w:szCs w:val="24"/>
          <w:lang w:val="en-GB"/>
        </w:rPr>
        <w:t>UKCA</w:t>
      </w:r>
      <w:r w:rsidRPr="00821A71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 xml:space="preserve">και η αναγραφή </w:t>
      </w:r>
      <w:r w:rsidRPr="00821A71">
        <w:rPr>
          <w:rFonts w:ascii="Times New Roman" w:hAnsi="Times New Roman"/>
          <w:sz w:val="24"/>
          <w:szCs w:val="24"/>
          <w:lang w:val="el-GR"/>
        </w:rPr>
        <w:t>τη</w:t>
      </w:r>
      <w:r>
        <w:rPr>
          <w:rFonts w:ascii="Times New Roman" w:hAnsi="Times New Roman"/>
          <w:sz w:val="24"/>
          <w:szCs w:val="24"/>
          <w:lang w:val="el-GR"/>
        </w:rPr>
        <w:t>ς</w:t>
      </w:r>
      <w:r w:rsidRPr="00821A71">
        <w:rPr>
          <w:rFonts w:ascii="Times New Roman" w:hAnsi="Times New Roman"/>
          <w:sz w:val="24"/>
          <w:szCs w:val="24"/>
          <w:lang w:val="el-GR"/>
        </w:rPr>
        <w:t xml:space="preserve"> επωνυμία</w:t>
      </w:r>
      <w:r>
        <w:rPr>
          <w:rFonts w:ascii="Times New Roman" w:hAnsi="Times New Roman"/>
          <w:sz w:val="24"/>
          <w:szCs w:val="24"/>
          <w:lang w:val="el-GR"/>
        </w:rPr>
        <w:t>ς</w:t>
      </w:r>
      <w:r w:rsidRPr="00821A71">
        <w:rPr>
          <w:rFonts w:ascii="Times New Roman" w:hAnsi="Times New Roman"/>
          <w:sz w:val="24"/>
          <w:szCs w:val="24"/>
          <w:lang w:val="el-GR"/>
        </w:rPr>
        <w:t xml:space="preserve"> και </w:t>
      </w:r>
      <w:r>
        <w:rPr>
          <w:rFonts w:ascii="Times New Roman" w:hAnsi="Times New Roman"/>
          <w:sz w:val="24"/>
          <w:szCs w:val="24"/>
          <w:lang w:val="el-GR"/>
        </w:rPr>
        <w:t xml:space="preserve">των </w:t>
      </w:r>
      <w:r w:rsidRPr="00821A71">
        <w:rPr>
          <w:rFonts w:ascii="Times New Roman" w:hAnsi="Times New Roman"/>
          <w:sz w:val="24"/>
          <w:szCs w:val="24"/>
          <w:lang w:val="el-GR"/>
        </w:rPr>
        <w:t>στοιχεί</w:t>
      </w:r>
      <w:r>
        <w:rPr>
          <w:rFonts w:ascii="Times New Roman" w:hAnsi="Times New Roman"/>
          <w:sz w:val="24"/>
          <w:szCs w:val="24"/>
          <w:lang w:val="el-GR"/>
        </w:rPr>
        <w:t>ων</w:t>
      </w:r>
      <w:r w:rsidRPr="00821A71">
        <w:rPr>
          <w:rFonts w:ascii="Times New Roman" w:hAnsi="Times New Roman"/>
          <w:sz w:val="24"/>
          <w:szCs w:val="24"/>
          <w:lang w:val="el-GR"/>
        </w:rPr>
        <w:t xml:space="preserve"> επικοινωνίας του εισαγωγέα</w:t>
      </w:r>
      <w:r w:rsidR="001B6B2D">
        <w:rPr>
          <w:rFonts w:ascii="Times New Roman" w:hAnsi="Times New Roman"/>
          <w:sz w:val="24"/>
          <w:szCs w:val="24"/>
          <w:lang w:val="el-GR"/>
        </w:rPr>
        <w:t>,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1B6B2D">
        <w:rPr>
          <w:rFonts w:ascii="Times New Roman" w:hAnsi="Times New Roman"/>
          <w:sz w:val="24"/>
          <w:szCs w:val="24"/>
          <w:lang w:val="el-GR"/>
        </w:rPr>
        <w:t xml:space="preserve">είτε σε αυτοκόλλητη ετικέτα, είτε </w:t>
      </w:r>
      <w:r w:rsidRPr="00821A71">
        <w:rPr>
          <w:rFonts w:ascii="Times New Roman" w:hAnsi="Times New Roman"/>
          <w:sz w:val="24"/>
          <w:szCs w:val="24"/>
          <w:lang w:val="el-GR"/>
        </w:rPr>
        <w:t>στη συνοδευτική τεκμηρίωση των προϊόντων</w:t>
      </w:r>
      <w:r w:rsidR="001B6B2D">
        <w:rPr>
          <w:rFonts w:ascii="Times New Roman" w:hAnsi="Times New Roman"/>
          <w:sz w:val="24"/>
          <w:szCs w:val="24"/>
          <w:lang w:val="el-GR"/>
        </w:rPr>
        <w:t>,</w:t>
      </w:r>
      <w:r w:rsidRPr="00821A71">
        <w:rPr>
          <w:rFonts w:ascii="Times New Roman" w:hAnsi="Times New Roman"/>
          <w:sz w:val="24"/>
          <w:szCs w:val="24"/>
          <w:lang w:val="el-GR"/>
        </w:rPr>
        <w:t xml:space="preserve"> μέχρι τις 31/12/202</w:t>
      </w:r>
      <w:r>
        <w:rPr>
          <w:rFonts w:ascii="Times New Roman" w:hAnsi="Times New Roman"/>
          <w:sz w:val="24"/>
          <w:szCs w:val="24"/>
          <w:lang w:val="el-GR"/>
        </w:rPr>
        <w:t>5.</w:t>
      </w:r>
      <w:r w:rsidRPr="00821A71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14:paraId="23EFC3EC" w14:textId="77777777" w:rsidR="00821A71" w:rsidRDefault="00821A71" w:rsidP="006557AF">
      <w:pPr>
        <w:pStyle w:val="ListParagraph"/>
        <w:tabs>
          <w:tab w:val="left" w:pos="44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4D97532E" w14:textId="29C2E586" w:rsidR="006557AF" w:rsidRPr="0071466C" w:rsidRDefault="00821A71" w:rsidP="006557AF">
      <w:pPr>
        <w:pStyle w:val="ListParagraph"/>
        <w:tabs>
          <w:tab w:val="left" w:pos="44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Οι </w:t>
      </w:r>
      <w:r w:rsidR="0071466C">
        <w:rPr>
          <w:rFonts w:ascii="Times New Roman" w:hAnsi="Times New Roman"/>
          <w:sz w:val="24"/>
          <w:szCs w:val="24"/>
          <w:lang w:val="el-GR"/>
        </w:rPr>
        <w:t xml:space="preserve">παραπάνω </w:t>
      </w:r>
      <w:r>
        <w:rPr>
          <w:rFonts w:ascii="Times New Roman" w:hAnsi="Times New Roman"/>
          <w:sz w:val="24"/>
          <w:szCs w:val="24"/>
          <w:lang w:val="el-GR"/>
        </w:rPr>
        <w:t xml:space="preserve">αλλαγές </w:t>
      </w:r>
      <w:r w:rsidR="0071466C">
        <w:rPr>
          <w:rFonts w:ascii="Times New Roman" w:hAnsi="Times New Roman"/>
          <w:sz w:val="24"/>
          <w:szCs w:val="24"/>
          <w:lang w:val="el-GR"/>
        </w:rPr>
        <w:t xml:space="preserve">και διευκρινίσεις δεν εφαρμόζονται </w:t>
      </w:r>
      <w:r w:rsidR="00BD557D">
        <w:rPr>
          <w:rFonts w:ascii="Times New Roman" w:hAnsi="Times New Roman"/>
          <w:sz w:val="24"/>
          <w:szCs w:val="24"/>
          <w:lang w:val="el-GR"/>
        </w:rPr>
        <w:t xml:space="preserve">στις περιπτώσεις </w:t>
      </w:r>
      <w:r w:rsidR="0071466C">
        <w:rPr>
          <w:rFonts w:ascii="Times New Roman" w:hAnsi="Times New Roman"/>
          <w:sz w:val="24"/>
          <w:szCs w:val="24"/>
          <w:lang w:val="el-GR"/>
        </w:rPr>
        <w:t>ιατροτεχνολογικών προϊόντων,</w:t>
      </w:r>
      <w:r w:rsidR="004C44BF">
        <w:rPr>
          <w:rFonts w:ascii="Times New Roman" w:hAnsi="Times New Roman"/>
          <w:sz w:val="24"/>
          <w:szCs w:val="24"/>
          <w:lang w:val="el-GR"/>
        </w:rPr>
        <w:t xml:space="preserve"> προϊόντων δομικών κατασκευών, </w:t>
      </w:r>
      <w:r w:rsidR="008211A5">
        <w:rPr>
          <w:rFonts w:ascii="Times New Roman" w:hAnsi="Times New Roman"/>
          <w:sz w:val="24"/>
          <w:szCs w:val="24"/>
          <w:lang w:val="el-GR"/>
        </w:rPr>
        <w:t>συστημάτων</w:t>
      </w:r>
      <w:r w:rsidR="004C44BF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4C44BF" w:rsidRPr="004C44BF">
        <w:rPr>
          <w:rFonts w:ascii="Times New Roman" w:hAnsi="Times New Roman"/>
          <w:sz w:val="24"/>
          <w:szCs w:val="24"/>
          <w:lang w:val="el-GR"/>
        </w:rPr>
        <w:t>μεταφοράς με συρματόσχοινο</w:t>
      </w:r>
      <w:r w:rsidR="0071466C" w:rsidRPr="0071466C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2E4878">
        <w:rPr>
          <w:rFonts w:ascii="Times New Roman" w:hAnsi="Times New Roman"/>
          <w:sz w:val="24"/>
          <w:szCs w:val="24"/>
          <w:lang w:val="el-GR"/>
        </w:rPr>
        <w:t>συστημάτων μη επανδρωμένων αεροσκαφών</w:t>
      </w:r>
      <w:r w:rsidR="0071466C" w:rsidRPr="0071466C">
        <w:rPr>
          <w:rFonts w:ascii="Times New Roman" w:hAnsi="Times New Roman"/>
          <w:sz w:val="24"/>
          <w:szCs w:val="24"/>
          <w:lang w:val="el-GR"/>
        </w:rPr>
        <w:t>, μεταφερόμεν</w:t>
      </w:r>
      <w:r w:rsidR="002E4878">
        <w:rPr>
          <w:rFonts w:ascii="Times New Roman" w:hAnsi="Times New Roman"/>
          <w:sz w:val="24"/>
          <w:szCs w:val="24"/>
          <w:lang w:val="el-GR"/>
        </w:rPr>
        <w:t>ων</w:t>
      </w:r>
      <w:r w:rsidR="0071466C" w:rsidRPr="0071466C">
        <w:rPr>
          <w:rFonts w:ascii="Times New Roman" w:hAnsi="Times New Roman"/>
          <w:sz w:val="24"/>
          <w:szCs w:val="24"/>
          <w:lang w:val="el-GR"/>
        </w:rPr>
        <w:t xml:space="preserve"> εξοπλισμ</w:t>
      </w:r>
      <w:r w:rsidR="002E4878">
        <w:rPr>
          <w:rFonts w:ascii="Times New Roman" w:hAnsi="Times New Roman"/>
          <w:sz w:val="24"/>
          <w:szCs w:val="24"/>
          <w:lang w:val="el-GR"/>
        </w:rPr>
        <w:t>ών</w:t>
      </w:r>
      <w:bookmarkStart w:id="0" w:name="_GoBack"/>
      <w:bookmarkEnd w:id="0"/>
      <w:r w:rsidR="0071466C" w:rsidRPr="0071466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2E4878">
        <w:rPr>
          <w:rFonts w:ascii="Times New Roman" w:hAnsi="Times New Roman"/>
          <w:sz w:val="24"/>
          <w:szCs w:val="24"/>
          <w:lang w:val="el-GR"/>
        </w:rPr>
        <w:t>πίεσης</w:t>
      </w:r>
      <w:r w:rsidR="0071466C" w:rsidRPr="0071466C">
        <w:rPr>
          <w:rFonts w:ascii="Times New Roman" w:hAnsi="Times New Roman"/>
          <w:sz w:val="24"/>
          <w:szCs w:val="24"/>
          <w:lang w:val="el-GR"/>
        </w:rPr>
        <w:t>, σιδηροδρομικ</w:t>
      </w:r>
      <w:r w:rsidR="008211A5">
        <w:rPr>
          <w:rFonts w:ascii="Times New Roman" w:hAnsi="Times New Roman"/>
          <w:sz w:val="24"/>
          <w:szCs w:val="24"/>
          <w:lang w:val="el-GR"/>
        </w:rPr>
        <w:t>ών</w:t>
      </w:r>
      <w:r w:rsidR="0071466C" w:rsidRPr="0071466C">
        <w:rPr>
          <w:rFonts w:ascii="Times New Roman" w:hAnsi="Times New Roman"/>
          <w:sz w:val="24"/>
          <w:szCs w:val="24"/>
          <w:lang w:val="el-GR"/>
        </w:rPr>
        <w:t xml:space="preserve"> προϊόντ</w:t>
      </w:r>
      <w:r w:rsidR="008211A5">
        <w:rPr>
          <w:rFonts w:ascii="Times New Roman" w:hAnsi="Times New Roman"/>
          <w:sz w:val="24"/>
          <w:szCs w:val="24"/>
          <w:lang w:val="el-GR"/>
        </w:rPr>
        <w:t>ων</w:t>
      </w:r>
      <w:r w:rsidR="0071466C" w:rsidRPr="0071466C">
        <w:rPr>
          <w:rFonts w:ascii="Times New Roman" w:hAnsi="Times New Roman"/>
          <w:sz w:val="24"/>
          <w:szCs w:val="24"/>
          <w:lang w:val="el-GR"/>
        </w:rPr>
        <w:t xml:space="preserve"> και θαλάσσιο</w:t>
      </w:r>
      <w:r w:rsidR="008211A5">
        <w:rPr>
          <w:rFonts w:ascii="Times New Roman" w:hAnsi="Times New Roman"/>
          <w:sz w:val="24"/>
          <w:szCs w:val="24"/>
          <w:lang w:val="el-GR"/>
        </w:rPr>
        <w:t>υ</w:t>
      </w:r>
      <w:r w:rsidR="0071466C" w:rsidRPr="0071466C">
        <w:rPr>
          <w:rFonts w:ascii="Times New Roman" w:hAnsi="Times New Roman"/>
          <w:sz w:val="24"/>
          <w:szCs w:val="24"/>
          <w:lang w:val="el-GR"/>
        </w:rPr>
        <w:t xml:space="preserve"> εξοπλισμ</w:t>
      </w:r>
      <w:r w:rsidR="008211A5">
        <w:rPr>
          <w:rFonts w:ascii="Times New Roman" w:hAnsi="Times New Roman"/>
          <w:sz w:val="24"/>
          <w:szCs w:val="24"/>
          <w:lang w:val="el-GR"/>
        </w:rPr>
        <w:t>ού</w:t>
      </w:r>
      <w:r w:rsidR="0071466C" w:rsidRPr="0071466C">
        <w:rPr>
          <w:rFonts w:ascii="Times New Roman" w:hAnsi="Times New Roman"/>
          <w:sz w:val="24"/>
          <w:szCs w:val="24"/>
          <w:lang w:val="el-GR"/>
        </w:rPr>
        <w:t>.</w:t>
      </w:r>
    </w:p>
    <w:p w14:paraId="73C97F2A" w14:textId="3770DEED" w:rsidR="006557AF" w:rsidRPr="0071466C" w:rsidRDefault="006557AF" w:rsidP="006557AF">
      <w:pPr>
        <w:pStyle w:val="ListParagraph"/>
        <w:tabs>
          <w:tab w:val="left" w:pos="44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383DD904" w14:textId="20820034" w:rsidR="006557AF" w:rsidRPr="004433B6" w:rsidRDefault="008F1495" w:rsidP="006557AF">
      <w:pPr>
        <w:pStyle w:val="ListParagraph"/>
        <w:tabs>
          <w:tab w:val="left" w:pos="44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Το βρετανικό Υπουργείο Επιχειρείν, Ενέργειας και Βιομηχανικής Στρατηγικής διοργανώνει δύο </w:t>
      </w:r>
      <w:r w:rsidR="004433B6">
        <w:rPr>
          <w:rFonts w:ascii="Times New Roman" w:hAnsi="Times New Roman"/>
          <w:sz w:val="24"/>
          <w:szCs w:val="24"/>
          <w:lang w:val="el-GR"/>
        </w:rPr>
        <w:t xml:space="preserve">διαδικτυακά σεμινάρια σχετικά με το θέμα, στις 29 Ιουνίου, και ώρες 11:00 </w:t>
      </w:r>
      <w:r w:rsidR="00152A25">
        <w:rPr>
          <w:rFonts w:ascii="Times New Roman" w:hAnsi="Times New Roman"/>
          <w:sz w:val="24"/>
          <w:szCs w:val="24"/>
          <w:lang w:val="el-GR"/>
        </w:rPr>
        <w:lastRenderedPageBreak/>
        <w:t>(</w:t>
      </w:r>
      <w:hyperlink r:id="rId12" w:history="1">
        <w:r w:rsidR="00152A25" w:rsidRPr="00CA0E8D">
          <w:rPr>
            <w:rStyle w:val="Hyperlink"/>
            <w:rFonts w:ascii="Times New Roman" w:hAnsi="Times New Roman"/>
            <w:sz w:val="24"/>
            <w:szCs w:val="24"/>
            <w:lang w:val="el-GR"/>
          </w:rPr>
          <w:t>https://www.eventbrite.co.uk/e/the-new-uk-regulatory-regime-for-goods-new-ukca-transitional-measures-tickets-369108281807</w:t>
        </w:r>
      </w:hyperlink>
      <w:r w:rsidR="00152A25">
        <w:rPr>
          <w:rFonts w:ascii="Times New Roman" w:hAnsi="Times New Roman"/>
          <w:sz w:val="24"/>
          <w:szCs w:val="24"/>
          <w:lang w:val="el-GR"/>
        </w:rPr>
        <w:t xml:space="preserve">) </w:t>
      </w:r>
      <w:r w:rsidR="004433B6">
        <w:rPr>
          <w:rFonts w:ascii="Times New Roman" w:hAnsi="Times New Roman"/>
          <w:sz w:val="24"/>
          <w:szCs w:val="24"/>
          <w:lang w:val="el-GR"/>
        </w:rPr>
        <w:t>και 15:00</w:t>
      </w:r>
      <w:r w:rsidR="004433B6" w:rsidRPr="004433B6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152A25">
        <w:rPr>
          <w:rFonts w:ascii="Times New Roman" w:hAnsi="Times New Roman"/>
          <w:sz w:val="24"/>
          <w:szCs w:val="24"/>
          <w:lang w:val="el-GR"/>
        </w:rPr>
        <w:t>(</w:t>
      </w:r>
      <w:hyperlink r:id="rId13" w:history="1">
        <w:r w:rsidR="00DB3D59" w:rsidRPr="00CA0E8D">
          <w:rPr>
            <w:rStyle w:val="Hyperlink"/>
            <w:rFonts w:ascii="Times New Roman" w:hAnsi="Times New Roman"/>
            <w:sz w:val="24"/>
            <w:szCs w:val="24"/>
            <w:lang w:val="el-GR"/>
          </w:rPr>
          <w:t>https://www.eventbrite.co.uk/e/the-new-uk-regulatory-regime-for-goods-new-ukca-transitional-measures-tickets-369128291657</w:t>
        </w:r>
      </w:hyperlink>
      <w:r w:rsidR="00DB3D59">
        <w:rPr>
          <w:rFonts w:ascii="Times New Roman" w:hAnsi="Times New Roman"/>
          <w:sz w:val="24"/>
          <w:szCs w:val="24"/>
          <w:lang w:val="el-GR"/>
        </w:rPr>
        <w:t xml:space="preserve">) </w:t>
      </w:r>
      <w:r w:rsidR="00DB3D59" w:rsidRPr="00DB3D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4433B6">
        <w:rPr>
          <w:rFonts w:ascii="Times New Roman" w:hAnsi="Times New Roman"/>
          <w:sz w:val="24"/>
          <w:szCs w:val="24"/>
          <w:lang w:val="el-GR"/>
        </w:rPr>
        <w:t>(13:00 και 17:00 ώρες Ελλάδας). Οι ενδιαφερόμενες επιχειρήσεις θα έχουν την ευκαιρία να θέσουν ερωτήματα στους διοργανωτές.</w:t>
      </w:r>
    </w:p>
    <w:p w14:paraId="5A5D4B14" w14:textId="37AA90ED" w:rsidR="006557AF" w:rsidRDefault="006557AF" w:rsidP="009F0089">
      <w:pPr>
        <w:pStyle w:val="ListParagraph"/>
        <w:tabs>
          <w:tab w:val="left" w:pos="440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3111079C" w14:textId="41F701D9" w:rsidR="00F01626" w:rsidRDefault="00F01626" w:rsidP="00F0162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Λεπτομέρειες και σχετική νομοθεσία είναι διαθέσιμα στους συνδέσμους </w:t>
      </w:r>
      <w:r w:rsidR="002E4878">
        <w:fldChar w:fldCharType="begin"/>
      </w:r>
      <w:r w:rsidR="002E4878" w:rsidRPr="002E4878">
        <w:rPr>
          <w:lang w:val="el-GR"/>
        </w:rPr>
        <w:instrText xml:space="preserve"> </w:instrText>
      </w:r>
      <w:r w:rsidR="002E4878">
        <w:instrText>HYPERLINK</w:instrText>
      </w:r>
      <w:r w:rsidR="002E4878" w:rsidRPr="002E4878">
        <w:rPr>
          <w:lang w:val="el-GR"/>
        </w:rPr>
        <w:instrText xml:space="preserve"> "</w:instrText>
      </w:r>
      <w:r w:rsidR="002E4878">
        <w:instrText>https</w:instrText>
      </w:r>
      <w:r w:rsidR="002E4878" w:rsidRPr="002E4878">
        <w:rPr>
          <w:lang w:val="el-GR"/>
        </w:rPr>
        <w:instrText>://</w:instrText>
      </w:r>
      <w:r w:rsidR="002E4878">
        <w:instrText>www</w:instrText>
      </w:r>
      <w:r w:rsidR="002E4878" w:rsidRPr="002E4878">
        <w:rPr>
          <w:lang w:val="el-GR"/>
        </w:rPr>
        <w:instrText>.</w:instrText>
      </w:r>
      <w:r w:rsidR="002E4878">
        <w:instrText>gov</w:instrText>
      </w:r>
      <w:r w:rsidR="002E4878" w:rsidRPr="002E4878">
        <w:rPr>
          <w:lang w:val="el-GR"/>
        </w:rPr>
        <w:instrText>.</w:instrText>
      </w:r>
      <w:r w:rsidR="002E4878">
        <w:instrText>uk</w:instrText>
      </w:r>
      <w:r w:rsidR="002E4878" w:rsidRPr="002E4878">
        <w:rPr>
          <w:lang w:val="el-GR"/>
        </w:rPr>
        <w:instrText>/</w:instrText>
      </w:r>
      <w:r w:rsidR="002E4878">
        <w:instrText>guidance</w:instrText>
      </w:r>
      <w:r w:rsidR="002E4878" w:rsidRPr="002E4878">
        <w:rPr>
          <w:lang w:val="el-GR"/>
        </w:rPr>
        <w:instrText>/</w:instrText>
      </w:r>
      <w:r w:rsidR="002E4878">
        <w:instrText>placing</w:instrText>
      </w:r>
      <w:r w:rsidR="002E4878" w:rsidRPr="002E4878">
        <w:rPr>
          <w:lang w:val="el-GR"/>
        </w:rPr>
        <w:instrText>-</w:instrText>
      </w:r>
      <w:r w:rsidR="002E4878">
        <w:instrText>manufactured</w:instrText>
      </w:r>
      <w:r w:rsidR="002E4878" w:rsidRPr="002E4878">
        <w:rPr>
          <w:lang w:val="el-GR"/>
        </w:rPr>
        <w:instrText>-</w:instrText>
      </w:r>
      <w:r w:rsidR="002E4878">
        <w:instrText>goods</w:instrText>
      </w:r>
      <w:r w:rsidR="002E4878" w:rsidRPr="002E4878">
        <w:rPr>
          <w:lang w:val="el-GR"/>
        </w:rPr>
        <w:instrText>-</w:instrText>
      </w:r>
      <w:r w:rsidR="002E4878">
        <w:instrText>on</w:instrText>
      </w:r>
      <w:r w:rsidR="002E4878" w:rsidRPr="002E4878">
        <w:rPr>
          <w:lang w:val="el-GR"/>
        </w:rPr>
        <w:instrText>-</w:instrText>
      </w:r>
      <w:r w:rsidR="002E4878">
        <w:instrText>the</w:instrText>
      </w:r>
      <w:r w:rsidR="002E4878" w:rsidRPr="002E4878">
        <w:rPr>
          <w:lang w:val="el-GR"/>
        </w:rPr>
        <w:instrText>-</w:instrText>
      </w:r>
      <w:r w:rsidR="002E4878">
        <w:instrText>market</w:instrText>
      </w:r>
      <w:r w:rsidR="002E4878" w:rsidRPr="002E4878">
        <w:rPr>
          <w:lang w:val="el-GR"/>
        </w:rPr>
        <w:instrText>-</w:instrText>
      </w:r>
      <w:r w:rsidR="002E4878">
        <w:instrText>in</w:instrText>
      </w:r>
      <w:r w:rsidR="002E4878" w:rsidRPr="002E4878">
        <w:rPr>
          <w:lang w:val="el-GR"/>
        </w:rPr>
        <w:instrText>-</w:instrText>
      </w:r>
      <w:r w:rsidR="002E4878">
        <w:instrText>great</w:instrText>
      </w:r>
      <w:r w:rsidR="002E4878" w:rsidRPr="002E4878">
        <w:rPr>
          <w:lang w:val="el-GR"/>
        </w:rPr>
        <w:instrText>-</w:instrText>
      </w:r>
      <w:r w:rsidR="002E4878">
        <w:instrText>britain</w:instrText>
      </w:r>
      <w:r w:rsidR="002E4878" w:rsidRPr="002E4878">
        <w:rPr>
          <w:lang w:val="el-GR"/>
        </w:rPr>
        <w:instrText xml:space="preserve">" </w:instrText>
      </w:r>
      <w:r w:rsidR="002E4878">
        <w:fldChar w:fldCharType="separate"/>
      </w:r>
      <w:r w:rsidRPr="001C7CE3">
        <w:rPr>
          <w:rStyle w:val="Hyperlink"/>
          <w:rFonts w:ascii="Times New Roman" w:hAnsi="Times New Roman"/>
          <w:sz w:val="24"/>
          <w:szCs w:val="24"/>
          <w:lang w:val="el-GR"/>
        </w:rPr>
        <w:t>https://www.gov.uk/guidance/placing-manufactured-goods-on-the-market-in-great-britain</w:t>
      </w:r>
      <w:r w:rsidR="002E4878">
        <w:rPr>
          <w:rStyle w:val="Hyperlink"/>
          <w:rFonts w:ascii="Times New Roman" w:hAnsi="Times New Roman"/>
          <w:sz w:val="24"/>
          <w:szCs w:val="24"/>
          <w:lang w:val="el-GR"/>
        </w:rPr>
        <w:fldChar w:fldCharType="end"/>
      </w:r>
      <w:r>
        <w:rPr>
          <w:rFonts w:ascii="Times New Roman" w:hAnsi="Times New Roman"/>
          <w:sz w:val="24"/>
          <w:szCs w:val="24"/>
          <w:lang w:val="el-GR"/>
        </w:rPr>
        <w:t xml:space="preserve"> και </w:t>
      </w:r>
      <w:hyperlink r:id="rId14" w:history="1">
        <w:r w:rsidRPr="001C7CE3">
          <w:rPr>
            <w:rStyle w:val="Hyperlink"/>
            <w:rFonts w:ascii="Times New Roman" w:hAnsi="Times New Roman"/>
            <w:sz w:val="24"/>
            <w:szCs w:val="24"/>
            <w:lang w:val="el-GR"/>
          </w:rPr>
          <w:t>https://www.gov.uk/guidance/using-the-ukca-marking</w:t>
        </w:r>
      </w:hyperlink>
      <w:r>
        <w:rPr>
          <w:rFonts w:ascii="Times New Roman" w:hAnsi="Times New Roman"/>
          <w:sz w:val="24"/>
          <w:szCs w:val="24"/>
          <w:lang w:val="el-GR"/>
        </w:rPr>
        <w:t xml:space="preserve"> </w:t>
      </w:r>
    </w:p>
    <w:p w14:paraId="3C0EC4E3" w14:textId="77777777" w:rsidR="00DB3D59" w:rsidRDefault="00DB3D59" w:rsidP="00F0162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755DB480" w14:textId="77777777" w:rsidR="00F01626" w:rsidRDefault="00F01626" w:rsidP="00F0162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σχετική ανάρτηση στην πύλη </w:t>
      </w:r>
      <w:r>
        <w:rPr>
          <w:rFonts w:ascii="Times New Roman" w:hAnsi="Times New Roman" w:cs="Times New Roman"/>
          <w:sz w:val="24"/>
          <w:szCs w:val="24"/>
          <w:lang w:val="en-GB"/>
        </w:rPr>
        <w:t>Agora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επικαιροποιήθηκε ανάλογα (</w:t>
      </w:r>
      <w:r w:rsidR="002E4878">
        <w:fldChar w:fldCharType="begin"/>
      </w:r>
      <w:r w:rsidR="002E4878" w:rsidRPr="002E4878">
        <w:rPr>
          <w:lang w:val="el-GR"/>
        </w:rPr>
        <w:instrText xml:space="preserve"> </w:instrText>
      </w:r>
      <w:r w:rsidR="002E4878">
        <w:instrText>HYPERLINK</w:instrText>
      </w:r>
      <w:r w:rsidR="002E4878" w:rsidRPr="002E4878">
        <w:rPr>
          <w:lang w:val="el-GR"/>
        </w:rPr>
        <w:instrText xml:space="preserve"> "</w:instrText>
      </w:r>
      <w:r w:rsidR="002E4878">
        <w:instrText>https</w:instrText>
      </w:r>
      <w:r w:rsidR="002E4878" w:rsidRPr="002E4878">
        <w:rPr>
          <w:lang w:val="el-GR"/>
        </w:rPr>
        <w:instrText>://</w:instrText>
      </w:r>
      <w:r w:rsidR="002E4878">
        <w:instrText>agora</w:instrText>
      </w:r>
      <w:r w:rsidR="002E4878" w:rsidRPr="002E4878">
        <w:rPr>
          <w:lang w:val="el-GR"/>
        </w:rPr>
        <w:instrText>.</w:instrText>
      </w:r>
      <w:r w:rsidR="002E4878">
        <w:instrText>mfa</w:instrText>
      </w:r>
      <w:r w:rsidR="002E4878" w:rsidRPr="002E4878">
        <w:rPr>
          <w:lang w:val="el-GR"/>
        </w:rPr>
        <w:instrText>.</w:instrText>
      </w:r>
      <w:r w:rsidR="002E4878">
        <w:instrText>gr</w:instrText>
      </w:r>
      <w:r w:rsidR="002E4878" w:rsidRPr="002E4878">
        <w:rPr>
          <w:lang w:val="el-GR"/>
        </w:rPr>
        <w:instrText>/</w:instrText>
      </w:r>
      <w:r w:rsidR="002E4878">
        <w:instrText>infofiles</w:instrText>
      </w:r>
      <w:r w:rsidR="002E4878" w:rsidRPr="002E4878">
        <w:rPr>
          <w:lang w:val="el-GR"/>
        </w:rPr>
        <w:instrText>-</w:instrText>
      </w:r>
      <w:r w:rsidR="002E4878">
        <w:instrText>menu</w:instrText>
      </w:r>
      <w:r w:rsidR="002E4878" w:rsidRPr="002E4878">
        <w:rPr>
          <w:lang w:val="el-GR"/>
        </w:rPr>
        <w:instrText>/</w:instrText>
      </w:r>
      <w:r w:rsidR="002E4878">
        <w:instrText>infofile</w:instrText>
      </w:r>
      <w:r w:rsidR="002E4878" w:rsidRPr="002E4878">
        <w:rPr>
          <w:lang w:val="el-GR"/>
        </w:rPr>
        <w:instrText xml:space="preserve">/74084" </w:instrText>
      </w:r>
      <w:r w:rsidR="002E4878">
        <w:fldChar w:fldCharType="separate"/>
      </w:r>
      <w:r w:rsidRPr="0014096B">
        <w:rPr>
          <w:rStyle w:val="Hyperlink"/>
          <w:rFonts w:ascii="Times New Roman" w:hAnsi="Times New Roman" w:cs="Times New Roman"/>
          <w:sz w:val="24"/>
          <w:szCs w:val="24"/>
          <w:lang w:val="el-GR"/>
        </w:rPr>
        <w:t>https://agora.mfa.gr/infofiles-menu/infofile/74084</w:t>
      </w:r>
      <w:r w:rsidR="002E4878">
        <w:rPr>
          <w:rStyle w:val="Hyperlink"/>
          <w:rFonts w:ascii="Times New Roman" w:hAnsi="Times New Roman" w:cs="Times New Roman"/>
          <w:sz w:val="24"/>
          <w:szCs w:val="24"/>
          <w:lang w:val="el-GR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  <w:r w:rsidRPr="00A74F6C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14:paraId="1152D062" w14:textId="77777777" w:rsidR="00F01626" w:rsidRPr="00054CBC" w:rsidRDefault="00F01626" w:rsidP="009F0089">
      <w:pPr>
        <w:pStyle w:val="ListParagraph"/>
        <w:tabs>
          <w:tab w:val="left" w:pos="440"/>
        </w:tabs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l-GR"/>
        </w:rPr>
      </w:pPr>
    </w:p>
    <w:p w14:paraId="282856D5" w14:textId="3CCA6F54" w:rsidR="00D94B28" w:rsidRDefault="00D94B28" w:rsidP="00D94B28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3D1DC9E0" w14:textId="3AD6607B" w:rsidR="002B2271" w:rsidRDefault="002B2271" w:rsidP="00D94B28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2FB698AA" w14:textId="77777777" w:rsidR="00A835B6" w:rsidRDefault="00A835B6" w:rsidP="00A835B6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Ο Προϊστάμενος</w:t>
      </w:r>
    </w:p>
    <w:p w14:paraId="0B0B86E1" w14:textId="77777777" w:rsidR="00A835B6" w:rsidRDefault="00A835B6" w:rsidP="00A835B6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54422667" w14:textId="77777777" w:rsidR="00A835B6" w:rsidRDefault="00A835B6" w:rsidP="00A835B6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08C80DE5" w14:textId="77777777" w:rsidR="00A835B6" w:rsidRDefault="00A835B6" w:rsidP="00A835B6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7DC9C0D0" w14:textId="77777777" w:rsidR="00A835B6" w:rsidRDefault="00A835B6" w:rsidP="00A835B6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Γεράσιμος Λαζαρής</w:t>
      </w:r>
    </w:p>
    <w:p w14:paraId="3FF6D55D" w14:textId="77777777" w:rsidR="00A835B6" w:rsidRDefault="00A835B6" w:rsidP="00A835B6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Γενικός Σύμβουλος ΟΕΥ Β΄</w:t>
      </w:r>
    </w:p>
    <w:p w14:paraId="4D401ACF" w14:textId="710FBE1F" w:rsidR="002B2271" w:rsidRDefault="002B2271" w:rsidP="00D94B28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03FD9118" w14:textId="31B3F380" w:rsidR="00DB3D59" w:rsidRDefault="00DB3D59" w:rsidP="00D94B28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5F914EAA" w14:textId="6483AF70" w:rsidR="00DB3D59" w:rsidRDefault="00DB3D59" w:rsidP="00D94B28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2AEE5A2B" w14:textId="77777777" w:rsidR="00DB3D59" w:rsidRDefault="00DB3D59" w:rsidP="00D94B28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1647E339" w14:textId="77777777" w:rsidR="00DF22C5" w:rsidRPr="002E4878" w:rsidRDefault="00DF22C5">
      <w:pP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2E4878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br w:type="page"/>
      </w:r>
    </w:p>
    <w:p w14:paraId="3365C090" w14:textId="0B1A980D" w:rsidR="002B6D40" w:rsidRDefault="00BA7C23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Πίν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ακας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κοινο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ποίησης</w:t>
      </w:r>
    </w:p>
    <w:p w14:paraId="619929A7" w14:textId="77777777" w:rsidR="002B6D40" w:rsidRDefault="002B6D40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2B6D40" w:rsidRPr="006557AF" w14:paraId="10E781FC" w14:textId="7777777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BDFE799" w14:textId="77777777" w:rsidR="002B6D40" w:rsidRDefault="00BA7C2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Υπ</w:t>
            </w:r>
            <w:proofErr w:type="spellStart"/>
            <w:r>
              <w:rPr>
                <w:b/>
                <w:sz w:val="24"/>
                <w:szCs w:val="24"/>
              </w:rPr>
              <w:t>ουργείο</w:t>
            </w:r>
            <w:proofErr w:type="spellEnd"/>
            <w:r>
              <w:rPr>
                <w:b/>
                <w:sz w:val="24"/>
                <w:szCs w:val="24"/>
              </w:rPr>
              <w:t xml:space="preserve"> Εξωτερικών </w:t>
            </w:r>
          </w:p>
          <w:p w14:paraId="67C4C30E" w14:textId="77777777" w:rsidR="002B6D40" w:rsidRDefault="00BA7C23">
            <w:pPr>
              <w:pStyle w:val="ListParagraph"/>
              <w:numPr>
                <w:ilvl w:val="0"/>
                <w:numId w:val="7"/>
              </w:numPr>
              <w:suppressAutoHyphens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Πρωθυπουργού</w:t>
            </w:r>
          </w:p>
          <w:p w14:paraId="027BCE33" w14:textId="77777777" w:rsidR="002B6D40" w:rsidRDefault="00BA7C23">
            <w:pPr>
              <w:pStyle w:val="ListParagraph"/>
              <w:numPr>
                <w:ilvl w:val="0"/>
                <w:numId w:val="7"/>
              </w:numPr>
              <w:suppressAutoHyphens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Δ.Γ. κ. Υπ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ουργού</w:t>
            </w:r>
            <w:proofErr w:type="spellEnd"/>
          </w:p>
          <w:p w14:paraId="62A23365" w14:textId="77777777" w:rsidR="002B6D40" w:rsidRDefault="00BA7C23">
            <w:pPr>
              <w:pStyle w:val="ListParagraph"/>
              <w:numPr>
                <w:ilvl w:val="0"/>
                <w:numId w:val="7"/>
              </w:numPr>
              <w:suppressAutoHyphens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Δ.Γ. κ. ΑΝΥΠΕΞ</w:t>
            </w:r>
          </w:p>
          <w:p w14:paraId="039AA4BB" w14:textId="77777777" w:rsidR="002B6D40" w:rsidRDefault="00BA7C23">
            <w:pPr>
              <w:pStyle w:val="ListParagraph"/>
              <w:numPr>
                <w:ilvl w:val="0"/>
                <w:numId w:val="7"/>
              </w:numPr>
              <w:suppressAutoHyphens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Δ.Γ. ΥΦΥΠΕΞ κ. Κ. Φραγκογιάννη</w:t>
            </w:r>
          </w:p>
          <w:p w14:paraId="5EAE47CA" w14:textId="77777777" w:rsidR="002B6D40" w:rsidRDefault="00BA7C23">
            <w:pPr>
              <w:pStyle w:val="ListParagraph"/>
              <w:numPr>
                <w:ilvl w:val="0"/>
                <w:numId w:val="7"/>
              </w:numPr>
              <w:suppressAutoHyphens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Γρ. κ. Γεν. Γραμματέα</w:t>
            </w:r>
          </w:p>
          <w:p w14:paraId="5F04F084" w14:textId="77777777" w:rsidR="002B6D40" w:rsidRDefault="00BA7C23">
            <w:pPr>
              <w:pStyle w:val="ListParagraph"/>
              <w:numPr>
                <w:ilvl w:val="0"/>
                <w:numId w:val="7"/>
              </w:numPr>
              <w:suppressAutoHyphens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Γρ. κ. Γεν. Γραμματέα ΔΟΣ &amp; Εξωστρέφειας</w:t>
            </w:r>
          </w:p>
          <w:p w14:paraId="5B8BD384" w14:textId="77777777" w:rsidR="002B6D40" w:rsidRDefault="00BA7C23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both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l-GR"/>
              </w:rPr>
              <w:t>Γρ. κ.κ. Α΄, Β΄, Γ΄ Γεν. Δ</w:t>
            </w:r>
            <w:r>
              <w:rPr>
                <w:bCs/>
                <w:sz w:val="24"/>
                <w:szCs w:val="24"/>
                <w:lang w:val="en-GB"/>
              </w:rPr>
              <w:t>/</w:t>
            </w:r>
            <w:r>
              <w:rPr>
                <w:bCs/>
                <w:sz w:val="24"/>
                <w:szCs w:val="24"/>
                <w:lang w:val="el-GR"/>
              </w:rPr>
              <w:t>ντών</w:t>
            </w:r>
          </w:p>
          <w:p w14:paraId="1E3E4772" w14:textId="7E238001" w:rsidR="002B6D40" w:rsidRPr="00461848" w:rsidRDefault="00BA7C23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both"/>
              <w:rPr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n-GB"/>
              </w:rPr>
              <w:t>A</w:t>
            </w:r>
            <w:r w:rsidRPr="00461848">
              <w:rPr>
                <w:bCs/>
                <w:sz w:val="24"/>
                <w:szCs w:val="24"/>
                <w:lang w:val="el-GR"/>
              </w:rPr>
              <w:t>1</w:t>
            </w:r>
            <w:r>
              <w:rPr>
                <w:bCs/>
                <w:sz w:val="24"/>
                <w:szCs w:val="24"/>
                <w:lang w:val="el-GR"/>
              </w:rPr>
              <w:t xml:space="preserve">, </w:t>
            </w:r>
            <w:r w:rsidRPr="00461848">
              <w:rPr>
                <w:bCs/>
                <w:sz w:val="24"/>
                <w:szCs w:val="24"/>
                <w:lang w:val="el-GR"/>
              </w:rPr>
              <w:t>Γ</w:t>
            </w:r>
            <w:r>
              <w:rPr>
                <w:bCs/>
                <w:sz w:val="24"/>
                <w:szCs w:val="24"/>
                <w:lang w:val="el-GR"/>
              </w:rPr>
              <w:t>2</w:t>
            </w:r>
            <w:r w:rsidRPr="00461848">
              <w:rPr>
                <w:bCs/>
                <w:sz w:val="24"/>
                <w:szCs w:val="24"/>
                <w:lang w:val="el-GR"/>
              </w:rPr>
              <w:t xml:space="preserve"> Δ/νσεις</w:t>
            </w:r>
          </w:p>
          <w:p w14:paraId="5647A7BF" w14:textId="77777777" w:rsidR="002B6D40" w:rsidRDefault="00BA7C23">
            <w:pPr>
              <w:numPr>
                <w:ilvl w:val="0"/>
                <w:numId w:val="7"/>
              </w:numPr>
              <w:suppressAutoHyphens/>
              <w:ind w:left="357" w:hanging="357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ΜΑ ΕΕ</w:t>
            </w:r>
          </w:p>
          <w:p w14:paraId="15FB213B" w14:textId="77777777" w:rsidR="002B6D40" w:rsidRDefault="002B6D40">
            <w:pPr>
              <w:jc w:val="both"/>
              <w:rPr>
                <w:sz w:val="24"/>
                <w:szCs w:val="24"/>
              </w:rPr>
            </w:pPr>
          </w:p>
          <w:p w14:paraId="5E369BEA" w14:textId="77777777" w:rsidR="002B6D40" w:rsidRDefault="00BA7C2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Φορείς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μέσω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ημών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700844C9" w14:textId="77777777" w:rsidR="002B6D40" w:rsidRDefault="00BA7C23">
            <w:pPr>
              <w:numPr>
                <w:ilvl w:val="0"/>
                <w:numId w:val="7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ΣΕΒ</w:t>
            </w:r>
          </w:p>
          <w:p w14:paraId="0843B8A0" w14:textId="77777777" w:rsidR="002B6D40" w:rsidRDefault="00BA7C23">
            <w:pPr>
              <w:numPr>
                <w:ilvl w:val="0"/>
                <w:numId w:val="7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ΣΒΕ</w:t>
            </w:r>
          </w:p>
          <w:p w14:paraId="290E914B" w14:textId="77777777" w:rsidR="002B6D40" w:rsidRDefault="00BA7C23">
            <w:pPr>
              <w:numPr>
                <w:ilvl w:val="0"/>
                <w:numId w:val="7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ΠΣΕ</w:t>
            </w:r>
          </w:p>
          <w:p w14:paraId="2EE8A272" w14:textId="77777777" w:rsidR="002B6D40" w:rsidRDefault="00BA7C23">
            <w:pPr>
              <w:numPr>
                <w:ilvl w:val="0"/>
                <w:numId w:val="7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ΣΕΒΕ</w:t>
            </w:r>
          </w:p>
          <w:p w14:paraId="2DACABBC" w14:textId="77777777" w:rsidR="002B6D40" w:rsidRDefault="00BA7C23">
            <w:pPr>
              <w:numPr>
                <w:ilvl w:val="0"/>
                <w:numId w:val="7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ΚΕΕΕ</w:t>
            </w:r>
          </w:p>
          <w:p w14:paraId="5445073D" w14:textId="77777777" w:rsidR="002B6D40" w:rsidRDefault="00BA7C23">
            <w:pPr>
              <w:numPr>
                <w:ilvl w:val="0"/>
                <w:numId w:val="7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ΕΒΕΑ</w:t>
            </w:r>
          </w:p>
          <w:p w14:paraId="773394FC" w14:textId="660C44BE" w:rsidR="00D94B28" w:rsidRPr="0031186A" w:rsidRDefault="00BA7C23" w:rsidP="0031186A">
            <w:pPr>
              <w:numPr>
                <w:ilvl w:val="0"/>
                <w:numId w:val="7"/>
              </w:num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ΕΒΕΘ</w:t>
            </w:r>
            <w:r w:rsidRPr="00B94A13">
              <w:rPr>
                <w:sz w:val="24"/>
                <w:szCs w:val="24"/>
                <w:lang w:val="el-GR"/>
              </w:rPr>
              <w:t xml:space="preserve"> </w:t>
            </w:r>
          </w:p>
        </w:tc>
      </w:tr>
    </w:tbl>
    <w:p w14:paraId="1C724C88" w14:textId="77777777" w:rsidR="002B6D40" w:rsidRDefault="002B6D40">
      <w:pPr>
        <w:shd w:val="clear" w:color="auto" w:fill="FCFDFE"/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2B6D40" w:rsidSect="002B6D40">
      <w:footerReference w:type="default" r:id="rId15"/>
      <w:footerReference w:type="first" r:id="rId16"/>
      <w:pgSz w:w="11906" w:h="16838"/>
      <w:pgMar w:top="1276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7ED42" w14:textId="77777777" w:rsidR="002B6D40" w:rsidRDefault="002B6D40" w:rsidP="002B6D40">
      <w:pPr>
        <w:spacing w:after="0" w:line="240" w:lineRule="auto"/>
      </w:pPr>
      <w:r>
        <w:separator/>
      </w:r>
    </w:p>
  </w:endnote>
  <w:endnote w:type="continuationSeparator" w:id="0">
    <w:p w14:paraId="37EF4F9F" w14:textId="77777777" w:rsidR="002B6D40" w:rsidRDefault="002B6D40" w:rsidP="002B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1EE05" w14:textId="77777777" w:rsidR="002B6D40" w:rsidRDefault="00190930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BA7C2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2E4878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6C3534F8" w14:textId="77777777" w:rsidR="002B6D40" w:rsidRDefault="002B6D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1BD46" w14:textId="77777777" w:rsidR="002B6D40" w:rsidRDefault="00BA7C23">
    <w:pPr>
      <w:pStyle w:val="Footer"/>
      <w:pBdr>
        <w:top w:val="single" w:sz="4" w:space="1" w:color="auto"/>
      </w:pBdr>
      <w:jc w:val="center"/>
      <w:rPr>
        <w:rFonts w:hAnsi="Book Antiqua"/>
        <w:sz w:val="18"/>
        <w:szCs w:val="18"/>
        <w:lang w:val="en-GB"/>
      </w:rPr>
    </w:pPr>
    <w:r>
      <w:rPr>
        <w:rFonts w:hAnsi="Book Antiqua"/>
        <w:sz w:val="18"/>
        <w:szCs w:val="18"/>
        <w:lang w:val="en-GB"/>
      </w:rPr>
      <w:t>1A Holland Park, London W11 3TP, UK</w:t>
    </w:r>
  </w:p>
  <w:p w14:paraId="07A718A0" w14:textId="61280338" w:rsidR="002B6D40" w:rsidRDefault="00BA7C23">
    <w:pPr>
      <w:pStyle w:val="Footer"/>
      <w:jc w:val="center"/>
      <w:rPr>
        <w:rFonts w:hAnsi="Book Antiqua"/>
        <w:sz w:val="18"/>
        <w:szCs w:val="18"/>
        <w:lang w:val="en-GB"/>
      </w:rPr>
    </w:pPr>
    <w:r>
      <w:rPr>
        <w:rFonts w:hAnsi="Book Antiqua"/>
        <w:sz w:val="18"/>
        <w:szCs w:val="18"/>
      </w:rPr>
      <w:t>Τ</w:t>
    </w:r>
    <w:r>
      <w:rPr>
        <w:rFonts w:hAnsi="Book Antiqua"/>
        <w:sz w:val="18"/>
        <w:szCs w:val="18"/>
        <w:lang w:val="en-GB"/>
      </w:rPr>
      <w:t xml:space="preserve">. </w:t>
    </w:r>
    <w:r w:rsidR="00F94B34" w:rsidRPr="00DD352D">
      <w:rPr>
        <w:rFonts w:hAnsi="Book Antiqua"/>
        <w:sz w:val="18"/>
        <w:szCs w:val="18"/>
        <w:lang w:val="en-GB"/>
      </w:rPr>
      <w:t>+</w:t>
    </w:r>
    <w:r>
      <w:rPr>
        <w:rFonts w:hAnsi="Book Antiqua"/>
        <w:sz w:val="18"/>
        <w:szCs w:val="18"/>
        <w:lang w:val="en-GB"/>
      </w:rPr>
      <w:t>44 (0) 20 7727 8860</w:t>
    </w:r>
  </w:p>
  <w:p w14:paraId="30685EB5" w14:textId="5E9CCFC4" w:rsidR="002B6D40" w:rsidRDefault="00BA7C23">
    <w:pPr>
      <w:pStyle w:val="Footer"/>
      <w:jc w:val="center"/>
      <w:rPr>
        <w:rFonts w:hAnsi="Book Antiqua"/>
        <w:sz w:val="18"/>
        <w:szCs w:val="18"/>
      </w:rPr>
    </w:pPr>
    <w:r>
      <w:rPr>
        <w:rFonts w:hAnsi="Book Antiqua"/>
        <w:sz w:val="18"/>
        <w:szCs w:val="18"/>
        <w:lang w:val="fr-FR"/>
      </w:rPr>
      <w:t xml:space="preserve">Email: </w:t>
    </w:r>
    <w:hyperlink r:id="rId1" w:history="1">
      <w:r>
        <w:rPr>
          <w:rStyle w:val="Hyperlink"/>
          <w:rFonts w:hAnsi="Book Antiqua"/>
          <w:sz w:val="18"/>
          <w:szCs w:val="18"/>
          <w:lang w:val="en-GB"/>
        </w:rPr>
        <w:t>ecocom.london@mfa.gr</w:t>
      </w:r>
    </w:hyperlink>
    <w:r>
      <w:rPr>
        <w:rFonts w:hAnsi="Book Antiqua"/>
        <w:sz w:val="18"/>
        <w:szCs w:val="18"/>
        <w:lang w:val="en-GB"/>
      </w:rPr>
      <w:t xml:space="preserve"> </w:t>
    </w:r>
    <w:r>
      <w:rPr>
        <w:rFonts w:hAnsi="Book Antiqua"/>
        <w:sz w:val="18"/>
        <w:szCs w:val="18"/>
        <w:lang w:val="fr-FR"/>
      </w:rPr>
      <w:t xml:space="preserve">      Web: </w:t>
    </w:r>
    <w:hyperlink r:id="rId2" w:history="1">
      <w:r>
        <w:rPr>
          <w:rStyle w:val="Hyperlink"/>
          <w:rFonts w:hAnsi="Book Antiqua"/>
          <w:sz w:val="18"/>
          <w:szCs w:val="18"/>
          <w:lang w:val="fr-FR"/>
        </w:rPr>
        <w:t>www.agora.mfa.gr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99685" w14:textId="77777777" w:rsidR="002B6D40" w:rsidRDefault="002B6D40" w:rsidP="002B6D40">
      <w:pPr>
        <w:spacing w:after="0" w:line="240" w:lineRule="auto"/>
      </w:pPr>
      <w:r>
        <w:separator/>
      </w:r>
    </w:p>
  </w:footnote>
  <w:footnote w:type="continuationSeparator" w:id="0">
    <w:p w14:paraId="566530B2" w14:textId="77777777" w:rsidR="002B6D40" w:rsidRDefault="002B6D40" w:rsidP="002B6D40">
      <w:pPr>
        <w:spacing w:after="0" w:line="240" w:lineRule="auto"/>
      </w:pPr>
      <w:r>
        <w:continuationSeparator/>
      </w:r>
    </w:p>
  </w:footnote>
  <w:footnote w:id="1">
    <w:p w14:paraId="08A4BAE2" w14:textId="77777777" w:rsidR="006557AF" w:rsidRPr="00F31648" w:rsidRDefault="006557AF" w:rsidP="006557AF">
      <w:pPr>
        <w:pStyle w:val="FootnoteText"/>
        <w:rPr>
          <w:rFonts w:ascii="Times New Roman" w:hAnsi="Times New Roman" w:cs="Times New Roman"/>
          <w:lang w:val="el-GR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l-GR"/>
        </w:rPr>
        <w:t xml:space="preserve"> Περιλαμβάνει τις Αγγλία, Ουαλία και Σκωτία. Όχι</w:t>
      </w:r>
      <w:r w:rsidRPr="00F31648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τη</w:t>
      </w:r>
      <w:r w:rsidRPr="00F31648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Βόρεια</w:t>
      </w:r>
      <w:r w:rsidRPr="00F31648">
        <w:rPr>
          <w:rFonts w:ascii="Times New Roman" w:hAnsi="Times New Roman" w:cs="Times New Roman"/>
          <w:lang w:val="el-GR"/>
        </w:rPr>
        <w:t xml:space="preserve"> </w:t>
      </w:r>
      <w:r>
        <w:rPr>
          <w:rFonts w:ascii="Times New Roman" w:hAnsi="Times New Roman" w:cs="Times New Roman"/>
          <w:lang w:val="el-GR"/>
        </w:rPr>
        <w:t>Ιρλανδία</w:t>
      </w:r>
      <w:r w:rsidRPr="00F31648">
        <w:rPr>
          <w:rFonts w:ascii="Times New Roman" w:hAnsi="Times New Roman" w:cs="Times New Roman"/>
          <w:lang w:val="el-G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B6F"/>
    <w:multiLevelType w:val="multilevel"/>
    <w:tmpl w:val="098E4B6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6D1FC3"/>
    <w:multiLevelType w:val="multilevel"/>
    <w:tmpl w:val="246D1FC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C775A1C"/>
    <w:multiLevelType w:val="multilevel"/>
    <w:tmpl w:val="3C775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E938AE"/>
    <w:multiLevelType w:val="multilevel"/>
    <w:tmpl w:val="3EE938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3F3047"/>
    <w:multiLevelType w:val="multilevel"/>
    <w:tmpl w:val="423F304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09792D"/>
    <w:multiLevelType w:val="multilevel"/>
    <w:tmpl w:val="6009792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60B661A1"/>
    <w:multiLevelType w:val="hybridMultilevel"/>
    <w:tmpl w:val="46BE4686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480FBA"/>
    <w:multiLevelType w:val="multilevel"/>
    <w:tmpl w:val="6A480FB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16D5"/>
    <w:rsid w:val="00001A6A"/>
    <w:rsid w:val="0000467E"/>
    <w:rsid w:val="000054E3"/>
    <w:rsid w:val="00007D0E"/>
    <w:rsid w:val="00012D97"/>
    <w:rsid w:val="000144B3"/>
    <w:rsid w:val="00015933"/>
    <w:rsid w:val="00015ADC"/>
    <w:rsid w:val="00017BA1"/>
    <w:rsid w:val="00020778"/>
    <w:rsid w:val="00020AC2"/>
    <w:rsid w:val="0002706B"/>
    <w:rsid w:val="00027A49"/>
    <w:rsid w:val="00031289"/>
    <w:rsid w:val="00031CAA"/>
    <w:rsid w:val="00032F08"/>
    <w:rsid w:val="00035AF8"/>
    <w:rsid w:val="0004711D"/>
    <w:rsid w:val="00050F75"/>
    <w:rsid w:val="00054CBC"/>
    <w:rsid w:val="00063671"/>
    <w:rsid w:val="0008012F"/>
    <w:rsid w:val="00080296"/>
    <w:rsid w:val="00084581"/>
    <w:rsid w:val="00085C2A"/>
    <w:rsid w:val="000906F9"/>
    <w:rsid w:val="0009172C"/>
    <w:rsid w:val="00092561"/>
    <w:rsid w:val="000A5B7C"/>
    <w:rsid w:val="000B5806"/>
    <w:rsid w:val="000E1A1B"/>
    <w:rsid w:val="000E22F2"/>
    <w:rsid w:val="000E3E84"/>
    <w:rsid w:val="000E5E4A"/>
    <w:rsid w:val="000F4D43"/>
    <w:rsid w:val="00102172"/>
    <w:rsid w:val="00105DE4"/>
    <w:rsid w:val="00131D3C"/>
    <w:rsid w:val="00133E53"/>
    <w:rsid w:val="00134DE4"/>
    <w:rsid w:val="001509DC"/>
    <w:rsid w:val="00152A25"/>
    <w:rsid w:val="00156C40"/>
    <w:rsid w:val="00157253"/>
    <w:rsid w:val="0016213E"/>
    <w:rsid w:val="00162F2D"/>
    <w:rsid w:val="00163CF7"/>
    <w:rsid w:val="001728B9"/>
    <w:rsid w:val="00173F58"/>
    <w:rsid w:val="00176ABB"/>
    <w:rsid w:val="00177661"/>
    <w:rsid w:val="00190930"/>
    <w:rsid w:val="00190C6C"/>
    <w:rsid w:val="001958C7"/>
    <w:rsid w:val="00195B08"/>
    <w:rsid w:val="001A2B69"/>
    <w:rsid w:val="001A3FD5"/>
    <w:rsid w:val="001B6B2D"/>
    <w:rsid w:val="001C0982"/>
    <w:rsid w:val="001C168E"/>
    <w:rsid w:val="001D7C23"/>
    <w:rsid w:val="001E1303"/>
    <w:rsid w:val="001E3D94"/>
    <w:rsid w:val="001E6564"/>
    <w:rsid w:val="002007A2"/>
    <w:rsid w:val="0020142D"/>
    <w:rsid w:val="002028B8"/>
    <w:rsid w:val="00202A73"/>
    <w:rsid w:val="0020657A"/>
    <w:rsid w:val="00221250"/>
    <w:rsid w:val="00225EF5"/>
    <w:rsid w:val="00232EC6"/>
    <w:rsid w:val="00233998"/>
    <w:rsid w:val="002348EA"/>
    <w:rsid w:val="00240E2D"/>
    <w:rsid w:val="00245FD7"/>
    <w:rsid w:val="00250EF1"/>
    <w:rsid w:val="002558C2"/>
    <w:rsid w:val="002737C5"/>
    <w:rsid w:val="0027602E"/>
    <w:rsid w:val="00286AB7"/>
    <w:rsid w:val="002910C6"/>
    <w:rsid w:val="0029217C"/>
    <w:rsid w:val="002A1033"/>
    <w:rsid w:val="002A1A73"/>
    <w:rsid w:val="002B1D81"/>
    <w:rsid w:val="002B2271"/>
    <w:rsid w:val="002B3194"/>
    <w:rsid w:val="002B6D40"/>
    <w:rsid w:val="002B74F8"/>
    <w:rsid w:val="002B7DD0"/>
    <w:rsid w:val="002C6474"/>
    <w:rsid w:val="002D7398"/>
    <w:rsid w:val="002E07FA"/>
    <w:rsid w:val="002E4878"/>
    <w:rsid w:val="002E4B2E"/>
    <w:rsid w:val="002F3090"/>
    <w:rsid w:val="002F5964"/>
    <w:rsid w:val="00300E1E"/>
    <w:rsid w:val="00302137"/>
    <w:rsid w:val="00302E31"/>
    <w:rsid w:val="00303C08"/>
    <w:rsid w:val="0031186A"/>
    <w:rsid w:val="00312E03"/>
    <w:rsid w:val="003225F4"/>
    <w:rsid w:val="0032400A"/>
    <w:rsid w:val="0032520F"/>
    <w:rsid w:val="003257F5"/>
    <w:rsid w:val="003343E7"/>
    <w:rsid w:val="003353CD"/>
    <w:rsid w:val="00337D95"/>
    <w:rsid w:val="00342192"/>
    <w:rsid w:val="00345390"/>
    <w:rsid w:val="00346FD7"/>
    <w:rsid w:val="00353E35"/>
    <w:rsid w:val="00357333"/>
    <w:rsid w:val="00357BD7"/>
    <w:rsid w:val="0036085A"/>
    <w:rsid w:val="003648AE"/>
    <w:rsid w:val="00375DEE"/>
    <w:rsid w:val="003833AF"/>
    <w:rsid w:val="00385D19"/>
    <w:rsid w:val="003936D5"/>
    <w:rsid w:val="00393E79"/>
    <w:rsid w:val="003B2F60"/>
    <w:rsid w:val="003B437A"/>
    <w:rsid w:val="003B4737"/>
    <w:rsid w:val="003B48E9"/>
    <w:rsid w:val="003B6852"/>
    <w:rsid w:val="003B6ABF"/>
    <w:rsid w:val="003B7476"/>
    <w:rsid w:val="003B78B2"/>
    <w:rsid w:val="003C414B"/>
    <w:rsid w:val="003D260A"/>
    <w:rsid w:val="003D3E1C"/>
    <w:rsid w:val="003E30E7"/>
    <w:rsid w:val="003E3813"/>
    <w:rsid w:val="003E4C92"/>
    <w:rsid w:val="003E4CF8"/>
    <w:rsid w:val="003E75DA"/>
    <w:rsid w:val="003F2D9C"/>
    <w:rsid w:val="003F66DE"/>
    <w:rsid w:val="00406D65"/>
    <w:rsid w:val="00414558"/>
    <w:rsid w:val="0041575A"/>
    <w:rsid w:val="00420213"/>
    <w:rsid w:val="00421519"/>
    <w:rsid w:val="00423A8A"/>
    <w:rsid w:val="0043749B"/>
    <w:rsid w:val="00437B24"/>
    <w:rsid w:val="004433B6"/>
    <w:rsid w:val="00444B23"/>
    <w:rsid w:val="00447275"/>
    <w:rsid w:val="00453C1E"/>
    <w:rsid w:val="00461848"/>
    <w:rsid w:val="004628DD"/>
    <w:rsid w:val="00463ADB"/>
    <w:rsid w:val="004679D2"/>
    <w:rsid w:val="004745E3"/>
    <w:rsid w:val="004750FB"/>
    <w:rsid w:val="0048367E"/>
    <w:rsid w:val="00485A1D"/>
    <w:rsid w:val="004A0D79"/>
    <w:rsid w:val="004A7EBA"/>
    <w:rsid w:val="004B1BDF"/>
    <w:rsid w:val="004B7848"/>
    <w:rsid w:val="004C1873"/>
    <w:rsid w:val="004C1BF2"/>
    <w:rsid w:val="004C44BF"/>
    <w:rsid w:val="004C48D0"/>
    <w:rsid w:val="004C5465"/>
    <w:rsid w:val="004E0134"/>
    <w:rsid w:val="004E2ADB"/>
    <w:rsid w:val="004E3B2A"/>
    <w:rsid w:val="004E3F40"/>
    <w:rsid w:val="004E48F0"/>
    <w:rsid w:val="004E7BC4"/>
    <w:rsid w:val="004F37F9"/>
    <w:rsid w:val="00500BCB"/>
    <w:rsid w:val="00501774"/>
    <w:rsid w:val="0051549F"/>
    <w:rsid w:val="005161C3"/>
    <w:rsid w:val="005208CD"/>
    <w:rsid w:val="0052372C"/>
    <w:rsid w:val="0053515C"/>
    <w:rsid w:val="005356D2"/>
    <w:rsid w:val="00540193"/>
    <w:rsid w:val="00545C2F"/>
    <w:rsid w:val="00555882"/>
    <w:rsid w:val="00555D84"/>
    <w:rsid w:val="00560715"/>
    <w:rsid w:val="00567A6C"/>
    <w:rsid w:val="0058182F"/>
    <w:rsid w:val="00590D74"/>
    <w:rsid w:val="00591307"/>
    <w:rsid w:val="0059175B"/>
    <w:rsid w:val="00593B35"/>
    <w:rsid w:val="005964BB"/>
    <w:rsid w:val="005A64ED"/>
    <w:rsid w:val="005A73D6"/>
    <w:rsid w:val="005B0E44"/>
    <w:rsid w:val="005B0F3E"/>
    <w:rsid w:val="005B2A9C"/>
    <w:rsid w:val="005B7270"/>
    <w:rsid w:val="005C2B27"/>
    <w:rsid w:val="005C4700"/>
    <w:rsid w:val="005C6423"/>
    <w:rsid w:val="005D4FC3"/>
    <w:rsid w:val="005D5D8C"/>
    <w:rsid w:val="005D7EAA"/>
    <w:rsid w:val="005E0BB7"/>
    <w:rsid w:val="005E34F3"/>
    <w:rsid w:val="005E4F91"/>
    <w:rsid w:val="005E6C91"/>
    <w:rsid w:val="005F3F19"/>
    <w:rsid w:val="006048FE"/>
    <w:rsid w:val="00621882"/>
    <w:rsid w:val="00622B77"/>
    <w:rsid w:val="00630717"/>
    <w:rsid w:val="0063590C"/>
    <w:rsid w:val="006401CE"/>
    <w:rsid w:val="00644083"/>
    <w:rsid w:val="006451B9"/>
    <w:rsid w:val="006462D4"/>
    <w:rsid w:val="006552D8"/>
    <w:rsid w:val="006557AF"/>
    <w:rsid w:val="006A78D3"/>
    <w:rsid w:val="006B57DF"/>
    <w:rsid w:val="006B63CB"/>
    <w:rsid w:val="006B7B9A"/>
    <w:rsid w:val="006C3228"/>
    <w:rsid w:val="006C65D5"/>
    <w:rsid w:val="006C6956"/>
    <w:rsid w:val="006C7CAE"/>
    <w:rsid w:val="006D32FD"/>
    <w:rsid w:val="006D378F"/>
    <w:rsid w:val="006D402D"/>
    <w:rsid w:val="006D5056"/>
    <w:rsid w:val="006E4AE1"/>
    <w:rsid w:val="006E6D5E"/>
    <w:rsid w:val="006F3D29"/>
    <w:rsid w:val="0070067C"/>
    <w:rsid w:val="00703293"/>
    <w:rsid w:val="00710C44"/>
    <w:rsid w:val="0071466C"/>
    <w:rsid w:val="00720250"/>
    <w:rsid w:val="007373FD"/>
    <w:rsid w:val="0074712D"/>
    <w:rsid w:val="00761AEF"/>
    <w:rsid w:val="00774138"/>
    <w:rsid w:val="00774E6F"/>
    <w:rsid w:val="00774E9E"/>
    <w:rsid w:val="0077707A"/>
    <w:rsid w:val="00777564"/>
    <w:rsid w:val="00777EE0"/>
    <w:rsid w:val="00784801"/>
    <w:rsid w:val="007A1B07"/>
    <w:rsid w:val="007B012A"/>
    <w:rsid w:val="007B1C8F"/>
    <w:rsid w:val="007B2387"/>
    <w:rsid w:val="007B2A54"/>
    <w:rsid w:val="007C111D"/>
    <w:rsid w:val="007C32B2"/>
    <w:rsid w:val="007C3578"/>
    <w:rsid w:val="007C5EE1"/>
    <w:rsid w:val="007D2DB7"/>
    <w:rsid w:val="007D5E54"/>
    <w:rsid w:val="007E2E3A"/>
    <w:rsid w:val="007E5901"/>
    <w:rsid w:val="007F2EF9"/>
    <w:rsid w:val="007F33EE"/>
    <w:rsid w:val="007F524E"/>
    <w:rsid w:val="008019C3"/>
    <w:rsid w:val="00801F3B"/>
    <w:rsid w:val="00802327"/>
    <w:rsid w:val="00803C60"/>
    <w:rsid w:val="008066F7"/>
    <w:rsid w:val="00813DCD"/>
    <w:rsid w:val="00817FED"/>
    <w:rsid w:val="008205F5"/>
    <w:rsid w:val="008211A5"/>
    <w:rsid w:val="00821A71"/>
    <w:rsid w:val="008237BC"/>
    <w:rsid w:val="00823D9F"/>
    <w:rsid w:val="00824F38"/>
    <w:rsid w:val="008262EE"/>
    <w:rsid w:val="008427F1"/>
    <w:rsid w:val="0084514B"/>
    <w:rsid w:val="008558B3"/>
    <w:rsid w:val="0086720F"/>
    <w:rsid w:val="00870994"/>
    <w:rsid w:val="00874684"/>
    <w:rsid w:val="00876938"/>
    <w:rsid w:val="008A1C6A"/>
    <w:rsid w:val="008A79C1"/>
    <w:rsid w:val="008B1850"/>
    <w:rsid w:val="008C0876"/>
    <w:rsid w:val="008C2523"/>
    <w:rsid w:val="008C3F2E"/>
    <w:rsid w:val="008C411B"/>
    <w:rsid w:val="008D1EDA"/>
    <w:rsid w:val="008D2061"/>
    <w:rsid w:val="008D3A85"/>
    <w:rsid w:val="008D454F"/>
    <w:rsid w:val="008E0125"/>
    <w:rsid w:val="008E0309"/>
    <w:rsid w:val="008E4E33"/>
    <w:rsid w:val="008E546C"/>
    <w:rsid w:val="008F1495"/>
    <w:rsid w:val="008F16BB"/>
    <w:rsid w:val="008F5CB9"/>
    <w:rsid w:val="009015C2"/>
    <w:rsid w:val="00902D66"/>
    <w:rsid w:val="00903A34"/>
    <w:rsid w:val="009053A2"/>
    <w:rsid w:val="009117CF"/>
    <w:rsid w:val="0091266D"/>
    <w:rsid w:val="00922318"/>
    <w:rsid w:val="0092313F"/>
    <w:rsid w:val="00924E0A"/>
    <w:rsid w:val="00930611"/>
    <w:rsid w:val="00933A8B"/>
    <w:rsid w:val="00935D9C"/>
    <w:rsid w:val="009376FC"/>
    <w:rsid w:val="009419F9"/>
    <w:rsid w:val="00944A0C"/>
    <w:rsid w:val="00944AE1"/>
    <w:rsid w:val="00951D69"/>
    <w:rsid w:val="009522D5"/>
    <w:rsid w:val="00954E55"/>
    <w:rsid w:val="00954F05"/>
    <w:rsid w:val="00962DFD"/>
    <w:rsid w:val="009665F8"/>
    <w:rsid w:val="00967016"/>
    <w:rsid w:val="00973C3A"/>
    <w:rsid w:val="00980488"/>
    <w:rsid w:val="009812E1"/>
    <w:rsid w:val="00981E49"/>
    <w:rsid w:val="00991668"/>
    <w:rsid w:val="009C0C9A"/>
    <w:rsid w:val="009C3000"/>
    <w:rsid w:val="009C5A3F"/>
    <w:rsid w:val="009D27D6"/>
    <w:rsid w:val="009E2381"/>
    <w:rsid w:val="009E4442"/>
    <w:rsid w:val="009E47B3"/>
    <w:rsid w:val="009E6916"/>
    <w:rsid w:val="009E7BFC"/>
    <w:rsid w:val="009F0089"/>
    <w:rsid w:val="009F0496"/>
    <w:rsid w:val="009F20FD"/>
    <w:rsid w:val="009F435C"/>
    <w:rsid w:val="009F4CB5"/>
    <w:rsid w:val="009F6936"/>
    <w:rsid w:val="00A04655"/>
    <w:rsid w:val="00A047C4"/>
    <w:rsid w:val="00A21685"/>
    <w:rsid w:val="00A2511A"/>
    <w:rsid w:val="00A32357"/>
    <w:rsid w:val="00A327B6"/>
    <w:rsid w:val="00A33034"/>
    <w:rsid w:val="00A41E6B"/>
    <w:rsid w:val="00A4461B"/>
    <w:rsid w:val="00A452EC"/>
    <w:rsid w:val="00A456A4"/>
    <w:rsid w:val="00A500BA"/>
    <w:rsid w:val="00A5195C"/>
    <w:rsid w:val="00A526CB"/>
    <w:rsid w:val="00A61759"/>
    <w:rsid w:val="00A74F6C"/>
    <w:rsid w:val="00A77742"/>
    <w:rsid w:val="00A835B6"/>
    <w:rsid w:val="00A869BC"/>
    <w:rsid w:val="00A86CC8"/>
    <w:rsid w:val="00AA2229"/>
    <w:rsid w:val="00AA6C49"/>
    <w:rsid w:val="00AC21C0"/>
    <w:rsid w:val="00AD2E12"/>
    <w:rsid w:val="00AF1F74"/>
    <w:rsid w:val="00AF5165"/>
    <w:rsid w:val="00B02A93"/>
    <w:rsid w:val="00B242EE"/>
    <w:rsid w:val="00B300C3"/>
    <w:rsid w:val="00B308CF"/>
    <w:rsid w:val="00B343FC"/>
    <w:rsid w:val="00B35598"/>
    <w:rsid w:val="00B416ED"/>
    <w:rsid w:val="00B41F5D"/>
    <w:rsid w:val="00B42913"/>
    <w:rsid w:val="00B43D21"/>
    <w:rsid w:val="00B54906"/>
    <w:rsid w:val="00B67CAA"/>
    <w:rsid w:val="00B878A8"/>
    <w:rsid w:val="00B92E4F"/>
    <w:rsid w:val="00B94A13"/>
    <w:rsid w:val="00BA07A1"/>
    <w:rsid w:val="00BA77E9"/>
    <w:rsid w:val="00BA7C23"/>
    <w:rsid w:val="00BB6491"/>
    <w:rsid w:val="00BC3C2E"/>
    <w:rsid w:val="00BC6563"/>
    <w:rsid w:val="00BC7BB1"/>
    <w:rsid w:val="00BD428A"/>
    <w:rsid w:val="00BD557D"/>
    <w:rsid w:val="00BD7BA5"/>
    <w:rsid w:val="00BF1FA3"/>
    <w:rsid w:val="00BF21C4"/>
    <w:rsid w:val="00C0243F"/>
    <w:rsid w:val="00C12C1B"/>
    <w:rsid w:val="00C15E81"/>
    <w:rsid w:val="00C24C21"/>
    <w:rsid w:val="00C2718C"/>
    <w:rsid w:val="00C40DDE"/>
    <w:rsid w:val="00C430CA"/>
    <w:rsid w:val="00C45C79"/>
    <w:rsid w:val="00C553D9"/>
    <w:rsid w:val="00C57C74"/>
    <w:rsid w:val="00C71242"/>
    <w:rsid w:val="00C7275A"/>
    <w:rsid w:val="00C93DCC"/>
    <w:rsid w:val="00C9520D"/>
    <w:rsid w:val="00C974D0"/>
    <w:rsid w:val="00CA122C"/>
    <w:rsid w:val="00CA185F"/>
    <w:rsid w:val="00CA5ACE"/>
    <w:rsid w:val="00CA7EBA"/>
    <w:rsid w:val="00CC1B2D"/>
    <w:rsid w:val="00CC278D"/>
    <w:rsid w:val="00CC4701"/>
    <w:rsid w:val="00CC6AF7"/>
    <w:rsid w:val="00CD43C3"/>
    <w:rsid w:val="00CD51FE"/>
    <w:rsid w:val="00CE2358"/>
    <w:rsid w:val="00CE2C7B"/>
    <w:rsid w:val="00CE66B6"/>
    <w:rsid w:val="00CF3509"/>
    <w:rsid w:val="00CF5315"/>
    <w:rsid w:val="00D045A1"/>
    <w:rsid w:val="00D0750E"/>
    <w:rsid w:val="00D1130E"/>
    <w:rsid w:val="00D153FC"/>
    <w:rsid w:val="00D261CA"/>
    <w:rsid w:val="00D30EF8"/>
    <w:rsid w:val="00D3278A"/>
    <w:rsid w:val="00D327E4"/>
    <w:rsid w:val="00D36B45"/>
    <w:rsid w:val="00D36ED2"/>
    <w:rsid w:val="00D37420"/>
    <w:rsid w:val="00D40CDE"/>
    <w:rsid w:val="00D41A06"/>
    <w:rsid w:val="00D4366B"/>
    <w:rsid w:val="00D55A45"/>
    <w:rsid w:val="00D563FE"/>
    <w:rsid w:val="00D62C5A"/>
    <w:rsid w:val="00D657AB"/>
    <w:rsid w:val="00D7331C"/>
    <w:rsid w:val="00D84D80"/>
    <w:rsid w:val="00D925FE"/>
    <w:rsid w:val="00D94B28"/>
    <w:rsid w:val="00D953C4"/>
    <w:rsid w:val="00DA337E"/>
    <w:rsid w:val="00DB3D59"/>
    <w:rsid w:val="00DB6C02"/>
    <w:rsid w:val="00DC3FC8"/>
    <w:rsid w:val="00DC4823"/>
    <w:rsid w:val="00DD1057"/>
    <w:rsid w:val="00DD352D"/>
    <w:rsid w:val="00DD5910"/>
    <w:rsid w:val="00DF22C5"/>
    <w:rsid w:val="00DF3C54"/>
    <w:rsid w:val="00DF41A6"/>
    <w:rsid w:val="00DF5C12"/>
    <w:rsid w:val="00E04F69"/>
    <w:rsid w:val="00E07641"/>
    <w:rsid w:val="00E1167D"/>
    <w:rsid w:val="00E117A5"/>
    <w:rsid w:val="00E24AB2"/>
    <w:rsid w:val="00E25A88"/>
    <w:rsid w:val="00E308A9"/>
    <w:rsid w:val="00E3316A"/>
    <w:rsid w:val="00E34A16"/>
    <w:rsid w:val="00E45373"/>
    <w:rsid w:val="00E4546F"/>
    <w:rsid w:val="00E479C5"/>
    <w:rsid w:val="00E53089"/>
    <w:rsid w:val="00E60DF1"/>
    <w:rsid w:val="00E71F42"/>
    <w:rsid w:val="00E846E9"/>
    <w:rsid w:val="00E8649C"/>
    <w:rsid w:val="00E90534"/>
    <w:rsid w:val="00EA13F8"/>
    <w:rsid w:val="00EA1490"/>
    <w:rsid w:val="00EA1A05"/>
    <w:rsid w:val="00EA74DA"/>
    <w:rsid w:val="00EB6425"/>
    <w:rsid w:val="00EC677B"/>
    <w:rsid w:val="00ED0147"/>
    <w:rsid w:val="00EE26D4"/>
    <w:rsid w:val="00EE2D01"/>
    <w:rsid w:val="00EE3DAE"/>
    <w:rsid w:val="00EF0811"/>
    <w:rsid w:val="00EF63BA"/>
    <w:rsid w:val="00F006FD"/>
    <w:rsid w:val="00F01626"/>
    <w:rsid w:val="00F03845"/>
    <w:rsid w:val="00F122FE"/>
    <w:rsid w:val="00F15C8A"/>
    <w:rsid w:val="00F2038F"/>
    <w:rsid w:val="00F20DF3"/>
    <w:rsid w:val="00F265B7"/>
    <w:rsid w:val="00F27011"/>
    <w:rsid w:val="00F31648"/>
    <w:rsid w:val="00F357D5"/>
    <w:rsid w:val="00F36676"/>
    <w:rsid w:val="00F44B48"/>
    <w:rsid w:val="00F57013"/>
    <w:rsid w:val="00F64310"/>
    <w:rsid w:val="00F70CD2"/>
    <w:rsid w:val="00F70DEA"/>
    <w:rsid w:val="00F750D2"/>
    <w:rsid w:val="00F7637F"/>
    <w:rsid w:val="00F805C9"/>
    <w:rsid w:val="00F8084F"/>
    <w:rsid w:val="00F902E8"/>
    <w:rsid w:val="00F90B27"/>
    <w:rsid w:val="00F910D0"/>
    <w:rsid w:val="00F92893"/>
    <w:rsid w:val="00F947B4"/>
    <w:rsid w:val="00F94B34"/>
    <w:rsid w:val="00F953B0"/>
    <w:rsid w:val="00FA11D2"/>
    <w:rsid w:val="00FA6558"/>
    <w:rsid w:val="00FB32C8"/>
    <w:rsid w:val="00FB4E7E"/>
    <w:rsid w:val="00FC4CB9"/>
    <w:rsid w:val="00FD2A08"/>
    <w:rsid w:val="00FD4F2C"/>
    <w:rsid w:val="00FD5832"/>
    <w:rsid w:val="00FE1B35"/>
    <w:rsid w:val="00FE2B29"/>
    <w:rsid w:val="00FE43A8"/>
    <w:rsid w:val="00FF74C0"/>
    <w:rsid w:val="06001FDF"/>
    <w:rsid w:val="071034C2"/>
    <w:rsid w:val="076344D8"/>
    <w:rsid w:val="09BA76D7"/>
    <w:rsid w:val="0A277801"/>
    <w:rsid w:val="0A2B2AE9"/>
    <w:rsid w:val="0B5C1251"/>
    <w:rsid w:val="0C960B0D"/>
    <w:rsid w:val="0DC324B5"/>
    <w:rsid w:val="0F245CE3"/>
    <w:rsid w:val="12D838DB"/>
    <w:rsid w:val="147D77EF"/>
    <w:rsid w:val="19DE59E5"/>
    <w:rsid w:val="1AD31924"/>
    <w:rsid w:val="1D370C3D"/>
    <w:rsid w:val="1D6A22A6"/>
    <w:rsid w:val="28BE1D34"/>
    <w:rsid w:val="2F4F11E9"/>
    <w:rsid w:val="34157415"/>
    <w:rsid w:val="3836606F"/>
    <w:rsid w:val="38BA692D"/>
    <w:rsid w:val="39913314"/>
    <w:rsid w:val="3C8A5947"/>
    <w:rsid w:val="3D792184"/>
    <w:rsid w:val="460F1B51"/>
    <w:rsid w:val="46796585"/>
    <w:rsid w:val="47330326"/>
    <w:rsid w:val="4A0D152A"/>
    <w:rsid w:val="515527B5"/>
    <w:rsid w:val="589E58DB"/>
    <w:rsid w:val="596C58BB"/>
    <w:rsid w:val="5C7527FC"/>
    <w:rsid w:val="5D1644B7"/>
    <w:rsid w:val="62BC59DC"/>
    <w:rsid w:val="64DA0BFA"/>
    <w:rsid w:val="66826F81"/>
    <w:rsid w:val="69D27CFF"/>
    <w:rsid w:val="6DFF4C7D"/>
    <w:rsid w:val="74286F1F"/>
    <w:rsid w:val="751A4ADC"/>
    <w:rsid w:val="76FF2479"/>
    <w:rsid w:val="78886A02"/>
    <w:rsid w:val="7B6007E5"/>
    <w:rsid w:val="7BB07E5D"/>
    <w:rsid w:val="7CD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38E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qFormat="1"/>
    <w:lsdException w:name="footer" w:semiHidden="0" w:uiPriority="0" w:qFormat="1"/>
    <w:lsdException w:name="caption" w:uiPriority="35" w:qFormat="1"/>
    <w:lsdException w:name="footnote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4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B6D4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2B6D40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nhideWhenUsed/>
    <w:qFormat/>
    <w:rsid w:val="002B6D40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2B6D40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2B6D40"/>
    <w:pPr>
      <w:tabs>
        <w:tab w:val="center" w:pos="4680"/>
        <w:tab w:val="right" w:pos="9360"/>
      </w:tabs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qFormat/>
    <w:rsid w:val="002B6D40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B6D40"/>
    <w:rPr>
      <w:vertAlign w:val="superscript"/>
    </w:rPr>
  </w:style>
  <w:style w:type="character" w:styleId="Hyperlink">
    <w:name w:val="Hyperlink"/>
    <w:basedOn w:val="DefaultParagraphFont"/>
    <w:qFormat/>
    <w:rsid w:val="002B6D40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2B6D4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2B6D40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2B6D40"/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2B6D4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6D40"/>
    <w:pPr>
      <w:contextualSpacing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B6D40"/>
    <w:rPr>
      <w:color w:val="605E5C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2B6D40"/>
    <w:rPr>
      <w:sz w:val="20"/>
      <w:szCs w:val="20"/>
    </w:rPr>
  </w:style>
  <w:style w:type="paragraph" w:customStyle="1" w:styleId="Default">
    <w:name w:val="Default"/>
    <w:qFormat/>
    <w:rsid w:val="002B6D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GridTable1Light-Accent11">
    <w:name w:val="Grid Table 1 Light - Accent 11"/>
    <w:basedOn w:val="TableNormal"/>
    <w:uiPriority w:val="46"/>
    <w:qFormat/>
    <w:rsid w:val="002B6D40"/>
    <w:pPr>
      <w:spacing w:after="0" w:line="240" w:lineRule="auto"/>
    </w:pPr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2B6D40"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sid w:val="002B6D40"/>
    <w:pPr>
      <w:spacing w:after="0" w:line="240" w:lineRule="auto"/>
    </w:pPr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B6D40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012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4B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qFormat="1"/>
    <w:lsdException w:name="footer" w:semiHidden="0" w:uiPriority="0" w:qFormat="1"/>
    <w:lsdException w:name="caption" w:uiPriority="35" w:qFormat="1"/>
    <w:lsdException w:name="footnote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4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B6D4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2B6D40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nhideWhenUsed/>
    <w:qFormat/>
    <w:rsid w:val="002B6D40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2B6D40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2B6D40"/>
    <w:pPr>
      <w:tabs>
        <w:tab w:val="center" w:pos="4680"/>
        <w:tab w:val="right" w:pos="9360"/>
      </w:tabs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qFormat/>
    <w:rsid w:val="002B6D40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B6D40"/>
    <w:rPr>
      <w:vertAlign w:val="superscript"/>
    </w:rPr>
  </w:style>
  <w:style w:type="character" w:styleId="Hyperlink">
    <w:name w:val="Hyperlink"/>
    <w:basedOn w:val="DefaultParagraphFont"/>
    <w:qFormat/>
    <w:rsid w:val="002B6D40"/>
    <w:rPr>
      <w:color w:val="0000FF"/>
      <w:u w:val="single"/>
    </w:rPr>
  </w:style>
  <w:style w:type="table" w:styleId="TableGrid">
    <w:name w:val="Table Grid"/>
    <w:basedOn w:val="TableNormal"/>
    <w:uiPriority w:val="59"/>
    <w:qFormat/>
    <w:rsid w:val="002B6D4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sid w:val="002B6D40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2B6D40"/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2B6D4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6D40"/>
    <w:pPr>
      <w:contextualSpacing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B6D40"/>
    <w:rPr>
      <w:color w:val="605E5C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2B6D40"/>
    <w:rPr>
      <w:sz w:val="20"/>
      <w:szCs w:val="20"/>
    </w:rPr>
  </w:style>
  <w:style w:type="paragraph" w:customStyle="1" w:styleId="Default">
    <w:name w:val="Default"/>
    <w:qFormat/>
    <w:rsid w:val="002B6D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GridTable1Light-Accent11">
    <w:name w:val="Grid Table 1 Light - Accent 11"/>
    <w:basedOn w:val="TableNormal"/>
    <w:uiPriority w:val="46"/>
    <w:qFormat/>
    <w:rsid w:val="002B6D40"/>
    <w:pPr>
      <w:spacing w:after="0" w:line="240" w:lineRule="auto"/>
    </w:pPr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2B6D40"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sid w:val="002B6D40"/>
    <w:pPr>
      <w:spacing w:after="0" w:line="240" w:lineRule="auto"/>
    </w:pPr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B6D40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012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4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ventbrite.co.uk/e/the-new-uk-regulatory-regime-for-goods-new-ukca-transitional-measures-tickets-369128291657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eventbrite.co.uk/e/the-new-uk-regulatory-regime-for-goods-new-ukca-transitional-measures-tickets-36910828180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gov.uk/guidance/using-the-ukca-markin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ora.mfa.gr" TargetMode="External"/><Relationship Id="rId1" Type="http://schemas.openxmlformats.org/officeDocument/2006/relationships/hyperlink" Target="mailto:ecocom.london@mf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ADD308-0585-4609-9364-84C6CC91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oey02</dc:creator>
  <cp:lastModifiedBy>oey03</cp:lastModifiedBy>
  <cp:revision>19</cp:revision>
  <cp:lastPrinted>2021-03-01T13:43:00Z</cp:lastPrinted>
  <dcterms:created xsi:type="dcterms:W3CDTF">2022-06-21T08:41:00Z</dcterms:created>
  <dcterms:modified xsi:type="dcterms:W3CDTF">2022-06-21T12:33:00Z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