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C5B" w:rsidRDefault="00FE0C5B"/>
    <w:tbl>
      <w:tblPr>
        <w:tblStyle w:val="afa"/>
        <w:tblpPr w:leftFromText="180" w:rightFromText="180" w:horzAnchor="page" w:tblpX="1171" w:tblpY="-495"/>
        <w:tblW w:w="10740" w:type="dxa"/>
        <w:tblLayout w:type="fixed"/>
        <w:tblLook w:val="04A0" w:firstRow="1" w:lastRow="0" w:firstColumn="1" w:lastColumn="0" w:noHBand="0" w:noVBand="1"/>
      </w:tblPr>
      <w:tblGrid>
        <w:gridCol w:w="2545"/>
        <w:gridCol w:w="3522"/>
        <w:gridCol w:w="4673"/>
      </w:tblGrid>
      <w:tr w:rsidR="00FE0C5B">
        <w:trPr>
          <w:trHeight w:val="102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562249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464945" cy="1174115"/>
                  <wp:effectExtent l="0" t="0" r="0" b="0"/>
                  <wp:docPr id="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117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0C5B" w:rsidRDefault="00FE0C5B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FE0C5B">
            <w:pPr>
              <w:rPr>
                <w:sz w:val="12"/>
                <w:szCs w:val="12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FE0C5B"/>
          <w:p w:rsidR="00FE0C5B" w:rsidRDefault="00D34E05">
            <w:pPr>
              <w:ind w:firstLine="7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28575" distL="0" distR="19050" simplePos="0" relativeHeight="10" behindDoc="1" locked="0" layoutInCell="0" allowOverlap="1" wp14:anchorId="026F30E9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13335</wp:posOffset>
                      </wp:positionV>
                      <wp:extent cx="1617345" cy="314325"/>
                      <wp:effectExtent l="0" t="0" r="20955" b="28575"/>
                      <wp:wrapNone/>
                      <wp:docPr id="2" name="Πλαίσιο κειμένο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360">
                                <a:solidFill>
                                  <a:srgbClr val="FFFFFF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E0C5B" w:rsidRDefault="00562249">
                                  <w:pPr>
                                    <w:pStyle w:val="af9"/>
                                    <w:widowControl w:val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F30E9" id="Πλαίσιο κειμένου 2" o:spid="_x0000_s1026" style="position:absolute;left:0;text-align:left;margin-left:101.45pt;margin-top:1.05pt;width:127.35pt;height:24.75pt;z-index:-503316470;visibility:visible;mso-wrap-style:square;mso-width-percent:0;mso-height-percent:0;mso-wrap-distance-left:0;mso-wrap-distance-top:0;mso-wrap-distance-right:1.5pt;mso-wrap-distance-bottom:2.2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" o:allowincell="f" fillcolor="#006896" strokecolor="white" strokeweight=".26mm">
                      <v:textbox>
                        <w:txbxContent>
                          <w:p w:rsidR="00FE0C5B" w:rsidRDefault="00562249">
                            <w:pPr>
                              <w:pStyle w:val="af9"/>
                              <w:widowControl w:val="0"/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E0C5B">
        <w:trPr>
          <w:trHeight w:val="342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56224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4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FE0C5B">
            <w:pPr>
              <w:rPr>
                <w:sz w:val="16"/>
                <w:szCs w:val="16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FE0C5B">
            <w:pPr>
              <w:rPr>
                <w:sz w:val="16"/>
                <w:szCs w:val="16"/>
              </w:rPr>
            </w:pPr>
          </w:p>
        </w:tc>
      </w:tr>
      <w:tr w:rsidR="00FE0C5B">
        <w:trPr>
          <w:trHeight w:val="6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562249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FE0C5B" w:rsidRDefault="00562249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FE0C5B" w:rsidRDefault="00562249">
            <w:pPr>
              <w:jc w:val="center"/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  18.07.2022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FE0C5B">
            <w:pPr>
              <w:rPr>
                <w:sz w:val="16"/>
                <w:szCs w:val="16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FE0C5B">
            <w:pPr>
              <w:rPr>
                <w:sz w:val="16"/>
                <w:szCs w:val="16"/>
              </w:rPr>
            </w:pPr>
          </w:p>
        </w:tc>
      </w:tr>
      <w:tr w:rsidR="00FE0C5B">
        <w:trPr>
          <w:trHeight w:val="342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FE0C5B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FE0C5B">
            <w:pPr>
              <w:rPr>
                <w:sz w:val="16"/>
                <w:szCs w:val="16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FE0C5B">
            <w:pPr>
              <w:rPr>
                <w:sz w:val="16"/>
                <w:szCs w:val="16"/>
              </w:rPr>
            </w:pPr>
          </w:p>
        </w:tc>
      </w:tr>
      <w:tr w:rsidR="00FE0C5B">
        <w:trPr>
          <w:trHeight w:val="342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FE0C5B">
            <w:pPr>
              <w:jc w:val="center"/>
              <w:rPr>
                <w:rFonts w:ascii="Arial" w:hAnsi="Arial" w:cs="Arial"/>
                <w:b/>
                <w:bCs/>
                <w:color w:val="006896"/>
                <w:sz w:val="16"/>
                <w:szCs w:val="16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FE0C5B">
            <w:pPr>
              <w:rPr>
                <w:sz w:val="16"/>
                <w:szCs w:val="16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C5B" w:rsidRDefault="00FE0C5B">
            <w:pPr>
              <w:rPr>
                <w:sz w:val="16"/>
                <w:szCs w:val="16"/>
              </w:rPr>
            </w:pPr>
          </w:p>
        </w:tc>
      </w:tr>
    </w:tbl>
    <w:p w:rsidR="00FE0C5B" w:rsidRDefault="00562249" w:rsidP="005F20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Ξεκινούν οι αιτήσεις για τις Πειραματικές Επαγγελματικές Σχολές Μαθητείας ΔΥΠΑ  στον Τουρισμό και την Φιλοξενία</w:t>
      </w:r>
      <w:r>
        <w:rPr>
          <w:rFonts w:ascii="Arial" w:hAnsi="Arial" w:cs="Arial"/>
          <w:b/>
          <w:sz w:val="22"/>
          <w:szCs w:val="22"/>
        </w:rPr>
        <w:t xml:space="preserve"> σε συνεργασία με το </w:t>
      </w:r>
      <w:proofErr w:type="spellStart"/>
      <w:r>
        <w:rPr>
          <w:rFonts w:ascii="Arial" w:hAnsi="Arial" w:cs="Arial"/>
          <w:b/>
          <w:sz w:val="22"/>
          <w:szCs w:val="22"/>
        </w:rPr>
        <w:t>Ελληνογερμανικό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Επιμελητήριο και το ΙΝΣΕΤΕ</w:t>
      </w:r>
    </w:p>
    <w:p w:rsidR="00FE0C5B" w:rsidRDefault="00FE0C5B">
      <w:pPr>
        <w:jc w:val="center"/>
        <w:rPr>
          <w:rFonts w:ascii="Arial" w:hAnsi="Arial" w:cs="Arial"/>
          <w:b/>
          <w:sz w:val="22"/>
          <w:szCs w:val="22"/>
        </w:rPr>
      </w:pPr>
    </w:p>
    <w:p w:rsidR="00FE0C5B" w:rsidRDefault="00FE0C5B">
      <w:pPr>
        <w:jc w:val="both"/>
        <w:rPr>
          <w:rFonts w:ascii="Arial" w:hAnsi="Arial" w:cs="Arial"/>
          <w:b/>
          <w:sz w:val="22"/>
          <w:szCs w:val="22"/>
        </w:rPr>
      </w:pPr>
    </w:p>
    <w:p w:rsidR="00FE0C5B" w:rsidRDefault="00562249">
      <w:pPr>
        <w:jc w:val="both"/>
      </w:pPr>
      <w:r>
        <w:rPr>
          <w:rFonts w:ascii="Arial" w:hAnsi="Arial" w:cs="Arial"/>
          <w:iCs/>
          <w:sz w:val="22"/>
          <w:szCs w:val="22"/>
        </w:rPr>
        <w:t>Αύριο, Τρίτη 19-7-2022</w:t>
      </w:r>
      <w:r>
        <w:rPr>
          <w:rFonts w:ascii="Arial" w:hAnsi="Arial" w:cs="Arial"/>
          <w:iCs/>
          <w:color w:val="C9211E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και ώρα 18:00, ξεκινά η ηλεκτρονική υποβολή αιτήσεων για την εισαγωγή μαθητών και μαθητριών στις επτά Πειραματικές Επαγγελματικές Σχολές  (Π.ΕΠΑΣ) Μαθητείας της ΔΥΠΑ, για το σχολικό έτος 2022-2023 σε τρεις ειδικότητες στον τομέα του τουρισμού και της φιλοξ</w:t>
      </w:r>
      <w:r>
        <w:rPr>
          <w:rFonts w:ascii="Arial" w:hAnsi="Arial" w:cs="Arial"/>
          <w:iCs/>
          <w:sz w:val="22"/>
          <w:szCs w:val="22"/>
        </w:rPr>
        <w:t xml:space="preserve">ενίας.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jc w:val="both"/>
      </w:pPr>
      <w:r>
        <w:rPr>
          <w:rFonts w:ascii="Arial" w:hAnsi="Arial" w:cs="Arial"/>
          <w:sz w:val="22"/>
          <w:szCs w:val="22"/>
        </w:rPr>
        <w:t xml:space="preserve">Η υποβολή της αίτησης γίνεται αποκλειστικά ηλεκτρονικά μέσω gov.gr με τους κωδικούς  </w:t>
      </w:r>
      <w:proofErr w:type="spellStart"/>
      <w:r>
        <w:rPr>
          <w:rFonts w:ascii="Arial" w:hAnsi="Arial" w:cs="Arial"/>
          <w:sz w:val="22"/>
          <w:szCs w:val="22"/>
        </w:rPr>
        <w:t>TAXISnet</w:t>
      </w:r>
      <w:proofErr w:type="spellEnd"/>
      <w:r>
        <w:rPr>
          <w:rFonts w:ascii="Arial" w:hAnsi="Arial" w:cs="Arial"/>
          <w:sz w:val="22"/>
          <w:szCs w:val="22"/>
        </w:rPr>
        <w:t xml:space="preserve">  στην ηλεκτρονική διεύθυνση: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jc w:val="both"/>
      </w:pPr>
      <w:r>
        <w:rPr>
          <w:rStyle w:val="a3"/>
          <w:rFonts w:ascii="Arial" w:hAnsi="Arial" w:cs="Arial"/>
          <w:color w:val="2A6099"/>
          <w:sz w:val="22"/>
          <w:szCs w:val="22"/>
        </w:rPr>
        <w:t>https://www.gov.gr/ipiresies/ekpaideuse/eggraphe-se-skholeio/eggraphe-se-peiramatike-epaggelmatike-skhole-tou-oaed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jc w:val="both"/>
      </w:pPr>
      <w:r>
        <w:rPr>
          <w:rFonts w:ascii="Arial" w:hAnsi="Arial" w:cs="Arial"/>
          <w:sz w:val="22"/>
          <w:szCs w:val="22"/>
        </w:rPr>
        <w:t xml:space="preserve">Συγκεκριμένα, η διαδρομή είναι: </w:t>
      </w:r>
      <w:r>
        <w:rPr>
          <w:rFonts w:ascii="Arial" w:hAnsi="Arial" w:cs="Arial"/>
          <w:iCs/>
          <w:sz w:val="22"/>
          <w:szCs w:val="22"/>
        </w:rPr>
        <w:t>gov.gr → Εκπαίδευση → Εγγραφή σε σχολείο → Εγγραφή σε πειραματική επαγγελματική σχολή της ΔΥΠΑ</w:t>
      </w:r>
    </w:p>
    <w:p w:rsidR="00FE0C5B" w:rsidRDefault="00FE0C5B">
      <w:pPr>
        <w:jc w:val="both"/>
        <w:rPr>
          <w:rFonts w:ascii="Arial" w:hAnsi="Arial" w:cs="Arial"/>
          <w:iCs/>
          <w:sz w:val="22"/>
          <w:szCs w:val="22"/>
        </w:rPr>
      </w:pPr>
    </w:p>
    <w:p w:rsidR="00FE0C5B" w:rsidRDefault="00562249">
      <w:pPr>
        <w:jc w:val="both"/>
      </w:pPr>
      <w:r>
        <w:rPr>
          <w:rFonts w:ascii="Arial" w:hAnsi="Arial" w:cs="Arial"/>
          <w:iCs/>
          <w:sz w:val="22"/>
          <w:szCs w:val="22"/>
        </w:rPr>
        <w:t>Δικαίωμα υποβολής αίτησης έχουν όσοι/</w:t>
      </w:r>
      <w:proofErr w:type="spellStart"/>
      <w:r>
        <w:rPr>
          <w:rFonts w:ascii="Arial" w:hAnsi="Arial" w:cs="Arial"/>
          <w:iCs/>
          <w:sz w:val="22"/>
          <w:szCs w:val="22"/>
        </w:rPr>
        <w:t>ες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είναι ηλικίας 18 ετών και άνω, κάτοχοι Απολυτηρίου Γυμνασίου ή άλλου ισότιμου ή ανώτερου</w:t>
      </w:r>
      <w:r>
        <w:rPr>
          <w:rFonts w:ascii="Arial" w:hAnsi="Arial" w:cs="Arial"/>
          <w:iCs/>
          <w:sz w:val="22"/>
          <w:szCs w:val="22"/>
        </w:rPr>
        <w:t xml:space="preserve"> τίτλου σπουδών.</w:t>
      </w:r>
    </w:p>
    <w:p w:rsidR="00FE0C5B" w:rsidRDefault="00562249">
      <w:pPr>
        <w:jc w:val="both"/>
      </w:pPr>
      <w:r>
        <w:rPr>
          <w:rFonts w:ascii="Arial" w:hAnsi="Arial" w:cs="Arial"/>
          <w:iCs/>
          <w:sz w:val="22"/>
          <w:szCs w:val="22"/>
        </w:rPr>
        <w:t xml:space="preserve">Για την ειδικότητα </w:t>
      </w:r>
      <w:r>
        <w:rPr>
          <w:rFonts w:ascii="Arial" w:hAnsi="Arial" w:cstheme="minorHAnsi"/>
          <w:iCs/>
          <w:sz w:val="22"/>
          <w:szCs w:val="22"/>
        </w:rPr>
        <w:t>«</w:t>
      </w:r>
      <w:r>
        <w:rPr>
          <w:rFonts w:ascii="Arial" w:hAnsi="Arial" w:cs="Arial"/>
          <w:iCs/>
          <w:sz w:val="22"/>
          <w:szCs w:val="22"/>
        </w:rPr>
        <w:t>Υπάλληλος Υποδοχής Πελατών Ξενοδοχείου</w:t>
      </w:r>
      <w:r>
        <w:rPr>
          <w:rFonts w:ascii="Arial" w:hAnsi="Arial" w:cstheme="minorHAnsi"/>
          <w:iCs/>
          <w:sz w:val="22"/>
          <w:szCs w:val="22"/>
        </w:rPr>
        <w:t>»</w:t>
      </w:r>
      <w:r>
        <w:rPr>
          <w:rFonts w:ascii="Arial" w:hAnsi="Arial" w:cs="Arial"/>
          <w:iCs/>
          <w:sz w:val="22"/>
          <w:szCs w:val="22"/>
        </w:rPr>
        <w:t>, είναι απαραίτητη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η καλή γνώση ξένης γλώσσας (αγγλικά ή γαλλικά ή γερμανικά).</w:t>
      </w:r>
    </w:p>
    <w:p w:rsidR="00FE0C5B" w:rsidRDefault="00562249">
      <w:pPr>
        <w:jc w:val="both"/>
      </w:pPr>
      <w:r>
        <w:rPr>
          <w:rFonts w:ascii="Arial" w:hAnsi="Arial" w:cs="Arial"/>
          <w:iCs/>
          <w:sz w:val="22"/>
          <w:szCs w:val="22"/>
        </w:rPr>
        <w:t xml:space="preserve">Για τις ειδικότητες </w:t>
      </w:r>
      <w:r>
        <w:rPr>
          <w:rFonts w:ascii="Arial" w:hAnsi="Arial" w:cstheme="minorHAnsi"/>
          <w:iCs/>
          <w:sz w:val="22"/>
          <w:szCs w:val="22"/>
        </w:rPr>
        <w:t>«</w:t>
      </w:r>
      <w:r>
        <w:rPr>
          <w:rFonts w:ascii="Arial" w:hAnsi="Arial" w:cs="Arial"/>
          <w:iCs/>
          <w:sz w:val="22"/>
          <w:szCs w:val="22"/>
        </w:rPr>
        <w:t>Τεχνίτης Μαγειρικής Τέχνης</w:t>
      </w:r>
      <w:r>
        <w:rPr>
          <w:rFonts w:ascii="Arial" w:hAnsi="Arial" w:cstheme="minorHAnsi"/>
          <w:iCs/>
          <w:sz w:val="22"/>
          <w:szCs w:val="22"/>
        </w:rPr>
        <w:t>»</w:t>
      </w:r>
      <w:r>
        <w:rPr>
          <w:rFonts w:ascii="Arial" w:hAnsi="Arial" w:cs="Arial"/>
          <w:iCs/>
          <w:sz w:val="22"/>
          <w:szCs w:val="22"/>
        </w:rPr>
        <w:t xml:space="preserve"> &amp; </w:t>
      </w:r>
      <w:r>
        <w:rPr>
          <w:rFonts w:ascii="Arial" w:hAnsi="Arial" w:cstheme="minorHAnsi"/>
          <w:iCs/>
          <w:sz w:val="22"/>
          <w:szCs w:val="22"/>
        </w:rPr>
        <w:t>«</w:t>
      </w:r>
      <w:r>
        <w:rPr>
          <w:rFonts w:ascii="Arial" w:hAnsi="Arial" w:cs="Arial"/>
          <w:iCs/>
          <w:sz w:val="22"/>
          <w:szCs w:val="22"/>
        </w:rPr>
        <w:t>Τεχνίτης Επισιτισμού</w:t>
      </w:r>
      <w:r>
        <w:rPr>
          <w:rFonts w:ascii="Arial" w:hAnsi="Arial" w:cstheme="minorHAnsi"/>
          <w:iCs/>
          <w:sz w:val="22"/>
          <w:szCs w:val="22"/>
        </w:rPr>
        <w:t>»</w:t>
      </w:r>
      <w:r>
        <w:rPr>
          <w:rFonts w:ascii="Arial" w:hAnsi="Arial" w:cs="Arial"/>
          <w:iCs/>
          <w:sz w:val="22"/>
          <w:szCs w:val="22"/>
        </w:rPr>
        <w:t xml:space="preserve"> είναι επιθυμητή η καλή γνώσ</w:t>
      </w:r>
      <w:r>
        <w:rPr>
          <w:rFonts w:ascii="Arial" w:hAnsi="Arial" w:cs="Arial"/>
          <w:iCs/>
          <w:sz w:val="22"/>
          <w:szCs w:val="22"/>
        </w:rPr>
        <w:t>η ξένης γλώσσας.</w:t>
      </w:r>
    </w:p>
    <w:p w:rsidR="00FE0C5B" w:rsidRDefault="00FE0C5B">
      <w:pPr>
        <w:jc w:val="both"/>
        <w:rPr>
          <w:rFonts w:ascii="Arial" w:hAnsi="Arial" w:cs="Arial"/>
          <w:iCs/>
          <w:sz w:val="22"/>
          <w:szCs w:val="22"/>
        </w:rPr>
      </w:pPr>
    </w:p>
    <w:p w:rsidR="00FE0C5B" w:rsidRDefault="00562249">
      <w:pPr>
        <w:jc w:val="both"/>
      </w:pPr>
      <w:r>
        <w:rPr>
          <w:rFonts w:ascii="Arial" w:hAnsi="Arial" w:cs="Arial"/>
          <w:iCs/>
          <w:sz w:val="22"/>
          <w:szCs w:val="22"/>
        </w:rPr>
        <w:t>Οι Πειραματικές ΕΠΑΣ λειτουργούν σε 7 πόλεις (Αθήνα, Θεσσαλονίκη, Κέρκυρα, Κρήτη, Μυτιλήνη, Πάτρα και Ρόδο) και εφαρμόζουν το δυικό σύστημα εκπαίδευσης που συνδυάζει τη θεωρητική και εργαστηριακή εκπαίδευση με τη Μαθητεία (μάθηση σε εργασ</w:t>
      </w:r>
      <w:r>
        <w:rPr>
          <w:rFonts w:ascii="Arial" w:hAnsi="Arial" w:cs="Arial"/>
          <w:iCs/>
          <w:sz w:val="22"/>
          <w:szCs w:val="22"/>
        </w:rPr>
        <w:t>ιακό χώρο με αμοιβή και ασφάλιση) σε επιχειρήσεις. Το θεωρητικό μέρος υλοποιείται  στις Σχολές από τον Νοέμβριο  έως και τον Απρίλιο, ενώ η Μαθητεία στις επιχειρήσεις θα πραγματοποιείται από τον Μάιο έως τον Οκτώβριο. Η αμοιβή των μαθητών και μαθητριών αντ</w:t>
      </w:r>
      <w:r>
        <w:rPr>
          <w:rFonts w:ascii="Arial" w:hAnsi="Arial" w:cs="Arial"/>
          <w:iCs/>
          <w:sz w:val="22"/>
          <w:szCs w:val="22"/>
        </w:rPr>
        <w:t>ιστοιχεί σε 25,27 ευρώ για κάθε ημέρα μαθητείας σε εργασιακό χώρο, η οποία διαρκεί συνολικά 12 μήνες.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jc w:val="both"/>
      </w:pPr>
      <w:r>
        <w:rPr>
          <w:rFonts w:ascii="Arial" w:hAnsi="Arial" w:cs="Arial"/>
          <w:sz w:val="22"/>
          <w:szCs w:val="22"/>
        </w:rPr>
        <w:t xml:space="preserve">Η συνεργασία της ΔΥΠΑ με το </w:t>
      </w:r>
      <w:proofErr w:type="spellStart"/>
      <w:r>
        <w:rPr>
          <w:rFonts w:ascii="Arial" w:hAnsi="Arial" w:cs="Arial"/>
          <w:sz w:val="22"/>
          <w:szCs w:val="22"/>
        </w:rPr>
        <w:t>Ελληνογερμανικό</w:t>
      </w:r>
      <w:proofErr w:type="spellEnd"/>
      <w:r>
        <w:rPr>
          <w:rFonts w:ascii="Arial" w:hAnsi="Arial" w:cs="Arial"/>
          <w:sz w:val="22"/>
          <w:szCs w:val="22"/>
        </w:rPr>
        <w:t xml:space="preserve"> Εμπορικό και Βιομηχανικό Επιμελητήριο και το Ινστιτούτο Συνδέσμου Ελληνικών Τουριστικών Επιχειρήσεων </w:t>
      </w:r>
      <w:r>
        <w:rPr>
          <w:rFonts w:ascii="Arial" w:hAnsi="Arial" w:cs="Arial"/>
          <w:sz w:val="22"/>
          <w:szCs w:val="22"/>
        </w:rPr>
        <w:lastRenderedPageBreak/>
        <w:t>(ΙΝΣΕΤΕ)</w:t>
      </w:r>
      <w:r>
        <w:rPr>
          <w:rFonts w:ascii="Arial" w:hAnsi="Arial" w:cs="Arial"/>
          <w:sz w:val="22"/>
          <w:szCs w:val="22"/>
        </w:rPr>
        <w:t>, που διαθέτουν μεγάλη εμπειρία  στο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χώρο  της Επαγγελματικής Εκπαίδευσης και του Τουρισμού, εγγυάται  την τοποθέτηση  όλων των μαθητευόμενων σε θέσεις Μαθητείας σε διακεκριμένες επιχειρήσεις του Τουριστικού κλάδου (ξενοδοχεία 4 &amp; 5 αστέρων), ενισχύοντας,</w:t>
      </w:r>
      <w:r>
        <w:rPr>
          <w:rFonts w:ascii="Arial" w:hAnsi="Arial" w:cs="Arial"/>
          <w:sz w:val="22"/>
          <w:szCs w:val="22"/>
        </w:rPr>
        <w:t xml:space="preserve"> συγχρόνως,  την προοπτική της επαγγελματικής αποκατάστασής τους, μετά την ολοκλήρωση των σπουδών.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jc w:val="both"/>
      </w:pPr>
      <w:r>
        <w:rPr>
          <w:rFonts w:ascii="Arial" w:hAnsi="Arial" w:cs="Arial"/>
          <w:sz w:val="22"/>
          <w:szCs w:val="22"/>
        </w:rPr>
        <w:t>Οι ειδικότητες στις επτά (7) Π.ΕΠΑΣ για το σχολικό έτος 2022-2023 είναι οι εξής: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Π.ΕΠΑΣ Καλαμακίου – Π.ΕΠΑΣ Ηρακλείου Κρήτης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Υπάλληλος Υποδοχής Πελατών </w:t>
      </w:r>
      <w:r>
        <w:rPr>
          <w:rFonts w:ascii="Arial" w:hAnsi="Arial" w:cs="Arial"/>
          <w:sz w:val="22"/>
          <w:szCs w:val="22"/>
        </w:rPr>
        <w:t>Ξενοδοχείου</w:t>
      </w:r>
    </w:p>
    <w:p w:rsidR="00FE0C5B" w:rsidRDefault="0056224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Τεχνίτης Μαγειρικής Τέχνης</w:t>
      </w:r>
    </w:p>
    <w:p w:rsidR="00FE0C5B" w:rsidRDefault="0056224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Τεχνίτης Επισιτισμού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jc w:val="both"/>
      </w:pPr>
      <w:r>
        <w:rPr>
          <w:rFonts w:ascii="Arial" w:hAnsi="Arial" w:cs="Arial"/>
          <w:sz w:val="22"/>
          <w:szCs w:val="22"/>
        </w:rPr>
        <w:t>Π.ΕΠΑΣ 1</w:t>
      </w:r>
      <w:r>
        <w:rPr>
          <w:rFonts w:ascii="Arial" w:hAnsi="Arial" w:cs="Arial"/>
          <w:sz w:val="22"/>
          <w:szCs w:val="22"/>
          <w:vertAlign w:val="superscript"/>
        </w:rPr>
        <w:t xml:space="preserve">ης </w:t>
      </w:r>
      <w:r>
        <w:rPr>
          <w:rFonts w:ascii="Arial" w:hAnsi="Arial" w:cs="Arial"/>
          <w:sz w:val="22"/>
          <w:szCs w:val="22"/>
        </w:rPr>
        <w:t>Θεσσαλονίκης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numPr>
          <w:ilvl w:val="0"/>
          <w:numId w:val="5"/>
        </w:numPr>
        <w:jc w:val="both"/>
      </w:pPr>
      <w:bookmarkStart w:id="1" w:name="__DdeLink__309_3285096967"/>
      <w:r>
        <w:rPr>
          <w:rFonts w:ascii="Arial" w:hAnsi="Arial" w:cs="Arial"/>
          <w:sz w:val="22"/>
          <w:szCs w:val="22"/>
        </w:rPr>
        <w:t>Υπάλληλος Υποδοχής Πελατών Ξενοδοχείου</w:t>
      </w:r>
      <w:bookmarkEnd w:id="1"/>
    </w:p>
    <w:p w:rsidR="00FE0C5B" w:rsidRDefault="00562249">
      <w:pPr>
        <w:numPr>
          <w:ilvl w:val="0"/>
          <w:numId w:val="5"/>
        </w:numPr>
        <w:jc w:val="both"/>
      </w:pPr>
      <w:r>
        <w:rPr>
          <w:rFonts w:ascii="Arial" w:hAnsi="Arial" w:cs="Arial"/>
          <w:sz w:val="22"/>
          <w:szCs w:val="22"/>
        </w:rPr>
        <w:t>Τεχνίτης Επισιτισμού</w:t>
      </w:r>
    </w:p>
    <w:p w:rsidR="00FE0C5B" w:rsidRDefault="00FE0C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jc w:val="both"/>
      </w:pPr>
      <w:r>
        <w:rPr>
          <w:rFonts w:ascii="Arial" w:hAnsi="Arial" w:cs="Arial"/>
          <w:sz w:val="22"/>
          <w:szCs w:val="22"/>
        </w:rPr>
        <w:t>Π.ΕΠΑΣ Κέρκυρας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Υπάλληλος Υποδοχής Πελατών Ξενοδοχείου</w:t>
      </w:r>
    </w:p>
    <w:p w:rsidR="00FE0C5B" w:rsidRDefault="00FE0C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Π.ΕΠΑΣ Μυτιλήνης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Τεχνίτης Μαγειρικής Τέχνης</w:t>
      </w:r>
    </w:p>
    <w:p w:rsidR="00FE0C5B" w:rsidRDefault="0056224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Τεχνίτης Επισιτισμού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Π.ΕΠΑΣ Πάτρας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Τεχνίτης Επισιτισμού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jc w:val="both"/>
      </w:pPr>
      <w:r>
        <w:rPr>
          <w:rFonts w:ascii="Arial" w:hAnsi="Arial" w:cs="Arial"/>
          <w:sz w:val="22"/>
          <w:szCs w:val="22"/>
        </w:rPr>
        <w:t>Π.ΕΠΑΣ Ρόδου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Υπάλληλος Υποδοχής Πελατών Ξενοδοχείου</w:t>
      </w:r>
    </w:p>
    <w:p w:rsidR="00FE0C5B" w:rsidRDefault="0056224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Τεχνίτης Μαγειρικής Τέχνης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jc w:val="both"/>
      </w:pPr>
      <w:r>
        <w:rPr>
          <w:rFonts w:ascii="Arial" w:hAnsi="Arial" w:cs="Arial"/>
          <w:sz w:val="22"/>
          <w:szCs w:val="22"/>
        </w:rPr>
        <w:t>Οι μαθητές και οι μαθήτριες των Π.ΕΠΑΣ Μαθητείας της Δ.ΥΠ.Α</w:t>
      </w:r>
    </w:p>
    <w:p w:rsidR="00FE0C5B" w:rsidRDefault="00FE0C5B">
      <w:pPr>
        <w:jc w:val="both"/>
        <w:rPr>
          <w:rFonts w:ascii="Arial" w:hAnsi="Arial" w:cs="Arial"/>
          <w:sz w:val="22"/>
          <w:szCs w:val="22"/>
        </w:rPr>
      </w:pPr>
    </w:p>
    <w:p w:rsidR="00FE0C5B" w:rsidRDefault="00562249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Πραγματοποιούν Μαθητεία σε Επιχειρήσεις με αμοιβή και</w:t>
      </w:r>
      <w:r>
        <w:rPr>
          <w:rFonts w:ascii="Arial" w:hAnsi="Arial" w:cs="Arial"/>
          <w:sz w:val="22"/>
          <w:szCs w:val="22"/>
        </w:rPr>
        <w:t xml:space="preserve"> ασφάλιση</w:t>
      </w:r>
    </w:p>
    <w:p w:rsidR="00FE0C5B" w:rsidRDefault="00562249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Φοιτούν σε σύγχρονα και πλήρως εξοπλισμένα εργαστήρια</w:t>
      </w:r>
    </w:p>
    <w:p w:rsidR="00FE0C5B" w:rsidRDefault="00562249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Τους παρέχονται τα απαραίτητα βιβλία και βοηθήματα</w:t>
      </w:r>
    </w:p>
    <w:p w:rsidR="00FE0C5B" w:rsidRDefault="00562249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Εκπαιδεύονται από έμπειρο και άρτια καταρτισμένο εκπαιδευτικό προσωπικό</w:t>
      </w:r>
    </w:p>
    <w:p w:rsidR="00FE0C5B" w:rsidRDefault="00562249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Δικαιούνται αναβολή στράτευσης</w:t>
      </w:r>
    </w:p>
    <w:p w:rsidR="00FE0C5B" w:rsidRDefault="00562249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Λαμβάνουν επίδομα στέγασης και σίτισης, όσοι πληρούν τις προϋποθέσεις </w:t>
      </w:r>
    </w:p>
    <w:p w:rsidR="00FE0C5B" w:rsidRDefault="00FE0C5B">
      <w:pPr>
        <w:rPr>
          <w:rFonts w:ascii="Arial" w:hAnsi="Arial" w:cs="Arial"/>
          <w:sz w:val="22"/>
          <w:szCs w:val="22"/>
        </w:rPr>
      </w:pPr>
    </w:p>
    <w:p w:rsidR="00FE0C5B" w:rsidRDefault="00562249">
      <w:r>
        <w:rPr>
          <w:rFonts w:ascii="Arial" w:hAnsi="Arial" w:cs="Arial"/>
          <w:sz w:val="22"/>
          <w:szCs w:val="22"/>
        </w:rPr>
        <w:t xml:space="preserve">Περισσότερες πληροφορίες παρέχονται στην ηλεκτρονική  διεύθυνση </w:t>
      </w:r>
      <w:r>
        <w:rPr>
          <w:rStyle w:val="a3"/>
          <w:rFonts w:ascii="Arial" w:hAnsi="Arial" w:cs="Arial"/>
          <w:sz w:val="22"/>
          <w:szCs w:val="22"/>
        </w:rPr>
        <w:t>https://www.dypa.gov.gr/mathitia</w:t>
      </w:r>
    </w:p>
    <w:sectPr w:rsidR="00FE0C5B">
      <w:headerReference w:type="default" r:id="rId10"/>
      <w:footerReference w:type="default" r:id="rId11"/>
      <w:pgSz w:w="11906" w:h="16838"/>
      <w:pgMar w:top="2269" w:right="1985" w:bottom="1701" w:left="1985" w:header="680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249" w:rsidRDefault="00562249">
      <w:r>
        <w:separator/>
      </w:r>
    </w:p>
  </w:endnote>
  <w:endnote w:type="continuationSeparator" w:id="0">
    <w:p w:rsidR="00562249" w:rsidRDefault="0056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C5B" w:rsidRDefault="00562249">
    <w:pPr>
      <w:pStyle w:val="af3"/>
    </w:pPr>
    <w:r>
      <w:rPr>
        <w:noProof/>
      </w:rPr>
      <w:drawing>
        <wp:anchor distT="0" distB="0" distL="114300" distR="114300" simplePos="0" relativeHeight="14" behindDoc="0" locked="0" layoutInCell="0" allowOverlap="1">
          <wp:simplePos x="0" y="0"/>
          <wp:positionH relativeFrom="column">
            <wp:posOffset>1006475</wp:posOffset>
          </wp:positionH>
          <wp:positionV relativeFrom="paragraph">
            <wp:posOffset>131445</wp:posOffset>
          </wp:positionV>
          <wp:extent cx="2879725" cy="393065"/>
          <wp:effectExtent l="0" t="0" r="0" b="0"/>
          <wp:wrapTight wrapText="bothSides">
            <wp:wrapPolygon edited="0">
              <wp:start x="-68" y="0"/>
              <wp:lineTo x="-68" y="20827"/>
              <wp:lineTo x="21409" y="20827"/>
              <wp:lineTo x="21409" y="0"/>
              <wp:lineTo x="-68" y="0"/>
            </wp:wrapPolygon>
          </wp:wrapTight>
          <wp:docPr id="7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0C5B" w:rsidRDefault="00562249">
    <w:pPr>
      <w:pStyle w:val="af3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</w:rPr>
      <w:t xml:space="preserve">            </w:t>
    </w:r>
    <w:r>
      <w:rPr>
        <w:rFonts w:ascii="Tahoma" w:hAnsi="Tahoma" w:cs="Cambria"/>
      </w:rPr>
      <w:t xml:space="preserve">    </w:t>
    </w:r>
    <w:r>
      <w:rPr>
        <w:rFonts w:ascii="Tahoma" w:hAnsi="Tahoma" w:cs="Cambria"/>
      </w:rPr>
      <w:tab/>
    </w:r>
    <w:r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249" w:rsidRDefault="00562249">
      <w:r>
        <w:separator/>
      </w:r>
    </w:p>
  </w:footnote>
  <w:footnote w:type="continuationSeparator" w:id="0">
    <w:p w:rsidR="00562249" w:rsidRDefault="0056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C5B" w:rsidRDefault="00562249">
    <w:pPr>
      <w:pStyle w:val="af4"/>
    </w:pP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-1308100</wp:posOffset>
          </wp:positionH>
          <wp:positionV relativeFrom="paragraph">
            <wp:posOffset>-336550</wp:posOffset>
          </wp:positionV>
          <wp:extent cx="7560310" cy="10692130"/>
          <wp:effectExtent l="0" t="0" r="0" b="0"/>
          <wp:wrapNone/>
          <wp:docPr id="5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8" behindDoc="1" locked="0" layoutInCell="0" allowOverlap="1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0" b="0"/>
          <wp:wrapNone/>
          <wp:docPr id="6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Γραφικό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3BD3"/>
    <w:multiLevelType w:val="multilevel"/>
    <w:tmpl w:val="B250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0BF32459"/>
    <w:multiLevelType w:val="multilevel"/>
    <w:tmpl w:val="5646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1B2C266B"/>
    <w:multiLevelType w:val="multilevel"/>
    <w:tmpl w:val="3CE201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F5404"/>
    <w:multiLevelType w:val="multilevel"/>
    <w:tmpl w:val="B4A8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34294141"/>
    <w:multiLevelType w:val="multilevel"/>
    <w:tmpl w:val="3D9625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ABE23EC"/>
    <w:multiLevelType w:val="multilevel"/>
    <w:tmpl w:val="AB5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5B"/>
    <w:rsid w:val="00064C58"/>
    <w:rsid w:val="00562249"/>
    <w:rsid w:val="005F2060"/>
    <w:rsid w:val="00D34E05"/>
    <w:rsid w:val="00FE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ED0C"/>
  <w15:docId w15:val="{EC2E524C-5B0A-43EB-86F0-B4DA1864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F45522"/>
    <w:rPr>
      <w:color w:val="0000FF"/>
      <w:u w:val="single"/>
    </w:rPr>
  </w:style>
  <w:style w:type="character" w:customStyle="1" w:styleId="Verdana">
    <w:name w:val="Στυλ Verdana"/>
    <w:qFormat/>
    <w:rPr>
      <w:rFonts w:ascii="Verdana" w:hAnsi="Verdana"/>
      <w:sz w:val="20"/>
    </w:rPr>
  </w:style>
  <w:style w:type="character" w:customStyle="1" w:styleId="a4">
    <w:name w:val="Αγκίστρωση υποσημείωσης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CharChar">
    <w:name w:val="Char Char"/>
    <w:qFormat/>
    <w:rPr>
      <w:sz w:val="24"/>
      <w:szCs w:val="24"/>
    </w:rPr>
  </w:style>
  <w:style w:type="character" w:styleId="a5">
    <w:name w:val="page number"/>
    <w:basedOn w:val="a0"/>
    <w:qFormat/>
    <w:rsid w:val="00467788"/>
  </w:style>
  <w:style w:type="character" w:customStyle="1" w:styleId="apple-converted-space">
    <w:name w:val="apple-converted-space"/>
    <w:basedOn w:val="a0"/>
    <w:qFormat/>
    <w:rsid w:val="00970F73"/>
  </w:style>
  <w:style w:type="character" w:styleId="a6">
    <w:name w:val="Strong"/>
    <w:qFormat/>
    <w:rsid w:val="006D64A8"/>
    <w:rPr>
      <w:b/>
      <w:bCs/>
    </w:rPr>
  </w:style>
  <w:style w:type="character" w:customStyle="1" w:styleId="Char">
    <w:name w:val="Απλό κείμενο Char"/>
    <w:link w:val="a7"/>
    <w:uiPriority w:val="99"/>
    <w:qFormat/>
    <w:rsid w:val="00D52C58"/>
    <w:rPr>
      <w:rFonts w:ascii="Consolas" w:eastAsia="Calibri" w:hAnsi="Consolas" w:cs="Times New Roman"/>
      <w:sz w:val="21"/>
      <w:szCs w:val="21"/>
      <w:lang w:val="el-GR"/>
    </w:rPr>
  </w:style>
  <w:style w:type="character" w:customStyle="1" w:styleId="Char0">
    <w:name w:val="Κείμενο πλαισίου Char"/>
    <w:qFormat/>
    <w:rsid w:val="0048686C"/>
    <w:rPr>
      <w:rFonts w:ascii="Tahoma" w:hAnsi="Tahoma" w:cs="Tahoma"/>
      <w:sz w:val="16"/>
      <w:szCs w:val="16"/>
    </w:rPr>
  </w:style>
  <w:style w:type="character" w:styleId="a8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styleId="a9">
    <w:name w:val="Unresolved Mention"/>
    <w:uiPriority w:val="99"/>
    <w:semiHidden/>
    <w:unhideWhenUsed/>
    <w:qFormat/>
    <w:rsid w:val="009704E9"/>
    <w:rPr>
      <w:color w:val="605E5C"/>
      <w:shd w:val="clear" w:color="auto" w:fill="E1DFDD"/>
    </w:rPr>
  </w:style>
  <w:style w:type="character" w:customStyle="1" w:styleId="aa">
    <w:name w:val="Αναγνωσμένος δεσμός διαδικτύου"/>
    <w:qFormat/>
    <w:rsid w:val="005444E0"/>
    <w:rPr>
      <w:color w:val="954F72"/>
      <w:u w:val="single"/>
    </w:rPr>
  </w:style>
  <w:style w:type="character" w:customStyle="1" w:styleId="ab">
    <w:name w:val="Κουκκίδες"/>
    <w:qFormat/>
    <w:rPr>
      <w:rFonts w:ascii="OpenSymbol" w:eastAsia="OpenSymbol" w:hAnsi="OpenSymbol" w:cs="OpenSymbol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paragraph" w:customStyle="1" w:styleId="ac">
    <w:name w:val="Επικεφαλίδα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line="280" w:lineRule="atLeast"/>
      <w:jc w:val="both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f0">
    <w:name w:val="Ευρετήριο"/>
    <w:basedOn w:val="a"/>
    <w:qFormat/>
    <w:pPr>
      <w:suppressLineNumbers/>
    </w:pPr>
    <w:rPr>
      <w:rFonts w:cs="Lohit Devanagari"/>
    </w:rPr>
  </w:style>
  <w:style w:type="paragraph" w:styleId="af1">
    <w:name w:val="Block Text"/>
    <w:basedOn w:val="a"/>
    <w:qFormat/>
    <w:pPr>
      <w:ind w:left="720" w:right="540" w:hanging="360"/>
    </w:pPr>
    <w:rPr>
      <w:rFonts w:eastAsia="SimSun"/>
      <w:szCs w:val="20"/>
    </w:rPr>
  </w:style>
  <w:style w:type="paragraph" w:customStyle="1" w:styleId="af2">
    <w:name w:val="Κεφαλίδα και υποσέλιδο"/>
    <w:basedOn w:val="a"/>
    <w:qFormat/>
  </w:style>
  <w:style w:type="paragraph" w:styleId="af3">
    <w:name w:val="footer"/>
    <w:basedOn w:val="a"/>
    <w:pPr>
      <w:tabs>
        <w:tab w:val="center" w:pos="4153"/>
        <w:tab w:val="right" w:pos="8306"/>
      </w:tabs>
    </w:pPr>
  </w:style>
  <w:style w:type="paragraph" w:styleId="af4">
    <w:name w:val="header"/>
    <w:basedOn w:val="a"/>
    <w:pPr>
      <w:tabs>
        <w:tab w:val="center" w:pos="4153"/>
        <w:tab w:val="right" w:pos="8306"/>
      </w:tabs>
    </w:pPr>
  </w:style>
  <w:style w:type="paragraph" w:styleId="af5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f6">
    <w:name w:val="footnote text"/>
    <w:basedOn w:val="a"/>
    <w:semiHidden/>
    <w:pPr>
      <w:widowControl w:val="0"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f7">
    <w:name w:val="No Spacing"/>
    <w:uiPriority w:val="1"/>
    <w:qFormat/>
    <w:rsid w:val="00AB7464"/>
    <w:rPr>
      <w:rFonts w:ascii="Calibri" w:hAnsi="Calibri"/>
      <w:sz w:val="22"/>
      <w:szCs w:val="22"/>
    </w:rPr>
  </w:style>
  <w:style w:type="paragraph" w:styleId="a7">
    <w:name w:val="Plain Text"/>
    <w:basedOn w:val="a"/>
    <w:link w:val="Char"/>
    <w:uiPriority w:val="99"/>
    <w:unhideWhenUsed/>
    <w:qFormat/>
    <w:rsid w:val="00D52C58"/>
    <w:rPr>
      <w:rFonts w:ascii="Consolas" w:eastAsia="Calibri" w:hAnsi="Consolas"/>
      <w:sz w:val="21"/>
      <w:szCs w:val="21"/>
      <w:lang w:eastAsia="x-none"/>
    </w:rPr>
  </w:style>
  <w:style w:type="paragraph" w:styleId="af8">
    <w:name w:val="Balloon Text"/>
    <w:basedOn w:val="a"/>
    <w:qFormat/>
    <w:rsid w:val="0048686C"/>
    <w:rPr>
      <w:rFonts w:ascii="Tahoma" w:hAnsi="Tahoma"/>
      <w:sz w:val="16"/>
      <w:szCs w:val="16"/>
      <w:lang w:val="x-none" w:eastAsia="x-none"/>
    </w:rPr>
  </w:style>
  <w:style w:type="paragraph" w:customStyle="1" w:styleId="21">
    <w:name w:val="Παράγραφος λίστας2"/>
    <w:basedOn w:val="a"/>
    <w:qFormat/>
    <w:rsid w:val="00CF1F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af9">
    <w:name w:val="Περιεχόμενα πλαισίου"/>
    <w:basedOn w:val="a"/>
    <w:qFormat/>
  </w:style>
  <w:style w:type="numbering" w:customStyle="1" w:styleId="WW8Num5">
    <w:name w:val="WW8Num5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afa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CCAB-200D-419F-9736-212522A4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oaed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dc:description/>
  <cp:lastModifiedBy>OAED</cp:lastModifiedBy>
  <cp:revision>6</cp:revision>
  <cp:lastPrinted>2021-09-20T12:20:00Z</cp:lastPrinted>
  <dcterms:created xsi:type="dcterms:W3CDTF">2022-07-15T13:29:00Z</dcterms:created>
  <dcterms:modified xsi:type="dcterms:W3CDTF">2022-07-18T11:35:00Z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