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ayout w:type="fixed"/>
        <w:tblLook w:val="04A0"/>
      </w:tblPr>
      <w:tblGrid>
        <w:gridCol w:w="1101"/>
        <w:gridCol w:w="4110"/>
        <w:gridCol w:w="1134"/>
        <w:gridCol w:w="3509"/>
      </w:tblGrid>
      <w:tr w:rsidR="006F1815" w:rsidRPr="000245B1" w:rsidTr="00BA4A85">
        <w:tc>
          <w:tcPr>
            <w:tcW w:w="6345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:rsidR="006F1815" w:rsidRPr="000245B1" w:rsidRDefault="006F1815" w:rsidP="00BA4A85">
            <w:pPr>
              <w:ind w:right="1853"/>
              <w:jc w:val="center"/>
              <w:rPr>
                <w:rFonts w:asciiTheme="minorHAnsi" w:hAnsiTheme="minorHAnsi" w:cstheme="minorHAnsi"/>
                <w:sz w:val="24"/>
              </w:rPr>
            </w:pPr>
            <w:r w:rsidRPr="000245B1">
              <w:rPr>
                <w:rFonts w:asciiTheme="minorHAnsi" w:hAnsiTheme="minorHAnsi" w:cstheme="minorHAnsi"/>
                <w:noProof/>
                <w:sz w:val="24"/>
                <w:lang w:val="en-US" w:eastAsia="en-US"/>
              </w:rPr>
              <w:drawing>
                <wp:inline distT="0" distB="0" distL="0" distR="0">
                  <wp:extent cx="483870" cy="483870"/>
                  <wp:effectExtent l="19050" t="0" r="0" b="0"/>
                  <wp:docPr id="1" name="Picture 1" descr="εθνοσημο εγχρωμο μεγαλ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εθνοσημο εγχρωμο μεγαλ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83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1815" w:rsidRPr="000245B1" w:rsidRDefault="006F1815" w:rsidP="00BA4A85">
            <w:pPr>
              <w:ind w:left="-108" w:right="185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45B1">
              <w:rPr>
                <w:rFonts w:asciiTheme="minorHAnsi" w:hAnsiTheme="minorHAnsi" w:cstheme="minorHAnsi"/>
                <w:b/>
                <w:sz w:val="24"/>
              </w:rPr>
              <w:t>ΠΡΕΣΒΕΙΑ ΤΗΣ ΕΛΛΑΔΑΣ</w:t>
            </w:r>
          </w:p>
          <w:p w:rsidR="006F1815" w:rsidRPr="000245B1" w:rsidRDefault="006F1815" w:rsidP="00BA4A85">
            <w:pPr>
              <w:ind w:left="-108" w:right="185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45B1">
              <w:rPr>
                <w:rFonts w:asciiTheme="minorHAnsi" w:hAnsiTheme="minorHAnsi" w:cstheme="minorHAnsi"/>
                <w:b/>
                <w:sz w:val="24"/>
              </w:rPr>
              <w:t xml:space="preserve"> ΜΟΣΧΑ</w:t>
            </w:r>
          </w:p>
          <w:p w:rsidR="006F1815" w:rsidRPr="000245B1" w:rsidRDefault="006F1815" w:rsidP="00BA4A85">
            <w:pPr>
              <w:pBdr>
                <w:right w:val="single" w:sz="4" w:space="0" w:color="F2F2F2"/>
              </w:pBdr>
              <w:ind w:left="-108" w:right="185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45B1">
              <w:rPr>
                <w:rFonts w:asciiTheme="minorHAnsi" w:hAnsiTheme="minorHAnsi" w:cstheme="minorHAnsi"/>
                <w:b/>
                <w:sz w:val="24"/>
              </w:rPr>
              <w:t xml:space="preserve">ΓΡΑΦΕΙΟ ΟΙΚΟΝΟΜΙΚΩΝ - ΕΜΠΟΡΙΚΩΝ ΥΠΟΘΕΣΕΩΝ </w:t>
            </w:r>
          </w:p>
          <w:p w:rsidR="006F1815" w:rsidRPr="000245B1" w:rsidRDefault="006F1815" w:rsidP="00BA4A85">
            <w:pPr>
              <w:pBdr>
                <w:right w:val="single" w:sz="4" w:space="0" w:color="F2F2F2"/>
              </w:pBdr>
              <w:ind w:left="-108" w:right="1853"/>
              <w:rPr>
                <w:rFonts w:asciiTheme="minorHAnsi" w:hAnsiTheme="minorHAnsi" w:cstheme="minorHAnsi"/>
                <w:color w:val="003DCC"/>
                <w:sz w:val="24"/>
              </w:rPr>
            </w:pPr>
          </w:p>
        </w:tc>
        <w:tc>
          <w:tcPr>
            <w:tcW w:w="350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</w:tcPr>
          <w:p w:rsidR="006F1815" w:rsidRPr="000245B1" w:rsidRDefault="006F1815" w:rsidP="00BA4A85">
            <w:pPr>
              <w:rPr>
                <w:rFonts w:asciiTheme="minorHAnsi" w:hAnsiTheme="minorHAnsi" w:cstheme="minorHAnsi"/>
                <w:sz w:val="24"/>
              </w:rPr>
            </w:pPr>
          </w:p>
          <w:p w:rsidR="006F1815" w:rsidRPr="000245B1" w:rsidRDefault="006F1815" w:rsidP="00BA4A85">
            <w:pPr>
              <w:rPr>
                <w:rFonts w:asciiTheme="minorHAnsi" w:hAnsiTheme="minorHAnsi" w:cstheme="minorHAnsi"/>
                <w:sz w:val="24"/>
              </w:rPr>
            </w:pPr>
          </w:p>
          <w:p w:rsidR="006F1815" w:rsidRPr="000245B1" w:rsidRDefault="006F1815" w:rsidP="00BA4A85">
            <w:pPr>
              <w:rPr>
                <w:rFonts w:asciiTheme="minorHAnsi" w:hAnsiTheme="minorHAnsi" w:cstheme="minorHAnsi"/>
                <w:sz w:val="24"/>
              </w:rPr>
            </w:pPr>
          </w:p>
          <w:p w:rsidR="006F1815" w:rsidRPr="000245B1" w:rsidRDefault="006F1815" w:rsidP="00BA4A85">
            <w:pPr>
              <w:rPr>
                <w:rFonts w:asciiTheme="minorHAnsi" w:hAnsiTheme="minorHAnsi" w:cstheme="minorHAnsi"/>
                <w:sz w:val="24"/>
              </w:rPr>
            </w:pPr>
          </w:p>
          <w:p w:rsidR="004F6D4B" w:rsidRPr="000245B1" w:rsidRDefault="00984FF1" w:rsidP="00BA4A85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0245B1">
              <w:rPr>
                <w:rFonts w:asciiTheme="minorHAnsi" w:hAnsiTheme="minorHAnsi" w:cstheme="minorHAnsi"/>
                <w:b/>
                <w:sz w:val="24"/>
              </w:rPr>
              <w:t>ΑΔΙΑΒΑΘΜΗΤΟ</w:t>
            </w:r>
          </w:p>
          <w:p w:rsidR="006F1815" w:rsidRPr="000245B1" w:rsidRDefault="00984FF1" w:rsidP="00BA4A85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0245B1">
              <w:rPr>
                <w:rFonts w:asciiTheme="minorHAnsi" w:hAnsiTheme="minorHAnsi" w:cstheme="minorHAnsi"/>
                <w:b/>
                <w:sz w:val="24"/>
              </w:rPr>
              <w:t>ΚΑΝΟΝΙΚΟ</w:t>
            </w:r>
          </w:p>
        </w:tc>
      </w:tr>
      <w:tr w:rsidR="006F1815" w:rsidRPr="000245B1" w:rsidTr="00BA4A85">
        <w:trPr>
          <w:trHeight w:val="601"/>
        </w:trPr>
        <w:tc>
          <w:tcPr>
            <w:tcW w:w="1101" w:type="dxa"/>
          </w:tcPr>
          <w:p w:rsidR="006F1815" w:rsidRPr="000245B1" w:rsidRDefault="006F1815" w:rsidP="00BA4A85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110" w:type="dxa"/>
          </w:tcPr>
          <w:p w:rsidR="006F1815" w:rsidRPr="000245B1" w:rsidRDefault="006F1815" w:rsidP="00BA4A85">
            <w:pPr>
              <w:tabs>
                <w:tab w:val="right" w:pos="3256"/>
              </w:tabs>
              <w:ind w:right="-108"/>
              <w:rPr>
                <w:rFonts w:asciiTheme="minorHAnsi" w:hAnsiTheme="minorHAnsi" w:cstheme="minorHAnsi"/>
                <w:b/>
                <w:sz w:val="24"/>
              </w:rPr>
            </w:pPr>
          </w:p>
          <w:p w:rsidR="00C742FA" w:rsidRPr="000245B1" w:rsidRDefault="00C742FA" w:rsidP="00BA4A85">
            <w:pPr>
              <w:tabs>
                <w:tab w:val="right" w:pos="3256"/>
              </w:tabs>
              <w:ind w:right="-108"/>
              <w:rPr>
                <w:rFonts w:asciiTheme="minorHAnsi" w:hAnsiTheme="minorHAnsi" w:cstheme="minorHAnsi"/>
                <w:b/>
                <w:sz w:val="24"/>
              </w:rPr>
            </w:pPr>
          </w:p>
          <w:p w:rsidR="00C742FA" w:rsidRPr="000245B1" w:rsidRDefault="00C742FA" w:rsidP="00BA4A85">
            <w:pPr>
              <w:tabs>
                <w:tab w:val="right" w:pos="3256"/>
              </w:tabs>
              <w:ind w:right="-108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134" w:type="dxa"/>
          </w:tcPr>
          <w:p w:rsidR="006F1815" w:rsidRPr="000245B1" w:rsidRDefault="006F1815" w:rsidP="00BA4A85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0245B1">
              <w:rPr>
                <w:rFonts w:asciiTheme="minorHAnsi" w:hAnsiTheme="minorHAnsi" w:cstheme="minorHAnsi"/>
                <w:b/>
                <w:sz w:val="24"/>
              </w:rPr>
              <w:t>Μόσχα,</w:t>
            </w:r>
          </w:p>
          <w:p w:rsidR="006F1815" w:rsidRPr="000245B1" w:rsidRDefault="006F1815" w:rsidP="00BA4A85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0245B1">
              <w:rPr>
                <w:rFonts w:asciiTheme="minorHAnsi" w:hAnsiTheme="minorHAnsi" w:cstheme="minorHAnsi"/>
                <w:b/>
                <w:sz w:val="24"/>
              </w:rPr>
              <w:t>ΑΠ</w:t>
            </w:r>
          </w:p>
        </w:tc>
        <w:tc>
          <w:tcPr>
            <w:tcW w:w="3509" w:type="dxa"/>
          </w:tcPr>
          <w:p w:rsidR="006F1815" w:rsidRPr="00266727" w:rsidRDefault="00D22F66" w:rsidP="00BA4A8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266727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483AB2" w:rsidRPr="00266727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6F1815" w:rsidRPr="00266727">
              <w:rPr>
                <w:rFonts w:asciiTheme="minorHAnsi" w:hAnsiTheme="minorHAnsi" w:cstheme="minorHAnsi"/>
                <w:b/>
                <w:sz w:val="24"/>
              </w:rPr>
              <w:t>.</w:t>
            </w:r>
            <w:r w:rsidR="00483AB2" w:rsidRPr="00266727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266727">
              <w:rPr>
                <w:rFonts w:asciiTheme="minorHAnsi" w:hAnsiTheme="minorHAnsi" w:cstheme="minorHAnsi"/>
                <w:b/>
                <w:sz w:val="24"/>
              </w:rPr>
              <w:t>8</w:t>
            </w:r>
            <w:r w:rsidR="006F1815" w:rsidRPr="00266727">
              <w:rPr>
                <w:rFonts w:asciiTheme="minorHAnsi" w:hAnsiTheme="minorHAnsi" w:cstheme="minorHAnsi"/>
                <w:b/>
                <w:sz w:val="24"/>
              </w:rPr>
              <w:t>.2022</w:t>
            </w:r>
          </w:p>
          <w:p w:rsidR="006F1815" w:rsidRPr="00E679D6" w:rsidRDefault="00E679D6" w:rsidP="00D22F6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266727">
              <w:rPr>
                <w:rFonts w:asciiTheme="minorHAnsi" w:hAnsiTheme="minorHAnsi" w:cstheme="minorHAnsi"/>
                <w:b/>
              </w:rPr>
              <w:t xml:space="preserve">Φ. </w:t>
            </w:r>
            <w:r w:rsidR="00E56587" w:rsidRPr="00266727">
              <w:rPr>
                <w:rFonts w:asciiTheme="minorHAnsi" w:hAnsiTheme="minorHAnsi" w:cstheme="minorHAnsi"/>
                <w:b/>
              </w:rPr>
              <w:t>2</w:t>
            </w:r>
            <w:r w:rsidR="00E56587" w:rsidRPr="00266727">
              <w:rPr>
                <w:rFonts w:asciiTheme="minorHAnsi" w:hAnsiTheme="minorHAnsi" w:cstheme="minorHAnsi"/>
                <w:b/>
                <w:lang w:val="en-US"/>
              </w:rPr>
              <w:t>510</w:t>
            </w:r>
            <w:r w:rsidRPr="00266727">
              <w:rPr>
                <w:rFonts w:asciiTheme="minorHAnsi" w:hAnsiTheme="minorHAnsi" w:cstheme="minorHAnsi"/>
                <w:b/>
              </w:rPr>
              <w:t xml:space="preserve"> </w:t>
            </w:r>
            <w:r w:rsidR="00320760" w:rsidRPr="00266727">
              <w:rPr>
                <w:rFonts w:asciiTheme="minorHAnsi" w:hAnsiTheme="minorHAnsi" w:cstheme="minorHAnsi"/>
                <w:b/>
              </w:rPr>
              <w:t>/ΑΣ</w:t>
            </w:r>
            <w:r w:rsidR="00320760" w:rsidRPr="00266727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266727">
              <w:rPr>
                <w:rFonts w:asciiTheme="minorHAnsi" w:hAnsiTheme="minorHAnsi" w:cstheme="minorHAnsi"/>
                <w:b/>
              </w:rPr>
              <w:t>662</w:t>
            </w:r>
          </w:p>
        </w:tc>
      </w:tr>
      <w:tr w:rsidR="006F1815" w:rsidRPr="000245B1" w:rsidTr="00BA4A85">
        <w:trPr>
          <w:trHeight w:val="601"/>
        </w:trPr>
        <w:tc>
          <w:tcPr>
            <w:tcW w:w="1101" w:type="dxa"/>
          </w:tcPr>
          <w:p w:rsidR="006F1815" w:rsidRPr="000245B1" w:rsidRDefault="006F1815" w:rsidP="00BA4A8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245B1">
              <w:rPr>
                <w:rFonts w:asciiTheme="minorHAnsi" w:hAnsiTheme="minorHAnsi" w:cstheme="minorHAnsi"/>
                <w:b/>
                <w:sz w:val="24"/>
              </w:rPr>
              <w:t>ΠΡΟΣ:</w:t>
            </w:r>
          </w:p>
        </w:tc>
        <w:tc>
          <w:tcPr>
            <w:tcW w:w="4110" w:type="dxa"/>
          </w:tcPr>
          <w:p w:rsidR="006F1815" w:rsidRPr="000245B1" w:rsidRDefault="007A22A8" w:rsidP="00BA4A85">
            <w:pPr>
              <w:tabs>
                <w:tab w:val="right" w:pos="3256"/>
              </w:tabs>
              <w:ind w:right="-108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Όπως Πίνακας Αποδεκτών</w:t>
            </w:r>
            <w:r w:rsidR="006F1815" w:rsidRPr="000245B1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6F1815" w:rsidRPr="000245B1" w:rsidRDefault="006F1815" w:rsidP="00BA4A85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509" w:type="dxa"/>
          </w:tcPr>
          <w:p w:rsidR="006F1815" w:rsidRPr="000245B1" w:rsidRDefault="006F1815" w:rsidP="00BA4A85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6F1815" w:rsidRPr="000245B1" w:rsidTr="00BA4A85">
        <w:tc>
          <w:tcPr>
            <w:tcW w:w="1101" w:type="dxa"/>
          </w:tcPr>
          <w:p w:rsidR="006F1815" w:rsidRPr="000245B1" w:rsidRDefault="006F1815" w:rsidP="00BA4A85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753" w:type="dxa"/>
            <w:gridSpan w:val="3"/>
          </w:tcPr>
          <w:p w:rsidR="00803DCB" w:rsidRPr="000245B1" w:rsidRDefault="00803DCB" w:rsidP="00BA4A85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6F1815" w:rsidRPr="000245B1" w:rsidTr="00BA4A85">
        <w:tc>
          <w:tcPr>
            <w:tcW w:w="1101" w:type="dxa"/>
          </w:tcPr>
          <w:p w:rsidR="006F1815" w:rsidRPr="000245B1" w:rsidRDefault="006F1815" w:rsidP="00BA4A8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245B1">
              <w:rPr>
                <w:rFonts w:asciiTheme="minorHAnsi" w:hAnsiTheme="minorHAnsi" w:cstheme="minorHAnsi"/>
                <w:b/>
                <w:sz w:val="24"/>
              </w:rPr>
              <w:t>Θέμα:</w:t>
            </w:r>
          </w:p>
        </w:tc>
        <w:tc>
          <w:tcPr>
            <w:tcW w:w="8753" w:type="dxa"/>
            <w:gridSpan w:val="3"/>
          </w:tcPr>
          <w:p w:rsidR="00E349E5" w:rsidRPr="000245B1" w:rsidRDefault="00E349E5" w:rsidP="00E349E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245B1">
              <w:rPr>
                <w:rFonts w:asciiTheme="minorHAnsi" w:hAnsiTheme="minorHAnsi" w:cstheme="minorHAnsi"/>
                <w:b/>
                <w:sz w:val="24"/>
              </w:rPr>
              <w:t xml:space="preserve">1) </w:t>
            </w:r>
            <w:r w:rsidR="00024AAA">
              <w:rPr>
                <w:rFonts w:asciiTheme="minorHAnsi" w:hAnsiTheme="minorHAnsi" w:cstheme="minorHAnsi"/>
                <w:b/>
                <w:sz w:val="24"/>
              </w:rPr>
              <w:t>Παράταση π</w:t>
            </w:r>
            <w:r w:rsidRPr="000245B1">
              <w:rPr>
                <w:rFonts w:asciiTheme="minorHAnsi" w:hAnsiTheme="minorHAnsi" w:cstheme="minorHAnsi"/>
                <w:b/>
                <w:sz w:val="24"/>
              </w:rPr>
              <w:t>οσοστώσε</w:t>
            </w:r>
            <w:r w:rsidR="00024AAA">
              <w:rPr>
                <w:rFonts w:asciiTheme="minorHAnsi" w:hAnsiTheme="minorHAnsi" w:cstheme="minorHAnsi"/>
                <w:b/>
                <w:sz w:val="24"/>
              </w:rPr>
              <w:t>ων</w:t>
            </w:r>
            <w:r w:rsidRPr="000245B1">
              <w:rPr>
                <w:rFonts w:asciiTheme="minorHAnsi" w:hAnsiTheme="minorHAnsi" w:cstheme="minorHAnsi"/>
                <w:b/>
                <w:sz w:val="24"/>
              </w:rPr>
              <w:t xml:space="preserve"> στην εξαγωγή σκραπ και απορριμμάτων σιδήρου  </w:t>
            </w:r>
          </w:p>
          <w:p w:rsidR="005E671D" w:rsidRPr="000245B1" w:rsidRDefault="00E349E5" w:rsidP="0092189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245B1">
              <w:rPr>
                <w:rFonts w:asciiTheme="minorHAnsi" w:hAnsiTheme="minorHAnsi" w:cstheme="minorHAnsi"/>
                <w:b/>
                <w:sz w:val="24"/>
              </w:rPr>
              <w:t xml:space="preserve">2) </w:t>
            </w:r>
            <w:r w:rsidR="00921892" w:rsidRPr="000245B1">
              <w:rPr>
                <w:rFonts w:asciiTheme="minorHAnsi" w:hAnsiTheme="minorHAnsi" w:cstheme="minorHAnsi"/>
                <w:b/>
                <w:sz w:val="24"/>
              </w:rPr>
              <w:t>Άδειες για</w:t>
            </w:r>
            <w:r w:rsidR="00B77C32" w:rsidRPr="000245B1">
              <w:rPr>
                <w:rFonts w:asciiTheme="minorHAnsi" w:hAnsiTheme="minorHAnsi" w:cstheme="minorHAnsi"/>
                <w:b/>
                <w:sz w:val="24"/>
              </w:rPr>
              <w:t xml:space="preserve"> εξαγωγ</w:t>
            </w:r>
            <w:r w:rsidR="00921892" w:rsidRPr="000245B1">
              <w:rPr>
                <w:rFonts w:asciiTheme="minorHAnsi" w:hAnsiTheme="minorHAnsi" w:cstheme="minorHAnsi"/>
                <w:b/>
                <w:sz w:val="24"/>
              </w:rPr>
              <w:t>ή λευκής ζάχαρης</w:t>
            </w:r>
          </w:p>
          <w:p w:rsidR="00FE6C8B" w:rsidRPr="000245B1" w:rsidRDefault="00FE6C8B" w:rsidP="00FE6C8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245B1">
              <w:rPr>
                <w:rFonts w:asciiTheme="minorHAnsi" w:hAnsiTheme="minorHAnsi" w:cstheme="minorHAnsi"/>
                <w:b/>
                <w:sz w:val="24"/>
              </w:rPr>
              <w:t xml:space="preserve">3) </w:t>
            </w:r>
            <w:r w:rsidR="00024AAA" w:rsidRPr="00024AAA">
              <w:rPr>
                <w:rFonts w:asciiTheme="minorHAnsi" w:hAnsiTheme="minorHAnsi" w:cstheme="minorHAnsi"/>
                <w:b/>
                <w:sz w:val="24"/>
              </w:rPr>
              <w:t>Προσωρινή ποσόστωση στην εξαγωγή θείου για ορυκτά λιπάσματα</w:t>
            </w:r>
          </w:p>
          <w:p w:rsidR="001B52A3" w:rsidRPr="000245B1" w:rsidRDefault="001B52A3" w:rsidP="00FE6C8B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6F1815" w:rsidRPr="000245B1" w:rsidRDefault="006F1815" w:rsidP="006F1815">
      <w:pPr>
        <w:jc w:val="both"/>
        <w:rPr>
          <w:rFonts w:asciiTheme="minorHAnsi" w:hAnsiTheme="minorHAnsi" w:cstheme="minorHAnsi"/>
          <w:sz w:val="24"/>
        </w:rPr>
      </w:pPr>
      <w:bookmarkStart w:id="0" w:name="ΥΠΟΓΡΑΦΗ"/>
    </w:p>
    <w:p w:rsidR="00D22F66" w:rsidRPr="00D22F66" w:rsidRDefault="00E349E5" w:rsidP="00D22F66">
      <w:pPr>
        <w:ind w:firstLine="720"/>
        <w:jc w:val="both"/>
        <w:rPr>
          <w:rFonts w:asciiTheme="minorHAnsi" w:hAnsiTheme="minorHAnsi" w:cstheme="minorHAnsi"/>
          <w:sz w:val="24"/>
        </w:rPr>
      </w:pPr>
      <w:r w:rsidRPr="000245B1">
        <w:rPr>
          <w:rFonts w:asciiTheme="minorHAnsi" w:hAnsiTheme="minorHAnsi" w:cstheme="minorHAnsi"/>
          <w:b/>
          <w:sz w:val="24"/>
        </w:rPr>
        <w:t xml:space="preserve">1) </w:t>
      </w:r>
      <w:r w:rsidR="00D22F66">
        <w:rPr>
          <w:rFonts w:asciiTheme="minorHAnsi" w:hAnsiTheme="minorHAnsi" w:cstheme="minorHAnsi"/>
          <w:sz w:val="24"/>
        </w:rPr>
        <w:t>Τ</w:t>
      </w:r>
      <w:r w:rsidR="00024AAA">
        <w:rPr>
          <w:rFonts w:asciiTheme="minorHAnsi" w:hAnsiTheme="minorHAnsi" w:cstheme="minorHAnsi"/>
          <w:sz w:val="24"/>
        </w:rPr>
        <w:t xml:space="preserve">ο υπ΄αριθμ. 1358 από </w:t>
      </w:r>
      <w:r w:rsidR="00D22F66" w:rsidRPr="00D22F66">
        <w:rPr>
          <w:rFonts w:asciiTheme="minorHAnsi" w:hAnsiTheme="minorHAnsi" w:cstheme="minorHAnsi"/>
          <w:sz w:val="24"/>
        </w:rPr>
        <w:t xml:space="preserve">30 Ιουλίου 2022 Κυβερνητικό Διάταγμα από την 1η Αυγούστου μέχρι το τέλος του 2022, επεκτείνει </w:t>
      </w:r>
      <w:r w:rsidR="00024AAA">
        <w:rPr>
          <w:rFonts w:asciiTheme="minorHAnsi" w:hAnsiTheme="minorHAnsi" w:cstheme="minorHAnsi"/>
          <w:sz w:val="24"/>
        </w:rPr>
        <w:t>τ</w:t>
      </w:r>
      <w:r w:rsidR="00D22F66" w:rsidRPr="00D22F66">
        <w:rPr>
          <w:rFonts w:asciiTheme="minorHAnsi" w:hAnsiTheme="minorHAnsi" w:cstheme="minorHAnsi"/>
          <w:sz w:val="24"/>
        </w:rPr>
        <w:t>η</w:t>
      </w:r>
      <w:r w:rsidR="00024AAA">
        <w:rPr>
          <w:rFonts w:asciiTheme="minorHAnsi" w:hAnsiTheme="minorHAnsi" w:cstheme="minorHAnsi"/>
          <w:sz w:val="24"/>
        </w:rPr>
        <w:t>ν</w:t>
      </w:r>
      <w:r w:rsidR="00D22F66" w:rsidRPr="00D22F66">
        <w:rPr>
          <w:rFonts w:asciiTheme="minorHAnsi" w:hAnsiTheme="minorHAnsi" w:cstheme="minorHAnsi"/>
          <w:sz w:val="24"/>
        </w:rPr>
        <w:t xml:space="preserve"> δασμολογική ποσόστωση </w:t>
      </w:r>
      <w:r w:rsidR="00024AAA">
        <w:rPr>
          <w:rFonts w:asciiTheme="minorHAnsi" w:hAnsiTheme="minorHAnsi" w:cstheme="minorHAnsi"/>
          <w:sz w:val="24"/>
        </w:rPr>
        <w:t xml:space="preserve">σε </w:t>
      </w:r>
      <w:r w:rsidR="00D22F66" w:rsidRPr="00D22F66">
        <w:rPr>
          <w:rFonts w:asciiTheme="minorHAnsi" w:hAnsiTheme="minorHAnsi" w:cstheme="minorHAnsi"/>
          <w:sz w:val="24"/>
        </w:rPr>
        <w:t>συνολικ</w:t>
      </w:r>
      <w:r w:rsidR="00024AAA">
        <w:rPr>
          <w:rFonts w:asciiTheme="minorHAnsi" w:hAnsiTheme="minorHAnsi" w:cstheme="minorHAnsi"/>
          <w:sz w:val="24"/>
        </w:rPr>
        <w:t>ό</w:t>
      </w:r>
      <w:r w:rsidR="00D22F66" w:rsidRPr="00D22F66">
        <w:rPr>
          <w:rFonts w:asciiTheme="minorHAnsi" w:hAnsiTheme="minorHAnsi" w:cstheme="minorHAnsi"/>
          <w:sz w:val="24"/>
        </w:rPr>
        <w:t xml:space="preserve"> </w:t>
      </w:r>
      <w:r w:rsidR="00024AAA">
        <w:rPr>
          <w:rFonts w:asciiTheme="minorHAnsi" w:hAnsiTheme="minorHAnsi" w:cstheme="minorHAnsi"/>
          <w:sz w:val="24"/>
        </w:rPr>
        <w:t>όγκο</w:t>
      </w:r>
      <w:r w:rsidR="00D22F66" w:rsidRPr="00D22F66">
        <w:rPr>
          <w:rFonts w:asciiTheme="minorHAnsi" w:hAnsiTheme="minorHAnsi" w:cstheme="minorHAnsi"/>
          <w:sz w:val="24"/>
        </w:rPr>
        <w:t xml:space="preserve"> 1.350.000 τόνων για την εξαγωγή σκραπ και απορριμμάτων σιδ</w:t>
      </w:r>
      <w:r w:rsidR="00024AAA">
        <w:rPr>
          <w:rFonts w:asciiTheme="minorHAnsi" w:hAnsiTheme="minorHAnsi" w:cstheme="minorHAnsi"/>
          <w:sz w:val="24"/>
        </w:rPr>
        <w:t>ήρου</w:t>
      </w:r>
      <w:r w:rsidR="00D22F66" w:rsidRPr="00D22F66">
        <w:rPr>
          <w:rFonts w:asciiTheme="minorHAnsi" w:hAnsiTheme="minorHAnsi" w:cstheme="minorHAnsi"/>
          <w:sz w:val="24"/>
        </w:rPr>
        <w:t xml:space="preserve"> εκτός της Ευρασιατικής Οικονομικής Ένωσης (κωδικοί 7204100000, 7204300000, 7204411000, 7204419100, 7204419900, 7204491000, 7204493000, 7204499000 και 7204500000).</w:t>
      </w:r>
    </w:p>
    <w:p w:rsidR="00D22F66" w:rsidRPr="00D22F66" w:rsidRDefault="00D22F66" w:rsidP="00D22F66">
      <w:pPr>
        <w:ind w:firstLine="720"/>
        <w:jc w:val="both"/>
        <w:rPr>
          <w:rFonts w:asciiTheme="minorHAnsi" w:hAnsiTheme="minorHAnsi" w:cstheme="minorHAnsi"/>
          <w:sz w:val="24"/>
        </w:rPr>
      </w:pPr>
      <w:r w:rsidRPr="00D22F66">
        <w:rPr>
          <w:rFonts w:asciiTheme="minorHAnsi" w:hAnsiTheme="minorHAnsi" w:cstheme="minorHAnsi"/>
          <w:sz w:val="24"/>
        </w:rPr>
        <w:t>Κατά την εξαγωγή στο ποσό της ποσόστωσης, ο δασμός θα είναι 5%, αλλά όχι μικρότερος από 100 ευρώ ανά τόνο, επιπλέον - 5%, αλλά όχι λιγότερο από 290 ευρώ ανά τόνο.</w:t>
      </w:r>
    </w:p>
    <w:p w:rsidR="00E349E5" w:rsidRPr="000245B1" w:rsidRDefault="00E349E5" w:rsidP="00984FF1">
      <w:pPr>
        <w:ind w:firstLine="720"/>
        <w:jc w:val="both"/>
        <w:rPr>
          <w:rFonts w:asciiTheme="minorHAnsi" w:hAnsiTheme="minorHAnsi" w:cstheme="minorHAnsi"/>
          <w:sz w:val="24"/>
        </w:rPr>
      </w:pPr>
    </w:p>
    <w:p w:rsidR="003C5BBC" w:rsidRPr="003C5BBC" w:rsidRDefault="00E349E5" w:rsidP="00A5089D">
      <w:pPr>
        <w:ind w:firstLine="720"/>
        <w:jc w:val="both"/>
        <w:rPr>
          <w:rFonts w:asciiTheme="minorHAnsi" w:hAnsiTheme="minorHAnsi" w:cstheme="minorHAnsi"/>
          <w:sz w:val="24"/>
        </w:rPr>
      </w:pPr>
      <w:r w:rsidRPr="000245B1">
        <w:rPr>
          <w:rFonts w:asciiTheme="minorHAnsi" w:hAnsiTheme="minorHAnsi" w:cstheme="minorHAnsi"/>
          <w:b/>
          <w:sz w:val="24"/>
        </w:rPr>
        <w:t>2)</w:t>
      </w:r>
      <w:r w:rsidR="00ED5BD9" w:rsidRPr="000245B1">
        <w:rPr>
          <w:rFonts w:asciiTheme="minorHAnsi" w:hAnsiTheme="minorHAnsi" w:cstheme="minorHAnsi"/>
          <w:sz w:val="24"/>
        </w:rPr>
        <w:t xml:space="preserve"> </w:t>
      </w:r>
      <w:r w:rsidR="003C5BBC">
        <w:rPr>
          <w:rFonts w:asciiTheme="minorHAnsi" w:hAnsiTheme="minorHAnsi" w:cstheme="minorHAnsi"/>
          <w:sz w:val="24"/>
        </w:rPr>
        <w:t xml:space="preserve">Η υπ΄αριθμ. 116 από 15.07.2022 Απόφαση της Επιτροπής </w:t>
      </w:r>
      <w:r w:rsidR="00A5089D">
        <w:rPr>
          <w:rFonts w:asciiTheme="minorHAnsi" w:hAnsiTheme="minorHAnsi" w:cstheme="minorHAnsi"/>
          <w:sz w:val="24"/>
        </w:rPr>
        <w:t xml:space="preserve">της Ευρασιατικής Οικονομικής Ένωσης παρατείνει </w:t>
      </w:r>
      <w:r w:rsidR="003C5BBC" w:rsidRPr="003C5BBC">
        <w:rPr>
          <w:rFonts w:asciiTheme="minorHAnsi" w:hAnsiTheme="minorHAnsi" w:cstheme="minorHAnsi"/>
          <w:sz w:val="24"/>
        </w:rPr>
        <w:t>τη</w:t>
      </w:r>
      <w:r w:rsidR="00A5089D">
        <w:rPr>
          <w:rFonts w:asciiTheme="minorHAnsi" w:hAnsiTheme="minorHAnsi" w:cstheme="minorHAnsi"/>
          <w:sz w:val="24"/>
        </w:rPr>
        <w:t>ν</w:t>
      </w:r>
      <w:r w:rsidR="003C5BBC" w:rsidRPr="003C5BBC">
        <w:rPr>
          <w:rFonts w:asciiTheme="minorHAnsi" w:hAnsiTheme="minorHAnsi" w:cstheme="minorHAnsi"/>
          <w:sz w:val="24"/>
        </w:rPr>
        <w:t xml:space="preserve"> περ</w:t>
      </w:r>
      <w:r w:rsidR="00A5089D">
        <w:rPr>
          <w:rFonts w:asciiTheme="minorHAnsi" w:hAnsiTheme="minorHAnsi" w:cstheme="minorHAnsi"/>
          <w:sz w:val="24"/>
        </w:rPr>
        <w:t>ίοδο</w:t>
      </w:r>
      <w:r w:rsidR="003C5BBC" w:rsidRPr="003C5BBC">
        <w:rPr>
          <w:rFonts w:asciiTheme="minorHAnsi" w:hAnsiTheme="minorHAnsi" w:cstheme="minorHAnsi"/>
          <w:sz w:val="24"/>
        </w:rPr>
        <w:t xml:space="preserve"> ισχύος</w:t>
      </w:r>
      <w:r w:rsidR="00A5089D" w:rsidRPr="00A5089D">
        <w:rPr>
          <w:rFonts w:asciiTheme="minorHAnsi" w:hAnsiTheme="minorHAnsi" w:cstheme="minorHAnsi"/>
          <w:sz w:val="24"/>
        </w:rPr>
        <w:t xml:space="preserve"> </w:t>
      </w:r>
      <w:r w:rsidR="00A5089D">
        <w:rPr>
          <w:rFonts w:asciiTheme="minorHAnsi" w:hAnsiTheme="minorHAnsi" w:cstheme="minorHAnsi"/>
          <w:sz w:val="24"/>
        </w:rPr>
        <w:t xml:space="preserve">έως τις 31 Δεκεμβρίου 2022 </w:t>
      </w:r>
      <w:r w:rsidR="003C5BBC" w:rsidRPr="003C5BBC">
        <w:rPr>
          <w:rFonts w:asciiTheme="minorHAnsi" w:hAnsiTheme="minorHAnsi" w:cstheme="minorHAnsi"/>
          <w:sz w:val="24"/>
        </w:rPr>
        <w:t xml:space="preserve"> της δασμολογικής ελάφρυνσης για τη λευκή ζάχαρη και την ακατέργαστη ζάχαρη από ζαχαροκάλαμο</w:t>
      </w:r>
      <w:r w:rsidR="00A5089D">
        <w:rPr>
          <w:rFonts w:asciiTheme="minorHAnsi" w:hAnsiTheme="minorHAnsi" w:cstheme="minorHAnsi"/>
          <w:sz w:val="24"/>
        </w:rPr>
        <w:t xml:space="preserve"> για τις πωλήσεις</w:t>
      </w:r>
      <w:r w:rsidR="003C5BBC" w:rsidRPr="003C5BBC">
        <w:rPr>
          <w:rFonts w:asciiTheme="minorHAnsi" w:hAnsiTheme="minorHAnsi" w:cstheme="minorHAnsi"/>
          <w:sz w:val="24"/>
        </w:rPr>
        <w:t xml:space="preserve"> στην εγχώρια αγορά ή για την παραγωγή προϊόντων που περιέχουν ζάχαρη.</w:t>
      </w:r>
    </w:p>
    <w:p w:rsidR="003C5BBC" w:rsidRDefault="003C5BBC" w:rsidP="003C5BBC">
      <w:pPr>
        <w:ind w:firstLine="720"/>
        <w:jc w:val="both"/>
        <w:rPr>
          <w:rFonts w:asciiTheme="minorHAnsi" w:hAnsiTheme="minorHAnsi" w:cstheme="minorHAnsi"/>
          <w:sz w:val="24"/>
        </w:rPr>
      </w:pPr>
      <w:r w:rsidRPr="003C5BBC">
        <w:rPr>
          <w:rFonts w:asciiTheme="minorHAnsi" w:hAnsiTheme="minorHAnsi" w:cstheme="minorHAnsi"/>
          <w:sz w:val="24"/>
        </w:rPr>
        <w:t>Η απόφαση τίθεται σε ισχύ στις 14 Αυγούστου 2022.</w:t>
      </w:r>
    </w:p>
    <w:p w:rsidR="00C2494D" w:rsidRPr="000245B1" w:rsidRDefault="00C2494D" w:rsidP="00E349E5">
      <w:pPr>
        <w:ind w:firstLine="720"/>
        <w:jc w:val="both"/>
        <w:rPr>
          <w:rFonts w:asciiTheme="minorHAnsi" w:hAnsiTheme="minorHAnsi" w:cstheme="minorHAnsi"/>
          <w:sz w:val="24"/>
        </w:rPr>
      </w:pPr>
    </w:p>
    <w:p w:rsidR="00024AAA" w:rsidRPr="00024AAA" w:rsidRDefault="00C2494D" w:rsidP="00024AAA">
      <w:pPr>
        <w:ind w:firstLine="720"/>
        <w:jc w:val="both"/>
        <w:rPr>
          <w:rFonts w:asciiTheme="minorHAnsi" w:hAnsiTheme="minorHAnsi" w:cstheme="minorHAnsi"/>
          <w:sz w:val="24"/>
        </w:rPr>
      </w:pPr>
      <w:r w:rsidRPr="000245B1">
        <w:rPr>
          <w:rFonts w:asciiTheme="minorHAnsi" w:hAnsiTheme="minorHAnsi" w:cstheme="minorHAnsi"/>
          <w:b/>
          <w:sz w:val="24"/>
        </w:rPr>
        <w:t>3)</w:t>
      </w:r>
      <w:r w:rsidRPr="000245B1">
        <w:rPr>
          <w:rFonts w:asciiTheme="minorHAnsi" w:hAnsiTheme="minorHAnsi" w:cstheme="minorHAnsi"/>
          <w:sz w:val="24"/>
        </w:rPr>
        <w:t xml:space="preserve"> </w:t>
      </w:r>
      <w:r w:rsidR="00024AAA">
        <w:rPr>
          <w:rFonts w:asciiTheme="minorHAnsi" w:hAnsiTheme="minorHAnsi" w:cstheme="minorHAnsi"/>
          <w:sz w:val="24"/>
        </w:rPr>
        <w:t xml:space="preserve">Το υπ΄αριθμ. 1392 από </w:t>
      </w:r>
      <w:r w:rsidR="00024AAA" w:rsidRPr="00024AAA">
        <w:rPr>
          <w:rFonts w:asciiTheme="minorHAnsi" w:hAnsiTheme="minorHAnsi" w:cstheme="minorHAnsi"/>
          <w:sz w:val="24"/>
        </w:rPr>
        <w:t>6 Αυγούστου 2022 Κυβερνητικό Διάταγμα ορίζ</w:t>
      </w:r>
      <w:r w:rsidR="00024AAA">
        <w:rPr>
          <w:rFonts w:asciiTheme="minorHAnsi" w:hAnsiTheme="minorHAnsi" w:cstheme="minorHAnsi"/>
          <w:sz w:val="24"/>
        </w:rPr>
        <w:t>ει</w:t>
      </w:r>
      <w:r w:rsidR="00024AAA" w:rsidRPr="00024AAA">
        <w:rPr>
          <w:rFonts w:asciiTheme="minorHAnsi" w:hAnsiTheme="minorHAnsi" w:cstheme="minorHAnsi"/>
          <w:sz w:val="24"/>
        </w:rPr>
        <w:t xml:space="preserve"> προσωρινές ποσοστώσεις συνολικ</w:t>
      </w:r>
      <w:r w:rsidR="00024AAA">
        <w:rPr>
          <w:rFonts w:asciiTheme="minorHAnsi" w:hAnsiTheme="minorHAnsi" w:cstheme="minorHAnsi"/>
          <w:sz w:val="24"/>
        </w:rPr>
        <w:t>ού</w:t>
      </w:r>
      <w:r w:rsidR="00024AAA" w:rsidRPr="00024AAA">
        <w:rPr>
          <w:rFonts w:asciiTheme="minorHAnsi" w:hAnsiTheme="minorHAnsi" w:cstheme="minorHAnsi"/>
          <w:sz w:val="24"/>
        </w:rPr>
        <w:t xml:space="preserve"> </w:t>
      </w:r>
      <w:r w:rsidR="00024AAA">
        <w:rPr>
          <w:rFonts w:asciiTheme="minorHAnsi" w:hAnsiTheme="minorHAnsi" w:cstheme="minorHAnsi"/>
          <w:sz w:val="24"/>
        </w:rPr>
        <w:t>όγκου</w:t>
      </w:r>
      <w:r w:rsidR="00024AAA" w:rsidRPr="00024AAA">
        <w:rPr>
          <w:rFonts w:asciiTheme="minorHAnsi" w:hAnsiTheme="minorHAnsi" w:cstheme="minorHAnsi"/>
          <w:sz w:val="24"/>
        </w:rPr>
        <w:t xml:space="preserve"> 1,1 εκατ. τόνων στην εξαγωγή θείου για ορυκτά λιπάσματα, οι οποίες θα ισχύουν από τις 10 Αυγούστου έως τις 31 Δεκεμβρίου 2022.</w:t>
      </w:r>
    </w:p>
    <w:p w:rsidR="006F1815" w:rsidRPr="000245B1" w:rsidRDefault="00024AAA" w:rsidP="006F1815">
      <w:pPr>
        <w:ind w:firstLine="720"/>
        <w:jc w:val="both"/>
        <w:rPr>
          <w:rFonts w:asciiTheme="minorHAnsi" w:hAnsiTheme="minorHAnsi" w:cstheme="minorHAnsi"/>
          <w:sz w:val="24"/>
        </w:rPr>
      </w:pPr>
      <w:r w:rsidRPr="00024AAA">
        <w:rPr>
          <w:rFonts w:asciiTheme="minorHAnsi" w:hAnsiTheme="minorHAnsi" w:cstheme="minorHAnsi"/>
          <w:sz w:val="24"/>
        </w:rPr>
        <w:t>Η απόφαση αποσκοπεί στην παροχή πρώτων υλών στους παραγωγούς ορυκτών λιπασμάτων στην ποσότητα που απαιτείται για την εγχώρια αγορά.</w:t>
      </w:r>
      <w:r w:rsidR="00AC6E72" w:rsidRPr="000245B1">
        <w:rPr>
          <w:rFonts w:asciiTheme="minorHAnsi" w:hAnsiTheme="minorHAnsi" w:cstheme="minorHAnsi"/>
          <w:sz w:val="24"/>
        </w:rPr>
        <w:t xml:space="preserve">                                        </w:t>
      </w:r>
    </w:p>
    <w:p w:rsidR="007A22A8" w:rsidRDefault="00AC6E72" w:rsidP="006F1815">
      <w:pPr>
        <w:rPr>
          <w:rFonts w:asciiTheme="minorHAnsi" w:hAnsiTheme="minorHAnsi" w:cstheme="minorHAnsi"/>
          <w:sz w:val="24"/>
        </w:rPr>
      </w:pPr>
      <w:r w:rsidRPr="000245B1">
        <w:rPr>
          <w:rFonts w:asciiTheme="minorHAnsi" w:hAnsiTheme="minorHAnsi" w:cstheme="minorHAnsi"/>
          <w:sz w:val="24"/>
        </w:rPr>
        <w:t xml:space="preserve">                    </w:t>
      </w:r>
    </w:p>
    <w:p w:rsidR="006F1815" w:rsidRDefault="00AC6E72" w:rsidP="006F1815">
      <w:pPr>
        <w:rPr>
          <w:rFonts w:asciiTheme="minorHAnsi" w:hAnsiTheme="minorHAnsi" w:cstheme="minorHAnsi"/>
          <w:sz w:val="24"/>
        </w:rPr>
      </w:pPr>
      <w:r w:rsidRPr="000245B1">
        <w:rPr>
          <w:rFonts w:asciiTheme="minorHAnsi" w:hAnsiTheme="minorHAnsi" w:cstheme="minorHAnsi"/>
          <w:sz w:val="24"/>
        </w:rPr>
        <w:t xml:space="preserve">    </w:t>
      </w:r>
      <w:r w:rsidR="006F1815" w:rsidRPr="000245B1">
        <w:rPr>
          <w:rFonts w:asciiTheme="minorHAnsi" w:hAnsiTheme="minorHAnsi" w:cstheme="minorHAnsi"/>
          <w:sz w:val="24"/>
        </w:rPr>
        <w:tab/>
      </w:r>
      <w:r w:rsidR="006F1815" w:rsidRPr="000245B1">
        <w:rPr>
          <w:rFonts w:asciiTheme="minorHAnsi" w:hAnsiTheme="minorHAnsi" w:cstheme="minorHAnsi"/>
          <w:sz w:val="24"/>
        </w:rPr>
        <w:tab/>
      </w:r>
      <w:bookmarkEnd w:id="0"/>
      <w:r w:rsidR="006F1815" w:rsidRPr="000245B1">
        <w:rPr>
          <w:rFonts w:asciiTheme="minorHAnsi" w:hAnsiTheme="minorHAnsi" w:cstheme="minorHAnsi"/>
          <w:sz w:val="24"/>
        </w:rPr>
        <w:tab/>
      </w:r>
      <w:r w:rsidR="006F1815" w:rsidRPr="000245B1">
        <w:rPr>
          <w:rFonts w:asciiTheme="minorHAnsi" w:hAnsiTheme="minorHAnsi" w:cstheme="minorHAnsi"/>
          <w:sz w:val="24"/>
        </w:rPr>
        <w:tab/>
      </w:r>
      <w:r w:rsidR="006F1815" w:rsidRPr="000245B1">
        <w:rPr>
          <w:rFonts w:asciiTheme="minorHAnsi" w:hAnsiTheme="minorHAnsi" w:cstheme="minorHAnsi"/>
          <w:sz w:val="24"/>
        </w:rPr>
        <w:tab/>
        <w:t xml:space="preserve">    </w:t>
      </w:r>
      <w:r w:rsidR="007A22A8">
        <w:rPr>
          <w:rFonts w:asciiTheme="minorHAnsi" w:hAnsiTheme="minorHAnsi" w:cstheme="minorHAnsi"/>
          <w:sz w:val="24"/>
        </w:rPr>
        <w:t xml:space="preserve">                </w:t>
      </w:r>
      <w:r w:rsidR="006F1815" w:rsidRPr="000245B1">
        <w:rPr>
          <w:rFonts w:asciiTheme="minorHAnsi" w:hAnsiTheme="minorHAnsi" w:cstheme="minorHAnsi"/>
          <w:sz w:val="24"/>
        </w:rPr>
        <w:t xml:space="preserve">    </w:t>
      </w:r>
      <w:r w:rsidR="006F1815" w:rsidRPr="000245B1">
        <w:rPr>
          <w:rFonts w:asciiTheme="minorHAnsi" w:hAnsiTheme="minorHAnsi" w:cstheme="minorHAnsi"/>
          <w:sz w:val="24"/>
        </w:rPr>
        <w:tab/>
      </w:r>
      <w:r w:rsidR="006F1815" w:rsidRPr="000245B1">
        <w:rPr>
          <w:rFonts w:asciiTheme="minorHAnsi" w:hAnsiTheme="minorHAnsi" w:cstheme="minorHAnsi"/>
          <w:noProof/>
          <w:sz w:val="24"/>
          <w:lang w:val="en-US" w:eastAsia="en-US"/>
        </w:rPr>
        <w:drawing>
          <wp:inline distT="0" distB="0" distL="0" distR="0">
            <wp:extent cx="2091104" cy="1046285"/>
            <wp:effectExtent l="19050" t="0" r="4396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183" cy="1055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A22A8" w:rsidRDefault="007A22A8" w:rsidP="006F1815">
      <w:pPr>
        <w:rPr>
          <w:rFonts w:asciiTheme="minorHAnsi" w:hAnsiTheme="minorHAnsi" w:cstheme="minorHAnsi"/>
          <w:b/>
          <w:sz w:val="24"/>
        </w:rPr>
      </w:pPr>
    </w:p>
    <w:p w:rsidR="007A22A8" w:rsidRDefault="007A22A8" w:rsidP="006F1815">
      <w:pPr>
        <w:rPr>
          <w:rFonts w:asciiTheme="minorHAnsi" w:hAnsiTheme="minorHAnsi" w:cstheme="minorHAnsi"/>
          <w:b/>
          <w:sz w:val="24"/>
        </w:rPr>
      </w:pPr>
    </w:p>
    <w:p w:rsidR="007A22A8" w:rsidRDefault="007A22A8" w:rsidP="006F1815">
      <w:pPr>
        <w:rPr>
          <w:rFonts w:asciiTheme="minorHAnsi" w:hAnsiTheme="minorHAnsi" w:cstheme="minorHAnsi"/>
          <w:b/>
          <w:sz w:val="24"/>
        </w:rPr>
      </w:pPr>
    </w:p>
    <w:p w:rsidR="007A22A8" w:rsidRPr="007A22A8" w:rsidRDefault="007A22A8" w:rsidP="006F1815">
      <w:pPr>
        <w:rPr>
          <w:rFonts w:asciiTheme="minorHAnsi" w:hAnsiTheme="minorHAnsi" w:cstheme="minorHAnsi"/>
          <w:b/>
          <w:sz w:val="24"/>
        </w:rPr>
      </w:pPr>
      <w:r w:rsidRPr="007A22A8">
        <w:rPr>
          <w:rFonts w:asciiTheme="minorHAnsi" w:hAnsiTheme="minorHAnsi" w:cstheme="minorHAnsi"/>
          <w:b/>
          <w:sz w:val="24"/>
        </w:rPr>
        <w:t>Πίνακας Αποδεκτών</w:t>
      </w:r>
      <w:r>
        <w:rPr>
          <w:rFonts w:asciiTheme="minorHAnsi" w:hAnsiTheme="minorHAnsi" w:cstheme="minorHAnsi"/>
          <w:b/>
          <w:sz w:val="24"/>
        </w:rPr>
        <w:t>: ΕΒΕ, Σύνδεσμοι Βιομηχανιών και Εξαγωγέων</w:t>
      </w:r>
    </w:p>
    <w:sectPr w:rsidR="007A22A8" w:rsidRPr="007A22A8" w:rsidSect="00BA4A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0" w:right="1134" w:bottom="567" w:left="1134" w:header="709" w:footer="4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BBC" w:rsidRDefault="003C5BBC" w:rsidP="00BE5C44">
      <w:r>
        <w:separator/>
      </w:r>
    </w:p>
  </w:endnote>
  <w:endnote w:type="continuationSeparator" w:id="0">
    <w:p w:rsidR="003C5BBC" w:rsidRDefault="003C5BBC" w:rsidP="00BE5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BBC" w:rsidRDefault="003C5B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BBC" w:rsidRDefault="003C5BBC" w:rsidP="00BA4A85">
    <w:pPr>
      <w:pStyle w:val="Footer"/>
      <w:pBdr>
        <w:bottom w:val="single" w:sz="12" w:space="1" w:color="auto"/>
      </w:pBdr>
      <w:jc w:val="center"/>
      <w:rPr>
        <w:rFonts w:ascii="Arial" w:hAnsi="Arial" w:cs="Arial"/>
        <w:b/>
        <w:lang w:val="en-US"/>
      </w:rPr>
    </w:pPr>
  </w:p>
  <w:p w:rsidR="003C5BBC" w:rsidRPr="006540BD" w:rsidRDefault="003C5BBC" w:rsidP="00BA4A85">
    <w:pPr>
      <w:pStyle w:val="Footer"/>
      <w:jc w:val="right"/>
      <w:rPr>
        <w:rFonts w:ascii="Calibri" w:hAnsi="Calibri" w:cs="Arial"/>
        <w:b/>
        <w:sz w:val="16"/>
        <w:szCs w:val="18"/>
        <w:lang w:val="en-US"/>
      </w:rPr>
    </w:pPr>
    <w:r w:rsidRPr="006540BD">
      <w:rPr>
        <w:rFonts w:ascii="Calibri" w:hAnsi="Calibri" w:cs="Arial"/>
        <w:sz w:val="16"/>
        <w:szCs w:val="18"/>
      </w:rPr>
      <w:t xml:space="preserve">Σελίδα </w:t>
    </w:r>
    <w:r w:rsidR="00CB302D" w:rsidRPr="006540BD">
      <w:rPr>
        <w:rFonts w:ascii="Calibri" w:hAnsi="Calibri" w:cs="Arial"/>
        <w:b/>
        <w:sz w:val="16"/>
        <w:szCs w:val="18"/>
      </w:rPr>
      <w:fldChar w:fldCharType="begin"/>
    </w:r>
    <w:r w:rsidRPr="006540BD">
      <w:rPr>
        <w:rFonts w:ascii="Calibri" w:hAnsi="Calibri" w:cs="Arial"/>
        <w:b/>
        <w:sz w:val="16"/>
        <w:szCs w:val="18"/>
      </w:rPr>
      <w:instrText xml:space="preserve"> PAGE </w:instrText>
    </w:r>
    <w:r w:rsidR="00CB302D" w:rsidRPr="006540BD">
      <w:rPr>
        <w:rFonts w:ascii="Calibri" w:hAnsi="Calibri" w:cs="Arial"/>
        <w:b/>
        <w:sz w:val="16"/>
        <w:szCs w:val="18"/>
      </w:rPr>
      <w:fldChar w:fldCharType="separate"/>
    </w:r>
    <w:r w:rsidR="007A22A8">
      <w:rPr>
        <w:rFonts w:ascii="Calibri" w:hAnsi="Calibri" w:cs="Arial"/>
        <w:b/>
        <w:noProof/>
        <w:sz w:val="16"/>
        <w:szCs w:val="18"/>
      </w:rPr>
      <w:t>2</w:t>
    </w:r>
    <w:r w:rsidR="00CB302D" w:rsidRPr="006540BD">
      <w:rPr>
        <w:rFonts w:ascii="Calibri" w:hAnsi="Calibri" w:cs="Arial"/>
        <w:b/>
        <w:sz w:val="16"/>
        <w:szCs w:val="18"/>
      </w:rPr>
      <w:fldChar w:fldCharType="end"/>
    </w:r>
    <w:r w:rsidRPr="006540BD">
      <w:rPr>
        <w:rFonts w:ascii="Calibri" w:hAnsi="Calibri" w:cs="Arial"/>
        <w:sz w:val="16"/>
        <w:szCs w:val="18"/>
      </w:rPr>
      <w:t xml:space="preserve"> από </w:t>
    </w:r>
    <w:r w:rsidR="00CB302D" w:rsidRPr="006540BD">
      <w:rPr>
        <w:rFonts w:ascii="Calibri" w:hAnsi="Calibri" w:cs="Arial"/>
        <w:b/>
        <w:sz w:val="16"/>
        <w:szCs w:val="18"/>
      </w:rPr>
      <w:fldChar w:fldCharType="begin"/>
    </w:r>
    <w:r w:rsidRPr="006540BD">
      <w:rPr>
        <w:rFonts w:ascii="Calibri" w:hAnsi="Calibri" w:cs="Arial"/>
        <w:b/>
        <w:sz w:val="16"/>
        <w:szCs w:val="18"/>
      </w:rPr>
      <w:instrText xml:space="preserve"> NUMPAGES  </w:instrText>
    </w:r>
    <w:r w:rsidR="00CB302D" w:rsidRPr="006540BD">
      <w:rPr>
        <w:rFonts w:ascii="Calibri" w:hAnsi="Calibri" w:cs="Arial"/>
        <w:b/>
        <w:sz w:val="16"/>
        <w:szCs w:val="18"/>
      </w:rPr>
      <w:fldChar w:fldCharType="separate"/>
    </w:r>
    <w:r w:rsidR="00266727">
      <w:rPr>
        <w:rFonts w:ascii="Calibri" w:hAnsi="Calibri" w:cs="Arial"/>
        <w:b/>
        <w:noProof/>
        <w:sz w:val="16"/>
        <w:szCs w:val="18"/>
      </w:rPr>
      <w:t>1</w:t>
    </w:r>
    <w:r w:rsidR="00CB302D" w:rsidRPr="006540BD">
      <w:rPr>
        <w:rFonts w:ascii="Calibri" w:hAnsi="Calibri" w:cs="Arial"/>
        <w:b/>
        <w:sz w:val="16"/>
        <w:szCs w:val="18"/>
      </w:rPr>
      <w:fldChar w:fldCharType="end"/>
    </w:r>
    <w:bookmarkStart w:id="2" w:name="Α_Π_ΦΑΚΕΛΟΥ_3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BBC" w:rsidRDefault="003C5BBC" w:rsidP="00BA4A85">
    <w:pPr>
      <w:tabs>
        <w:tab w:val="center" w:pos="4320"/>
        <w:tab w:val="right" w:pos="8640"/>
      </w:tabs>
      <w:jc w:val="center"/>
      <w:rPr>
        <w:rFonts w:cs="Arial"/>
        <w:sz w:val="18"/>
        <w:szCs w:val="18"/>
        <w:lang w:val="en-US"/>
      </w:rPr>
    </w:pPr>
  </w:p>
  <w:p w:rsidR="003C5BBC" w:rsidRPr="0095517C" w:rsidRDefault="003C5BBC" w:rsidP="00BA4A85">
    <w:pPr>
      <w:tabs>
        <w:tab w:val="center" w:pos="4320"/>
        <w:tab w:val="right" w:pos="8640"/>
      </w:tabs>
      <w:jc w:val="center"/>
      <w:rPr>
        <w:rFonts w:cs="Arial"/>
        <w:sz w:val="18"/>
        <w:szCs w:val="18"/>
        <w:lang w:val="en-US"/>
      </w:rPr>
    </w:pPr>
    <w:proofErr w:type="gramStart"/>
    <w:r w:rsidRPr="0095517C">
      <w:rPr>
        <w:rFonts w:cs="Arial"/>
        <w:sz w:val="18"/>
        <w:szCs w:val="18"/>
        <w:lang w:val="en-US"/>
      </w:rPr>
      <w:t>Leontievsky</w:t>
    </w:r>
    <w:r w:rsidRPr="007846B2">
      <w:rPr>
        <w:rFonts w:cs="Arial"/>
        <w:sz w:val="18"/>
        <w:szCs w:val="18"/>
        <w:lang w:val="en-US"/>
      </w:rPr>
      <w:t xml:space="preserve">  </w:t>
    </w:r>
    <w:r w:rsidRPr="0095517C">
      <w:rPr>
        <w:rFonts w:cs="Arial"/>
        <w:sz w:val="18"/>
        <w:szCs w:val="18"/>
        <w:lang w:val="en-US"/>
      </w:rPr>
      <w:t>Pereulok</w:t>
    </w:r>
    <w:proofErr w:type="gramEnd"/>
    <w:r w:rsidRPr="0095517C">
      <w:rPr>
        <w:rFonts w:cs="Arial"/>
        <w:sz w:val="18"/>
        <w:szCs w:val="18"/>
        <w:lang w:val="en-US"/>
      </w:rPr>
      <w:t xml:space="preserve"> 4, 125009, </w:t>
    </w:r>
    <w:r w:rsidRPr="001C222A">
      <w:rPr>
        <w:rFonts w:cs="Arial"/>
        <w:sz w:val="18"/>
        <w:szCs w:val="18"/>
      </w:rPr>
      <w:t>Μόσχα</w:t>
    </w:r>
    <w:r w:rsidRPr="0095517C">
      <w:rPr>
        <w:rFonts w:cs="Arial"/>
        <w:sz w:val="18"/>
        <w:szCs w:val="18"/>
        <w:lang w:val="en-US"/>
      </w:rPr>
      <w:t xml:space="preserve">, </w:t>
    </w:r>
    <w:r w:rsidRPr="001C222A">
      <w:rPr>
        <w:rFonts w:cs="Arial"/>
        <w:sz w:val="18"/>
        <w:szCs w:val="18"/>
      </w:rPr>
      <w:t>Ρωσική</w:t>
    </w:r>
    <w:r w:rsidRPr="007846B2">
      <w:rPr>
        <w:rFonts w:cs="Arial"/>
        <w:sz w:val="18"/>
        <w:szCs w:val="18"/>
        <w:lang w:val="en-US"/>
      </w:rPr>
      <w:t xml:space="preserve">  </w:t>
    </w:r>
    <w:r w:rsidRPr="001C222A">
      <w:rPr>
        <w:rFonts w:cs="Arial"/>
        <w:sz w:val="18"/>
        <w:szCs w:val="18"/>
      </w:rPr>
      <w:t>Ομοσπονδία</w:t>
    </w:r>
  </w:p>
  <w:p w:rsidR="003C5BBC" w:rsidRPr="0095517C" w:rsidRDefault="003C5BBC" w:rsidP="00BA4A85">
    <w:pPr>
      <w:tabs>
        <w:tab w:val="center" w:pos="4320"/>
        <w:tab w:val="right" w:pos="8640"/>
      </w:tabs>
      <w:jc w:val="center"/>
      <w:rPr>
        <w:rFonts w:cs="Arial"/>
        <w:sz w:val="18"/>
        <w:szCs w:val="18"/>
        <w:lang w:val="en-US"/>
      </w:rPr>
    </w:pPr>
    <w:proofErr w:type="spellStart"/>
    <w:r w:rsidRPr="001C222A">
      <w:rPr>
        <w:rFonts w:cs="Arial"/>
        <w:sz w:val="18"/>
        <w:szCs w:val="18"/>
      </w:rPr>
      <w:t>Τηλ</w:t>
    </w:r>
    <w:proofErr w:type="spellEnd"/>
    <w:r w:rsidRPr="0095517C">
      <w:rPr>
        <w:rFonts w:cs="Arial"/>
        <w:sz w:val="18"/>
        <w:szCs w:val="18"/>
        <w:lang w:val="en-US"/>
      </w:rPr>
      <w:t xml:space="preserve">.: +7 495 539 2970, </w:t>
    </w:r>
    <w:r w:rsidRPr="007846B2">
      <w:rPr>
        <w:rFonts w:cs="Arial"/>
        <w:sz w:val="18"/>
        <w:szCs w:val="18"/>
        <w:lang w:val="en-US"/>
      </w:rPr>
      <w:t xml:space="preserve">  </w:t>
    </w:r>
    <w:r w:rsidRPr="00872C0F">
      <w:rPr>
        <w:rFonts w:cs="Arial"/>
        <w:sz w:val="18"/>
        <w:szCs w:val="18"/>
        <w:lang w:val="en-US"/>
      </w:rPr>
      <w:t>Fax</w:t>
    </w:r>
    <w:r w:rsidRPr="0095517C">
      <w:rPr>
        <w:rFonts w:cs="Arial"/>
        <w:sz w:val="18"/>
        <w:szCs w:val="18"/>
        <w:lang w:val="en-US"/>
      </w:rPr>
      <w:t>: +7 495 539 2974,</w:t>
    </w:r>
    <w:r w:rsidRPr="007846B2">
      <w:rPr>
        <w:rFonts w:cs="Arial"/>
        <w:sz w:val="18"/>
        <w:szCs w:val="18"/>
        <w:lang w:val="en-US"/>
      </w:rPr>
      <w:t xml:space="preserve">  </w:t>
    </w:r>
    <w:r w:rsidRPr="0095517C">
      <w:rPr>
        <w:rFonts w:cs="Arial"/>
        <w:sz w:val="18"/>
        <w:szCs w:val="18"/>
        <w:lang w:val="en-US"/>
      </w:rPr>
      <w:t xml:space="preserve"> </w:t>
    </w:r>
    <w:r w:rsidRPr="00872C0F">
      <w:rPr>
        <w:rFonts w:cs="Arial"/>
        <w:sz w:val="18"/>
        <w:szCs w:val="18"/>
        <w:lang w:val="en-US"/>
      </w:rPr>
      <w:t>E</w:t>
    </w:r>
    <w:r w:rsidRPr="0095517C">
      <w:rPr>
        <w:rFonts w:cs="Arial"/>
        <w:sz w:val="18"/>
        <w:szCs w:val="18"/>
        <w:lang w:val="en-US"/>
      </w:rPr>
      <w:t>-</w:t>
    </w:r>
    <w:r w:rsidRPr="00872C0F">
      <w:rPr>
        <w:rFonts w:cs="Arial"/>
        <w:sz w:val="18"/>
        <w:szCs w:val="18"/>
        <w:lang w:val="en-US"/>
      </w:rPr>
      <w:t>mail</w:t>
    </w:r>
    <w:r w:rsidRPr="0095517C">
      <w:rPr>
        <w:rFonts w:cs="Arial"/>
        <w:sz w:val="18"/>
        <w:szCs w:val="18"/>
        <w:lang w:val="en-US"/>
      </w:rPr>
      <w:t xml:space="preserve">: </w:t>
    </w:r>
    <w:r w:rsidRPr="00872C0F">
      <w:rPr>
        <w:rFonts w:cs="Arial"/>
        <w:sz w:val="18"/>
        <w:szCs w:val="18"/>
        <w:lang w:val="en-US"/>
      </w:rPr>
      <w:t>ecocom</w:t>
    </w:r>
    <w:r w:rsidRPr="0095517C">
      <w:rPr>
        <w:rFonts w:cs="Arial"/>
        <w:sz w:val="18"/>
        <w:szCs w:val="18"/>
        <w:lang w:val="en-US"/>
      </w:rPr>
      <w:t>-</w:t>
    </w:r>
    <w:r w:rsidRPr="00872C0F">
      <w:rPr>
        <w:rFonts w:cs="Arial"/>
        <w:sz w:val="18"/>
        <w:szCs w:val="18"/>
        <w:lang w:val="en-US"/>
      </w:rPr>
      <w:t>moscow</w:t>
    </w:r>
    <w:r w:rsidRPr="0095517C">
      <w:rPr>
        <w:rFonts w:cs="Arial"/>
        <w:sz w:val="18"/>
        <w:szCs w:val="18"/>
        <w:lang w:val="en-US"/>
      </w:rPr>
      <w:t>@</w:t>
    </w:r>
    <w:r w:rsidRPr="00872C0F">
      <w:rPr>
        <w:rFonts w:cs="Arial"/>
        <w:sz w:val="18"/>
        <w:szCs w:val="18"/>
        <w:lang w:val="en-US"/>
      </w:rPr>
      <w:t>mfa</w:t>
    </w:r>
    <w:r w:rsidRPr="0095517C">
      <w:rPr>
        <w:rFonts w:cs="Arial"/>
        <w:sz w:val="18"/>
        <w:szCs w:val="18"/>
        <w:lang w:val="en-US"/>
      </w:rPr>
      <w:t>.</w:t>
    </w:r>
    <w:r w:rsidRPr="00872C0F">
      <w:rPr>
        <w:rFonts w:cs="Arial"/>
        <w:sz w:val="18"/>
        <w:szCs w:val="18"/>
        <w:lang w:val="en-US"/>
      </w:rPr>
      <w:t>gr</w:t>
    </w:r>
  </w:p>
  <w:p w:rsidR="003C5BBC" w:rsidRPr="007846B2" w:rsidRDefault="003C5BBC">
    <w:pPr>
      <w:pStyle w:val="Footer"/>
      <w:rPr>
        <w:lang w:val="en-US"/>
      </w:rPr>
    </w:pPr>
    <w:r w:rsidRPr="007846B2"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BBC" w:rsidRDefault="003C5BBC" w:rsidP="00BE5C44">
      <w:r>
        <w:separator/>
      </w:r>
    </w:p>
  </w:footnote>
  <w:footnote w:type="continuationSeparator" w:id="0">
    <w:p w:rsidR="003C5BBC" w:rsidRDefault="003C5BBC" w:rsidP="00BE5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BBC" w:rsidRDefault="003C5B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BBC" w:rsidRDefault="003C5BB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BBC" w:rsidRDefault="003C5B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40FC"/>
    <w:multiLevelType w:val="hybridMultilevel"/>
    <w:tmpl w:val="CC2C5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30330"/>
    <w:multiLevelType w:val="hybridMultilevel"/>
    <w:tmpl w:val="BF6E9196"/>
    <w:lvl w:ilvl="0" w:tplc="86C4AD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815"/>
    <w:rsid w:val="000245B1"/>
    <w:rsid w:val="00024AAA"/>
    <w:rsid w:val="00031E92"/>
    <w:rsid w:val="00083BBF"/>
    <w:rsid w:val="000B131E"/>
    <w:rsid w:val="000D7A74"/>
    <w:rsid w:val="00123B8A"/>
    <w:rsid w:val="00187875"/>
    <w:rsid w:val="001B52A3"/>
    <w:rsid w:val="0020379A"/>
    <w:rsid w:val="002244EB"/>
    <w:rsid w:val="00266727"/>
    <w:rsid w:val="002D74CF"/>
    <w:rsid w:val="002E130F"/>
    <w:rsid w:val="003053A2"/>
    <w:rsid w:val="00320760"/>
    <w:rsid w:val="00384DCA"/>
    <w:rsid w:val="003932AA"/>
    <w:rsid w:val="0039432C"/>
    <w:rsid w:val="003A073A"/>
    <w:rsid w:val="003B615C"/>
    <w:rsid w:val="003C5BBC"/>
    <w:rsid w:val="003D3EA3"/>
    <w:rsid w:val="003F427E"/>
    <w:rsid w:val="004306AD"/>
    <w:rsid w:val="00437112"/>
    <w:rsid w:val="00483AB2"/>
    <w:rsid w:val="004F6D4B"/>
    <w:rsid w:val="00505141"/>
    <w:rsid w:val="00505EC1"/>
    <w:rsid w:val="00511D6C"/>
    <w:rsid w:val="00515251"/>
    <w:rsid w:val="00544441"/>
    <w:rsid w:val="00575ADE"/>
    <w:rsid w:val="0058143D"/>
    <w:rsid w:val="005A183D"/>
    <w:rsid w:val="005A4040"/>
    <w:rsid w:val="005D67B7"/>
    <w:rsid w:val="005E671D"/>
    <w:rsid w:val="006268A4"/>
    <w:rsid w:val="006277CE"/>
    <w:rsid w:val="00635B73"/>
    <w:rsid w:val="00640361"/>
    <w:rsid w:val="00645BDA"/>
    <w:rsid w:val="00652745"/>
    <w:rsid w:val="0066727D"/>
    <w:rsid w:val="00687A54"/>
    <w:rsid w:val="00687FD3"/>
    <w:rsid w:val="006C459D"/>
    <w:rsid w:val="006E4AA6"/>
    <w:rsid w:val="006F1815"/>
    <w:rsid w:val="007043CA"/>
    <w:rsid w:val="007233F6"/>
    <w:rsid w:val="00726DF9"/>
    <w:rsid w:val="00746260"/>
    <w:rsid w:val="0075622E"/>
    <w:rsid w:val="00772A7D"/>
    <w:rsid w:val="007840DC"/>
    <w:rsid w:val="00785E6F"/>
    <w:rsid w:val="007A22A8"/>
    <w:rsid w:val="007B3C61"/>
    <w:rsid w:val="007B47B2"/>
    <w:rsid w:val="007C078F"/>
    <w:rsid w:val="007C4BAF"/>
    <w:rsid w:val="007E301C"/>
    <w:rsid w:val="007F016A"/>
    <w:rsid w:val="00803DCB"/>
    <w:rsid w:val="00811D1D"/>
    <w:rsid w:val="0084203F"/>
    <w:rsid w:val="00853F68"/>
    <w:rsid w:val="0085791D"/>
    <w:rsid w:val="008B21A0"/>
    <w:rsid w:val="008B5952"/>
    <w:rsid w:val="008D72DE"/>
    <w:rsid w:val="00921892"/>
    <w:rsid w:val="0096379C"/>
    <w:rsid w:val="00972C94"/>
    <w:rsid w:val="009835C3"/>
    <w:rsid w:val="00984FF1"/>
    <w:rsid w:val="009A2D3A"/>
    <w:rsid w:val="009A6BEE"/>
    <w:rsid w:val="00A0037F"/>
    <w:rsid w:val="00A2035B"/>
    <w:rsid w:val="00A37154"/>
    <w:rsid w:val="00A5089D"/>
    <w:rsid w:val="00A5275F"/>
    <w:rsid w:val="00A565B4"/>
    <w:rsid w:val="00A7425B"/>
    <w:rsid w:val="00AC38E5"/>
    <w:rsid w:val="00AC6E72"/>
    <w:rsid w:val="00B05B46"/>
    <w:rsid w:val="00B77C32"/>
    <w:rsid w:val="00BA4A85"/>
    <w:rsid w:val="00BB2DDF"/>
    <w:rsid w:val="00BB78C6"/>
    <w:rsid w:val="00BC40A9"/>
    <w:rsid w:val="00BD1072"/>
    <w:rsid w:val="00BE5C44"/>
    <w:rsid w:val="00BE6350"/>
    <w:rsid w:val="00BF6C48"/>
    <w:rsid w:val="00C2494D"/>
    <w:rsid w:val="00C742FA"/>
    <w:rsid w:val="00C922F6"/>
    <w:rsid w:val="00CB302D"/>
    <w:rsid w:val="00CF50E9"/>
    <w:rsid w:val="00D01FD3"/>
    <w:rsid w:val="00D22F66"/>
    <w:rsid w:val="00D33BC0"/>
    <w:rsid w:val="00D47542"/>
    <w:rsid w:val="00D679E1"/>
    <w:rsid w:val="00D67DD5"/>
    <w:rsid w:val="00D8107A"/>
    <w:rsid w:val="00D87818"/>
    <w:rsid w:val="00D9298A"/>
    <w:rsid w:val="00E349E5"/>
    <w:rsid w:val="00E56587"/>
    <w:rsid w:val="00E679D6"/>
    <w:rsid w:val="00E75095"/>
    <w:rsid w:val="00ED19A8"/>
    <w:rsid w:val="00ED5BD9"/>
    <w:rsid w:val="00EE3F85"/>
    <w:rsid w:val="00EE77D3"/>
    <w:rsid w:val="00EF3BC2"/>
    <w:rsid w:val="00F03F7C"/>
    <w:rsid w:val="00F30226"/>
    <w:rsid w:val="00F5348E"/>
    <w:rsid w:val="00FD6570"/>
    <w:rsid w:val="00FE238A"/>
    <w:rsid w:val="00FE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15"/>
    <w:pPr>
      <w:spacing w:after="0" w:line="240" w:lineRule="auto"/>
    </w:pPr>
    <w:rPr>
      <w:rFonts w:ascii="Georgia" w:eastAsia="Times New Roman" w:hAnsi="Georgia" w:cs="Times New Roman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815"/>
    <w:rPr>
      <w:rFonts w:ascii="Georgia" w:eastAsia="Times New Roman" w:hAnsi="Georgia" w:cs="Times New Roman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6F18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815"/>
    <w:rPr>
      <w:rFonts w:ascii="Georgia" w:eastAsia="Times New Roman" w:hAnsi="Georgia" w:cs="Times New Roman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815"/>
    <w:rPr>
      <w:rFonts w:ascii="Tahoma" w:eastAsia="Times New Roman" w:hAnsi="Tahoma" w:cs="Tahoma"/>
      <w:sz w:val="16"/>
      <w:szCs w:val="16"/>
      <w:lang w:val="el-GR" w:eastAsia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3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35B"/>
    <w:rPr>
      <w:rFonts w:ascii="Georgia" w:eastAsia="Times New Roman" w:hAnsi="Georgia" w:cs="Times New Roman"/>
      <w:sz w:val="20"/>
      <w:szCs w:val="20"/>
      <w:lang w:val="el-GR" w:eastAsia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A2035B"/>
    <w:rPr>
      <w:vertAlign w:val="superscript"/>
    </w:rPr>
  </w:style>
  <w:style w:type="paragraph" w:styleId="ListParagraph">
    <w:name w:val="List Paragraph"/>
    <w:basedOn w:val="Normal"/>
    <w:uiPriority w:val="34"/>
    <w:qFormat/>
    <w:rsid w:val="00E349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7A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206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1B9C7-88A7-40F9-BACB-FE21F4D2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OEY1</cp:lastModifiedBy>
  <cp:revision>5</cp:revision>
  <cp:lastPrinted>2022-08-11T10:16:00Z</cp:lastPrinted>
  <dcterms:created xsi:type="dcterms:W3CDTF">2022-08-11T10:08:00Z</dcterms:created>
  <dcterms:modified xsi:type="dcterms:W3CDTF">2022-08-11T10:16:00Z</dcterms:modified>
</cp:coreProperties>
</file>