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8"/>
        <w:tblpPr w:leftFromText="180" w:rightFromText="180" w:horzAnchor="page" w:tblpX="1171" w:tblpY="-495"/>
        <w:tblW w:w="10740" w:type="dxa"/>
        <w:tblLook w:val="04A0" w:firstRow="1" w:lastRow="0" w:firstColumn="1" w:lastColumn="0" w:noHBand="0" w:noVBand="1"/>
      </w:tblPr>
      <w:tblGrid>
        <w:gridCol w:w="2549"/>
        <w:gridCol w:w="3522"/>
        <w:gridCol w:w="4669"/>
      </w:tblGrid>
      <w:tr w:rsidR="004F5D69">
        <w:trPr>
          <w:trHeight w:val="1020"/>
        </w:trPr>
        <w:tc>
          <w:tcPr>
            <w:tcW w:w="2549" w:type="dxa"/>
            <w:tcBorders>
              <w:top w:val="nil"/>
              <w:left w:val="nil"/>
              <w:bottom w:val="nil"/>
              <w:right w:val="nil"/>
            </w:tcBorders>
            <w:shd w:val="clear" w:color="auto" w:fill="auto"/>
          </w:tcPr>
          <w:p w:rsidR="004F5D69" w:rsidRDefault="00B902FB">
            <w:pPr>
              <w:jc w:val="center"/>
              <w:rPr>
                <w:sz w:val="12"/>
                <w:szCs w:val="12"/>
                <w:lang w:val="en-US"/>
              </w:rPr>
            </w:pPr>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8"/>
                          <a:stretch>
                            <a:fillRect/>
                          </a:stretch>
                        </pic:blipFill>
                        <pic:spPr bwMode="auto">
                          <a:xfrm>
                            <a:off x="0" y="0"/>
                            <a:ext cx="1464945" cy="1174115"/>
                          </a:xfrm>
                          <a:prstGeom prst="rect">
                            <a:avLst/>
                          </a:prstGeom>
                        </pic:spPr>
                      </pic:pic>
                    </a:graphicData>
                  </a:graphic>
                </wp:inline>
              </w:drawing>
            </w:r>
          </w:p>
          <w:p w:rsidR="004F5D69" w:rsidRDefault="004F5D69">
            <w:pPr>
              <w:jc w:val="center"/>
              <w:rPr>
                <w:sz w:val="12"/>
                <w:szCs w:val="12"/>
                <w:lang w:val="en-US"/>
              </w:rPr>
            </w:pPr>
          </w:p>
        </w:tc>
        <w:tc>
          <w:tcPr>
            <w:tcW w:w="3522" w:type="dxa"/>
            <w:tcBorders>
              <w:top w:val="nil"/>
              <w:left w:val="nil"/>
              <w:bottom w:val="nil"/>
              <w:right w:val="nil"/>
            </w:tcBorders>
            <w:shd w:val="clear" w:color="auto" w:fill="auto"/>
          </w:tcPr>
          <w:p w:rsidR="004F5D69" w:rsidRDefault="004F5D69">
            <w:pPr>
              <w:rPr>
                <w:sz w:val="12"/>
                <w:szCs w:val="12"/>
              </w:rPr>
            </w:pPr>
          </w:p>
        </w:tc>
        <w:tc>
          <w:tcPr>
            <w:tcW w:w="4669" w:type="dxa"/>
            <w:tcBorders>
              <w:top w:val="nil"/>
              <w:left w:val="nil"/>
              <w:bottom w:val="nil"/>
              <w:right w:val="nil"/>
            </w:tcBorders>
            <w:shd w:val="clear" w:color="auto" w:fill="auto"/>
          </w:tcPr>
          <w:p w:rsidR="004F5D69" w:rsidRDefault="00B902FB">
            <w:r>
              <w:rPr>
                <w:noProof/>
              </w:rPr>
              <mc:AlternateContent>
                <mc:Choice Requires="wps">
                  <w:drawing>
                    <wp:anchor distT="0" distB="0" distL="0" distR="0" simplePos="0" relativeHeight="4" behindDoc="1" locked="0" layoutInCell="1" allowOverlap="1" wp14:anchorId="026F30E9">
                      <wp:simplePos x="0" y="0"/>
                      <wp:positionH relativeFrom="page">
                        <wp:posOffset>5319395</wp:posOffset>
                      </wp:positionH>
                      <wp:positionV relativeFrom="paragraph">
                        <wp:posOffset>159385</wp:posOffset>
                      </wp:positionV>
                      <wp:extent cx="1640205" cy="316230"/>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39440" cy="31572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rsidR="004F5D69" w:rsidRDefault="00B902FB">
                                  <w:pPr>
                                    <w:pStyle w:val="af7"/>
                                  </w:pPr>
                                  <w:r>
                                    <w:rPr>
                                      <w:rFonts w:ascii="Arial" w:hAnsi="Arial" w:cs="Arial"/>
                                      <w:color w:val="FFFFFF" w:themeColor="background1"/>
                                      <w:sz w:val="28"/>
                                      <w:szCs w:val="28"/>
                                    </w:rPr>
                                    <w:t>Δελτίο Τύπου</w:t>
                                  </w:r>
                                </w:p>
                              </w:txbxContent>
                            </wps:txbx>
                            <wps:bodyPr>
                              <a:noAutofit/>
                            </wps:bodyPr>
                          </wps:wsp>
                        </a:graphicData>
                      </a:graphic>
                    </wp:anchor>
                  </w:drawing>
                </mc:Choice>
                <mc:Fallback>
                  <w:pict>
                    <v:rect w14:anchorId="026F30E9" id="Πλαίσιο κειμένου 2" o:spid="_x0000_s1026" style="position:absolute;margin-left:418.85pt;margin-top:12.55pt;width:129.15pt;height:24.9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" fillcolor="#006896" strokecolor="white [3212]" strokeweight=".26mm">
                      <v:textbox>
                        <w:txbxContent>
                          <w:p w:rsidR="004F5D69" w:rsidRDefault="00B902FB">
                            <w:pPr>
                              <w:pStyle w:val="af7"/>
                            </w:pPr>
                            <w:r>
                              <w:rPr>
                                <w:rFonts w:ascii="Arial" w:hAnsi="Arial" w:cs="Arial"/>
                                <w:color w:val="FFFFFF" w:themeColor="background1"/>
                                <w:sz w:val="28"/>
                                <w:szCs w:val="28"/>
                              </w:rPr>
                              <w:t>Δελτίο Τύπου</w:t>
                            </w:r>
                          </w:p>
                        </w:txbxContent>
                      </v:textbox>
                      <w10:wrap anchorx="page"/>
                    </v:rect>
                  </w:pict>
                </mc:Fallback>
              </mc:AlternateContent>
            </w:r>
          </w:p>
          <w:p w:rsidR="004F5D69" w:rsidRDefault="004F5D69">
            <w:pPr>
              <w:ind w:firstLine="720"/>
              <w:jc w:val="right"/>
            </w:pPr>
          </w:p>
        </w:tc>
      </w:tr>
      <w:tr w:rsidR="004F5D69">
        <w:trPr>
          <w:trHeight w:val="342"/>
        </w:trPr>
        <w:tc>
          <w:tcPr>
            <w:tcW w:w="2549" w:type="dxa"/>
            <w:tcBorders>
              <w:top w:val="nil"/>
              <w:left w:val="nil"/>
              <w:bottom w:val="nil"/>
              <w:right w:val="nil"/>
            </w:tcBorders>
            <w:shd w:val="clear" w:color="auto" w:fill="auto"/>
          </w:tcPr>
          <w:p w:rsidR="004F5D69" w:rsidRDefault="00B902FB">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rsidR="004F5D69" w:rsidRDefault="004F5D69">
            <w:pPr>
              <w:rPr>
                <w:sz w:val="16"/>
                <w:szCs w:val="16"/>
              </w:rPr>
            </w:pPr>
          </w:p>
        </w:tc>
        <w:tc>
          <w:tcPr>
            <w:tcW w:w="4669" w:type="dxa"/>
            <w:tcBorders>
              <w:top w:val="nil"/>
              <w:left w:val="nil"/>
              <w:bottom w:val="nil"/>
              <w:right w:val="nil"/>
            </w:tcBorders>
            <w:shd w:val="clear" w:color="auto" w:fill="auto"/>
          </w:tcPr>
          <w:p w:rsidR="004F5D69" w:rsidRDefault="004F5D69">
            <w:pPr>
              <w:rPr>
                <w:sz w:val="16"/>
                <w:szCs w:val="16"/>
              </w:rPr>
            </w:pPr>
          </w:p>
        </w:tc>
      </w:tr>
      <w:tr w:rsidR="004F5D69">
        <w:trPr>
          <w:trHeight w:val="60"/>
        </w:trPr>
        <w:tc>
          <w:tcPr>
            <w:tcW w:w="2549" w:type="dxa"/>
            <w:tcBorders>
              <w:top w:val="nil"/>
              <w:left w:val="nil"/>
              <w:bottom w:val="nil"/>
              <w:right w:val="nil"/>
            </w:tcBorders>
            <w:shd w:val="clear" w:color="auto" w:fill="auto"/>
          </w:tcPr>
          <w:p w:rsidR="004F5D69" w:rsidRDefault="00B902FB">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4F5D69" w:rsidRDefault="00B902FB">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4F5D69" w:rsidRDefault="00B902FB">
            <w:pPr>
              <w:jc w:val="center"/>
            </w:pPr>
            <w:r>
              <w:rPr>
                <w:rFonts w:ascii="Arial" w:hAnsi="Arial" w:cs="Arial"/>
                <w:b/>
                <w:bCs/>
                <w:color w:val="006896"/>
                <w:sz w:val="20"/>
                <w:szCs w:val="20"/>
              </w:rPr>
              <w:t>Αθήνα, 12.09.2022</w:t>
            </w:r>
          </w:p>
        </w:tc>
        <w:tc>
          <w:tcPr>
            <w:tcW w:w="3522" w:type="dxa"/>
            <w:tcBorders>
              <w:top w:val="nil"/>
              <w:left w:val="nil"/>
              <w:bottom w:val="nil"/>
              <w:right w:val="nil"/>
            </w:tcBorders>
            <w:shd w:val="clear" w:color="auto" w:fill="auto"/>
          </w:tcPr>
          <w:p w:rsidR="004F5D69" w:rsidRDefault="004F5D69">
            <w:pPr>
              <w:rPr>
                <w:sz w:val="16"/>
                <w:szCs w:val="16"/>
              </w:rPr>
            </w:pPr>
          </w:p>
        </w:tc>
        <w:tc>
          <w:tcPr>
            <w:tcW w:w="4669" w:type="dxa"/>
            <w:tcBorders>
              <w:top w:val="nil"/>
              <w:left w:val="nil"/>
              <w:bottom w:val="nil"/>
              <w:right w:val="nil"/>
            </w:tcBorders>
            <w:shd w:val="clear" w:color="auto" w:fill="auto"/>
          </w:tcPr>
          <w:p w:rsidR="004F5D69" w:rsidRDefault="004F5D69">
            <w:pPr>
              <w:rPr>
                <w:sz w:val="16"/>
                <w:szCs w:val="16"/>
              </w:rPr>
            </w:pPr>
          </w:p>
        </w:tc>
      </w:tr>
      <w:tr w:rsidR="004F5D69">
        <w:trPr>
          <w:trHeight w:val="342"/>
        </w:trPr>
        <w:tc>
          <w:tcPr>
            <w:tcW w:w="2549" w:type="dxa"/>
            <w:tcBorders>
              <w:top w:val="nil"/>
              <w:left w:val="nil"/>
              <w:bottom w:val="nil"/>
              <w:right w:val="nil"/>
            </w:tcBorders>
            <w:shd w:val="clear" w:color="auto" w:fill="auto"/>
          </w:tcPr>
          <w:p w:rsidR="004F5D69" w:rsidRDefault="004F5D69">
            <w:pP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rsidR="004F5D69" w:rsidRDefault="004F5D69">
            <w:pPr>
              <w:rPr>
                <w:sz w:val="16"/>
                <w:szCs w:val="16"/>
              </w:rPr>
            </w:pPr>
          </w:p>
        </w:tc>
        <w:tc>
          <w:tcPr>
            <w:tcW w:w="4669" w:type="dxa"/>
            <w:tcBorders>
              <w:top w:val="nil"/>
              <w:left w:val="nil"/>
              <w:bottom w:val="nil"/>
              <w:right w:val="nil"/>
            </w:tcBorders>
            <w:shd w:val="clear" w:color="auto" w:fill="auto"/>
          </w:tcPr>
          <w:p w:rsidR="004F5D69" w:rsidRDefault="004F5D69">
            <w:pPr>
              <w:rPr>
                <w:sz w:val="16"/>
                <w:szCs w:val="16"/>
              </w:rPr>
            </w:pPr>
          </w:p>
        </w:tc>
      </w:tr>
    </w:tbl>
    <w:p w:rsidR="004F5D69" w:rsidRDefault="00B902FB">
      <w:pPr>
        <w:jc w:val="center"/>
        <w:rPr>
          <w:sz w:val="22"/>
          <w:szCs w:val="22"/>
        </w:rPr>
      </w:pPr>
      <w:r>
        <w:rPr>
          <w:rFonts w:ascii="Arial" w:hAnsi="Arial" w:cs="Arial"/>
          <w:b/>
          <w:bCs/>
          <w:iCs/>
          <w:sz w:val="22"/>
          <w:szCs w:val="22"/>
        </w:rPr>
        <w:t>Ξεκινούν οι εγγραφές στις ΕΠΑΣ Μαθητείας – Μέχρι την Κυριακή οι εκπρόθεσμες αιτήσεις για τη συμπλήρωση κενών θέσεων</w:t>
      </w:r>
    </w:p>
    <w:p w:rsidR="004F5D69" w:rsidRDefault="004F5D69">
      <w:pPr>
        <w:rPr>
          <w:rFonts w:ascii="Arial" w:hAnsi="Arial" w:cs="Arial"/>
          <w:b/>
          <w:bCs/>
          <w:iCs/>
          <w:sz w:val="22"/>
          <w:szCs w:val="22"/>
        </w:rPr>
      </w:pPr>
    </w:p>
    <w:p w:rsidR="004F5D69" w:rsidRDefault="00B902FB">
      <w:pPr>
        <w:jc w:val="both"/>
        <w:rPr>
          <w:rFonts w:ascii="Arial" w:hAnsi="Arial" w:cs="Arial"/>
          <w:iCs/>
          <w:sz w:val="22"/>
          <w:szCs w:val="22"/>
        </w:rPr>
      </w:pPr>
      <w:r>
        <w:rPr>
          <w:rFonts w:ascii="Arial" w:hAnsi="Arial" w:cs="Arial"/>
          <w:iCs/>
          <w:sz w:val="22"/>
          <w:szCs w:val="22"/>
        </w:rPr>
        <w:t>Ξεκινούν άμεσα οι εγγραφές των υποψηφίων μαθητών στις 50 ΕΠΑΣ Μαθητείας της ΔΥΠΑ σε 31 ειδικότητες υψηλής ζήτησης για το σχολικό έτος 2022-23.</w:t>
      </w:r>
    </w:p>
    <w:p w:rsidR="004F5D69" w:rsidRDefault="004F5D69">
      <w:pPr>
        <w:jc w:val="both"/>
        <w:rPr>
          <w:rFonts w:ascii="Arial" w:hAnsi="Arial" w:cs="Arial"/>
          <w:sz w:val="22"/>
          <w:szCs w:val="22"/>
        </w:rPr>
      </w:pPr>
    </w:p>
    <w:p w:rsidR="004F5D69" w:rsidRDefault="00B902FB">
      <w:pPr>
        <w:jc w:val="both"/>
        <w:rPr>
          <w:rFonts w:ascii="Arial" w:hAnsi="Arial" w:cs="Arial"/>
          <w:sz w:val="22"/>
          <w:szCs w:val="22"/>
        </w:rPr>
      </w:pPr>
      <w:r>
        <w:rPr>
          <w:rFonts w:ascii="Arial" w:hAnsi="Arial" w:cs="Arial"/>
          <w:iCs/>
          <w:sz w:val="22"/>
          <w:szCs w:val="22"/>
        </w:rPr>
        <w:t xml:space="preserve">Μετά την ολοκλήρωση της μοριοδότησης των αιτήσεων τους, οι μαθητές </w:t>
      </w:r>
      <w:r>
        <w:rPr>
          <w:rFonts w:ascii="Arial" w:hAnsi="Arial" w:cs="Arial"/>
          <w:bCs/>
          <w:iCs/>
          <w:sz w:val="22"/>
          <w:szCs w:val="22"/>
        </w:rPr>
        <w:t>θα ενημερωθούν με μήνυμα ηλεκτρονικού ταχυδρομείου (email)</w:t>
      </w:r>
      <w:r>
        <w:rPr>
          <w:rFonts w:ascii="Arial" w:hAnsi="Arial" w:cs="Arial"/>
          <w:iCs/>
          <w:sz w:val="22"/>
          <w:szCs w:val="22"/>
        </w:rPr>
        <w:t xml:space="preserve"> για την κατάταξή τους στους πίνακες επιλεγέντων και επιλαχόντων, ώστε να προσέλθουν εντός τριών εργασίμων ημερών στην ΕΠΑΣ επιλογής τους για την εγγραφή τους.</w:t>
      </w:r>
    </w:p>
    <w:p w:rsidR="004F5D69" w:rsidRDefault="004F5D69">
      <w:pPr>
        <w:jc w:val="both"/>
        <w:rPr>
          <w:rFonts w:ascii="Arial" w:hAnsi="Arial" w:cs="Arial"/>
          <w:b/>
          <w:bCs/>
          <w:iCs/>
          <w:sz w:val="22"/>
          <w:szCs w:val="22"/>
        </w:rPr>
      </w:pPr>
    </w:p>
    <w:p w:rsidR="004F5D69" w:rsidRDefault="00B902FB">
      <w:pPr>
        <w:jc w:val="both"/>
      </w:pPr>
      <w:r>
        <w:rPr>
          <w:rFonts w:ascii="Arial" w:hAnsi="Arial" w:cs="Arial"/>
          <w:sz w:val="22"/>
          <w:szCs w:val="22"/>
        </w:rPr>
        <w:t xml:space="preserve">Παράλληλα, θα συνεχίζουν να γίνονται δεκτές ηλεκτρονικές αιτήσεις μόνο για ειδικότητες με κενές θέσεις από 13/9/2022 έως και 18/9/2022 και ώρα 23:59. Τις σχετικές ειδικότητες, ανά ΕΠΑΣ, μπορείτε να δείτε </w:t>
      </w:r>
      <w:r>
        <w:rPr>
          <w:rFonts w:ascii="Arial" w:hAnsi="Arial" w:cs="Arial"/>
          <w:bCs/>
          <w:sz w:val="22"/>
          <w:szCs w:val="22"/>
        </w:rPr>
        <w:t>στη διεύθυνση:</w:t>
      </w:r>
    </w:p>
    <w:p w:rsidR="004F5D69" w:rsidRDefault="004F5D69">
      <w:pPr>
        <w:jc w:val="both"/>
        <w:rPr>
          <w:rFonts w:ascii="Arial" w:hAnsi="Arial" w:cs="Arial"/>
          <w:bCs/>
          <w:sz w:val="22"/>
          <w:szCs w:val="22"/>
        </w:rPr>
      </w:pPr>
    </w:p>
    <w:p w:rsidR="004F5D69" w:rsidRDefault="00562443">
      <w:pPr>
        <w:jc w:val="both"/>
        <w:rPr>
          <w:rFonts w:ascii="Arial" w:hAnsi="Arial" w:cs="Arial"/>
          <w:bCs/>
          <w:sz w:val="22"/>
          <w:szCs w:val="22"/>
        </w:rPr>
      </w:pPr>
      <w:hyperlink r:id="rId10">
        <w:r w:rsidR="00B902FB">
          <w:rPr>
            <w:rStyle w:val="a3"/>
            <w:rFonts w:ascii="Arial" w:hAnsi="Arial" w:cs="Arial"/>
            <w:bCs/>
            <w:sz w:val="22"/>
            <w:szCs w:val="22"/>
          </w:rPr>
          <w:t>https://www.dypa.gov.gr/mathitia?tab=ekpaidefomenoi-stis-epas-mathitias&amp;tab2=eghghrafes&amp;tab3</w:t>
        </w:r>
      </w:hyperlink>
      <w:hyperlink>
        <w:r w:rsidR="00B902FB">
          <w:rPr>
            <w:rFonts w:ascii="Arial" w:hAnsi="Arial" w:cs="Arial"/>
            <w:bCs/>
            <w:sz w:val="22"/>
            <w:szCs w:val="22"/>
          </w:rPr>
          <w:t>=</w:t>
        </w:r>
      </w:hyperlink>
    </w:p>
    <w:p w:rsidR="004F5D69" w:rsidRDefault="004F5D69">
      <w:pPr>
        <w:jc w:val="both"/>
        <w:rPr>
          <w:rFonts w:ascii="Arial" w:hAnsi="Arial" w:cs="Arial"/>
          <w:color w:val="000000"/>
          <w:sz w:val="22"/>
          <w:szCs w:val="22"/>
        </w:rPr>
      </w:pPr>
      <w:bookmarkStart w:id="0" w:name="_GoBack"/>
      <w:bookmarkEnd w:id="0"/>
    </w:p>
    <w:p w:rsidR="004F5D69" w:rsidRDefault="00B902FB">
      <w:pPr>
        <w:jc w:val="both"/>
        <w:rPr>
          <w:rFonts w:ascii="Arial" w:hAnsi="Arial" w:cs="Arial"/>
          <w:color w:val="000000"/>
          <w:sz w:val="22"/>
          <w:szCs w:val="22"/>
        </w:rPr>
      </w:pPr>
      <w:r>
        <w:rPr>
          <w:rFonts w:ascii="Arial" w:hAnsi="Arial" w:cs="Arial"/>
          <w:color w:val="000000"/>
          <w:sz w:val="22"/>
          <w:szCs w:val="22"/>
        </w:rPr>
        <w:t xml:space="preserve">Δικαίωμα υποβολής αίτησης έχουν όσοι γεννήθηκαν τα έτη 1993-2007 (15-29 ετών) και είναι κάτοχοι τουλάχιστον απολυτηρίου Γυμνασίου. Η υποβολή των αιτήσεων γίνεται αποκλειστικά ηλεκτρονικά, μέσω του gov.gr, με τους κωδικούς </w:t>
      </w:r>
      <w:proofErr w:type="spellStart"/>
      <w:r>
        <w:rPr>
          <w:rFonts w:ascii="Arial" w:hAnsi="Arial" w:cs="Arial"/>
          <w:color w:val="000000"/>
          <w:sz w:val="22"/>
          <w:szCs w:val="22"/>
        </w:rPr>
        <w:t>TAXISnet</w:t>
      </w:r>
      <w:proofErr w:type="spellEnd"/>
      <w:r>
        <w:rPr>
          <w:rFonts w:ascii="Arial" w:hAnsi="Arial" w:cs="Arial"/>
          <w:color w:val="000000"/>
          <w:sz w:val="22"/>
          <w:szCs w:val="22"/>
        </w:rPr>
        <w:t>, στην ηλεκτρονική διεύθυνση:</w:t>
      </w:r>
    </w:p>
    <w:p w:rsidR="004F5D69" w:rsidRDefault="00B902FB">
      <w:pPr>
        <w:jc w:val="both"/>
      </w:pPr>
      <w:r>
        <w:rPr>
          <w:rFonts w:ascii="Arial" w:hAnsi="Arial" w:cs="Arial"/>
          <w:color w:val="000000"/>
          <w:sz w:val="22"/>
          <w:szCs w:val="22"/>
        </w:rPr>
        <w:t xml:space="preserve"> </w:t>
      </w:r>
    </w:p>
    <w:p w:rsidR="004F5D69" w:rsidRDefault="00562443">
      <w:pPr>
        <w:jc w:val="both"/>
      </w:pPr>
      <w:hyperlink r:id="rId11">
        <w:r w:rsidR="00B902FB">
          <w:rPr>
            <w:rStyle w:val="a3"/>
            <w:rFonts w:ascii="Arial" w:hAnsi="Arial" w:cs="Arial"/>
            <w:sz w:val="22"/>
            <w:szCs w:val="22"/>
          </w:rPr>
          <w:t>https://www.gov.gr/ipiresies/ekpaideuse/eggraphe-se-skholeio/eggraphe-se-epaggelmatike-skhole-epas-tou-oaed</w:t>
        </w:r>
      </w:hyperlink>
    </w:p>
    <w:p w:rsidR="004F5D69" w:rsidRDefault="004F5D69">
      <w:pPr>
        <w:jc w:val="both"/>
        <w:rPr>
          <w:rFonts w:ascii="Arial" w:hAnsi="Arial" w:cs="Arial"/>
          <w:color w:val="000000"/>
          <w:sz w:val="22"/>
          <w:szCs w:val="22"/>
        </w:rPr>
      </w:pPr>
    </w:p>
    <w:p w:rsidR="004F5D69" w:rsidRDefault="00B902FB">
      <w:pPr>
        <w:jc w:val="both"/>
        <w:rPr>
          <w:rFonts w:ascii="Arial" w:hAnsi="Arial" w:cs="Arial"/>
          <w:color w:val="000000"/>
          <w:sz w:val="22"/>
          <w:szCs w:val="22"/>
        </w:rPr>
      </w:pPr>
      <w:r>
        <w:rPr>
          <w:rFonts w:ascii="Arial" w:hAnsi="Arial" w:cs="Arial"/>
          <w:color w:val="000000"/>
          <w:sz w:val="22"/>
          <w:szCs w:val="22"/>
        </w:rPr>
        <w:t>Συγκεκριμένα, η διαδρομή είναι: gov.gr → Εκπαίδευση → Εγγραφή σε σχολείο → Εγγραφή σε Επαγγελματική Σχολή (ΕΠΑ.Σ.) της ΔΥΠΑ</w:t>
      </w:r>
    </w:p>
    <w:p w:rsidR="004F5D69" w:rsidRDefault="004F5D69">
      <w:pPr>
        <w:jc w:val="both"/>
        <w:rPr>
          <w:rFonts w:ascii="Arial" w:hAnsi="Arial" w:cs="Arial"/>
          <w:color w:val="000000"/>
          <w:sz w:val="22"/>
          <w:szCs w:val="22"/>
          <w:highlight w:val="white"/>
        </w:rPr>
      </w:pPr>
    </w:p>
    <w:p w:rsidR="004F5D69" w:rsidRDefault="00B902FB">
      <w:pPr>
        <w:jc w:val="both"/>
        <w:rPr>
          <w:rFonts w:ascii="Arial" w:hAnsi="Arial" w:cs="Arial"/>
          <w:sz w:val="22"/>
          <w:szCs w:val="22"/>
        </w:rPr>
      </w:pPr>
      <w:r>
        <w:rPr>
          <w:rFonts w:ascii="Arial" w:hAnsi="Arial" w:cs="Arial"/>
          <w:sz w:val="22"/>
          <w:szCs w:val="22"/>
        </w:rPr>
        <w:t xml:space="preserve">Οι 50 ΕΠΑΣ της ΔΥΠΑ εφαρμόζουν από το 1952 το σύστημα της Μαθητείας, το οποίο είναι και το μοναδικό δυικό σύστημα στη χώρα μας, που συνδυάζει τη θεωρητική και εργαστηριακή επαγγελματική εκπαίδευση στη σχολή με τη μαθητεία σε επιχειρήσεις </w:t>
      </w:r>
      <w:r>
        <w:rPr>
          <w:rFonts w:ascii="Arial" w:hAnsi="Arial" w:cs="Arial"/>
          <w:color w:val="000000"/>
          <w:sz w:val="22"/>
          <w:szCs w:val="22"/>
          <w:shd w:val="clear" w:color="auto" w:fill="FFFFFF"/>
        </w:rPr>
        <w:t xml:space="preserve">του ιδιωτικού και του δημόσιου τομέα </w:t>
      </w:r>
      <w:r>
        <w:rPr>
          <w:rFonts w:ascii="Arial" w:hAnsi="Arial" w:cs="Arial"/>
          <w:sz w:val="22"/>
          <w:szCs w:val="22"/>
        </w:rPr>
        <w:t>σε πραγματικές συνθήκες εργασίας (on-the-</w:t>
      </w:r>
      <w:proofErr w:type="spellStart"/>
      <w:r>
        <w:rPr>
          <w:rFonts w:ascii="Arial" w:hAnsi="Arial" w:cs="Arial"/>
          <w:sz w:val="22"/>
          <w:szCs w:val="22"/>
        </w:rPr>
        <w:t>job</w:t>
      </w:r>
      <w:proofErr w:type="spellEnd"/>
      <w:r>
        <w:rPr>
          <w:rFonts w:ascii="Arial" w:hAnsi="Arial" w:cs="Arial"/>
          <w:sz w:val="22"/>
          <w:szCs w:val="22"/>
        </w:rPr>
        <w:t>-</w:t>
      </w:r>
      <w:proofErr w:type="spellStart"/>
      <w:r>
        <w:rPr>
          <w:rFonts w:ascii="Arial" w:hAnsi="Arial" w:cs="Arial"/>
          <w:sz w:val="22"/>
          <w:szCs w:val="22"/>
        </w:rPr>
        <w:t>training</w:t>
      </w:r>
      <w:proofErr w:type="spellEnd"/>
      <w:r>
        <w:rPr>
          <w:rFonts w:ascii="Arial" w:hAnsi="Arial" w:cs="Arial"/>
          <w:sz w:val="22"/>
          <w:szCs w:val="22"/>
        </w:rPr>
        <w:t xml:space="preserve">). </w:t>
      </w:r>
    </w:p>
    <w:p w:rsidR="004F5D69" w:rsidRDefault="004F5D69">
      <w:pPr>
        <w:jc w:val="both"/>
        <w:rPr>
          <w:rFonts w:ascii="Arial" w:hAnsi="Arial" w:cs="Arial"/>
          <w:sz w:val="22"/>
          <w:szCs w:val="22"/>
        </w:rPr>
      </w:pPr>
    </w:p>
    <w:p w:rsidR="004F5D69" w:rsidRDefault="00B902FB">
      <w:pPr>
        <w:jc w:val="both"/>
        <w:rPr>
          <w:rFonts w:ascii="Arial" w:hAnsi="Arial" w:cs="Arial"/>
          <w:sz w:val="22"/>
          <w:szCs w:val="22"/>
        </w:rPr>
      </w:pPr>
      <w:r>
        <w:rPr>
          <w:rFonts w:ascii="Arial" w:hAnsi="Arial" w:cs="Arial"/>
          <w:sz w:val="22"/>
          <w:szCs w:val="22"/>
        </w:rPr>
        <w:t>Με τον τρόπο αυτό, οι μαθητευόμενοι αποκτούν γνώσεις και δεξιότητες σε 31 ειδικότητες υψηλής ζήτησης στην αγορά εργασίας, ενώ η αμοιβή τους είναι 23,89 ευρώ για κάθε ημέρα μαθητείας στο χώρο εργασίας για 2 έτη (τέσσερα εξάμηνα).</w:t>
      </w:r>
    </w:p>
    <w:p w:rsidR="004F5D69" w:rsidRDefault="004F5D69">
      <w:pPr>
        <w:jc w:val="both"/>
        <w:rPr>
          <w:rFonts w:ascii="Arial" w:hAnsi="Arial" w:cs="Arial"/>
          <w:sz w:val="22"/>
          <w:szCs w:val="22"/>
        </w:rPr>
      </w:pPr>
    </w:p>
    <w:p w:rsidR="004F5D69" w:rsidRDefault="00B902FB">
      <w:pPr>
        <w:jc w:val="both"/>
        <w:rPr>
          <w:rFonts w:ascii="Arial" w:hAnsi="Arial" w:cs="Arial"/>
          <w:sz w:val="22"/>
          <w:szCs w:val="22"/>
        </w:rPr>
      </w:pPr>
      <w:r>
        <w:rPr>
          <w:rFonts w:ascii="Arial" w:hAnsi="Arial" w:cs="Arial"/>
          <w:sz w:val="22"/>
          <w:szCs w:val="22"/>
        </w:rPr>
        <w:lastRenderedPageBreak/>
        <w:t>Οι μαθητές των ΕΠΑΣ Μαθητείας της ΔΥΠΑ:</w:t>
      </w:r>
    </w:p>
    <w:p w:rsidR="004F5D69" w:rsidRDefault="004F5D69">
      <w:pPr>
        <w:pStyle w:val="a7"/>
        <w:spacing w:line="240" w:lineRule="auto"/>
        <w:rPr>
          <w:rFonts w:ascii="Arial" w:hAnsi="Arial" w:cs="Arial"/>
          <w:sz w:val="22"/>
          <w:szCs w:val="22"/>
        </w:rPr>
      </w:pPr>
    </w:p>
    <w:p w:rsidR="004F5D69" w:rsidRDefault="00B902FB">
      <w:pPr>
        <w:pStyle w:val="af3"/>
        <w:numPr>
          <w:ilvl w:val="0"/>
          <w:numId w:val="1"/>
        </w:numPr>
        <w:tabs>
          <w:tab w:val="left" w:pos="567"/>
        </w:tabs>
        <w:spacing w:line="240" w:lineRule="auto"/>
        <w:ind w:left="567" w:hanging="283"/>
        <w:jc w:val="left"/>
        <w:rPr>
          <w:rFonts w:cs="Arial"/>
          <w:szCs w:val="22"/>
        </w:rPr>
      </w:pPr>
      <w:r>
        <w:rPr>
          <w:rFonts w:cs="Arial"/>
          <w:szCs w:val="22"/>
        </w:rPr>
        <w:t>Πραγματοποιούν πρόγραμμα μάθησης σε εργασιακό χώρο με αμοιβή και πλήρη ασφάλιση.</w:t>
      </w:r>
    </w:p>
    <w:p w:rsidR="004F5D69" w:rsidRDefault="00B902FB">
      <w:pPr>
        <w:pStyle w:val="af3"/>
        <w:numPr>
          <w:ilvl w:val="0"/>
          <w:numId w:val="1"/>
        </w:numPr>
        <w:tabs>
          <w:tab w:val="left" w:pos="567"/>
        </w:tabs>
        <w:spacing w:line="240" w:lineRule="auto"/>
        <w:ind w:left="567" w:hanging="283"/>
        <w:jc w:val="left"/>
        <w:rPr>
          <w:rFonts w:cs="Arial"/>
          <w:szCs w:val="22"/>
        </w:rPr>
      </w:pPr>
      <w:r>
        <w:rPr>
          <w:rFonts w:cs="Arial"/>
          <w:szCs w:val="22"/>
        </w:rPr>
        <w:t>Φοιτούν σε σύγχρονα και πλήρως εξοπλισμένα εργαστήρια και τους παρέχονται τα απαραίτητα βιβλία και βοηθήματα</w:t>
      </w:r>
    </w:p>
    <w:p w:rsidR="004F5D69" w:rsidRDefault="00B902FB">
      <w:pPr>
        <w:pStyle w:val="af3"/>
        <w:numPr>
          <w:ilvl w:val="0"/>
          <w:numId w:val="1"/>
        </w:numPr>
        <w:tabs>
          <w:tab w:val="left" w:pos="567"/>
          <w:tab w:val="left" w:pos="2541"/>
          <w:tab w:val="left" w:pos="3188"/>
          <w:tab w:val="left" w:pos="4205"/>
          <w:tab w:val="left" w:pos="4738"/>
          <w:tab w:val="left" w:pos="5500"/>
          <w:tab w:val="left" w:pos="7050"/>
        </w:tabs>
        <w:spacing w:line="240" w:lineRule="auto"/>
        <w:ind w:left="567" w:hanging="283"/>
        <w:jc w:val="left"/>
        <w:rPr>
          <w:rFonts w:cs="Arial"/>
          <w:szCs w:val="22"/>
        </w:rPr>
      </w:pPr>
      <w:r>
        <w:rPr>
          <w:rFonts w:cs="Arial"/>
          <w:szCs w:val="22"/>
        </w:rPr>
        <w:t>Εκπαιδεύονται από έμπειρο και άρτια καταρτισμένο εκπαιδευτικό προσωπικό</w:t>
      </w:r>
    </w:p>
    <w:p w:rsidR="004F5D69" w:rsidRDefault="00B902FB">
      <w:pPr>
        <w:pStyle w:val="af3"/>
        <w:numPr>
          <w:ilvl w:val="0"/>
          <w:numId w:val="1"/>
        </w:numPr>
        <w:tabs>
          <w:tab w:val="left" w:pos="567"/>
        </w:tabs>
        <w:spacing w:line="240" w:lineRule="auto"/>
        <w:ind w:left="567" w:hanging="283"/>
        <w:jc w:val="left"/>
        <w:rPr>
          <w:rFonts w:cs="Arial"/>
          <w:szCs w:val="22"/>
        </w:rPr>
      </w:pPr>
      <w:r>
        <w:rPr>
          <w:rFonts w:cs="Arial"/>
          <w:szCs w:val="22"/>
        </w:rPr>
        <w:t>Δικαιούνται σπουδαστική άδεια μέχρι 30 ημέρες με αποδοχές</w:t>
      </w:r>
    </w:p>
    <w:p w:rsidR="004F5D69" w:rsidRDefault="00B902FB">
      <w:pPr>
        <w:pStyle w:val="af3"/>
        <w:numPr>
          <w:ilvl w:val="0"/>
          <w:numId w:val="1"/>
        </w:numPr>
        <w:tabs>
          <w:tab w:val="left" w:pos="567"/>
        </w:tabs>
        <w:spacing w:line="240" w:lineRule="auto"/>
        <w:ind w:left="567" w:hanging="283"/>
        <w:jc w:val="left"/>
        <w:rPr>
          <w:rFonts w:cs="Arial"/>
          <w:szCs w:val="22"/>
        </w:rPr>
      </w:pPr>
      <w:r>
        <w:rPr>
          <w:rFonts w:cs="Arial"/>
          <w:szCs w:val="22"/>
        </w:rPr>
        <w:t>Δικαιούνται αναβολή στράτευσης</w:t>
      </w:r>
    </w:p>
    <w:p w:rsidR="004F5D69" w:rsidRDefault="00B902FB">
      <w:pPr>
        <w:pStyle w:val="af3"/>
        <w:numPr>
          <w:ilvl w:val="0"/>
          <w:numId w:val="1"/>
        </w:numPr>
        <w:tabs>
          <w:tab w:val="left" w:pos="567"/>
        </w:tabs>
        <w:spacing w:line="240" w:lineRule="auto"/>
        <w:ind w:left="567" w:hanging="283"/>
        <w:jc w:val="left"/>
        <w:rPr>
          <w:rFonts w:cs="Arial"/>
          <w:szCs w:val="22"/>
        </w:rPr>
      </w:pPr>
      <w:r>
        <w:rPr>
          <w:rFonts w:cs="Arial"/>
          <w:szCs w:val="22"/>
        </w:rPr>
        <w:t>Λαμβάνουν επίδομα στέγασης και σίτισης, όσοι πληρούν τις προϋποθέσεις</w:t>
      </w:r>
    </w:p>
    <w:p w:rsidR="004F5D69" w:rsidRDefault="004F5D69">
      <w:pPr>
        <w:jc w:val="both"/>
        <w:rPr>
          <w:rFonts w:ascii="Arial" w:hAnsi="Arial" w:cs="Arial"/>
          <w:sz w:val="22"/>
          <w:szCs w:val="22"/>
        </w:rPr>
      </w:pPr>
    </w:p>
    <w:p w:rsidR="004F5D69" w:rsidRDefault="00B902FB">
      <w:pPr>
        <w:jc w:val="both"/>
      </w:pPr>
      <w:r>
        <w:rPr>
          <w:rFonts w:ascii="Arial" w:hAnsi="Arial" w:cs="Arial"/>
          <w:sz w:val="22"/>
          <w:szCs w:val="22"/>
        </w:rPr>
        <w:t xml:space="preserve">Περισσότερες πληροφορίες παρέχονται από τον ιστότοπο της ΔΥΠΑ στην ηλεκτρονική διεύθυνση </w:t>
      </w:r>
      <w:hyperlink r:id="rId12">
        <w:r>
          <w:rPr>
            <w:rStyle w:val="a3"/>
            <w:rFonts w:ascii="Arial" w:hAnsi="Arial" w:cs="Arial"/>
            <w:sz w:val="22"/>
            <w:szCs w:val="22"/>
          </w:rPr>
          <w:t>https://www.dypa.gov.gr/mathitia</w:t>
        </w:r>
      </w:hyperlink>
      <w:r>
        <w:rPr>
          <w:rFonts w:ascii="Arial" w:hAnsi="Arial" w:cs="Arial"/>
          <w:sz w:val="22"/>
          <w:szCs w:val="22"/>
        </w:rPr>
        <w:t xml:space="preserve"> </w:t>
      </w:r>
    </w:p>
    <w:p w:rsidR="004F5D69" w:rsidRDefault="004F5D69">
      <w:pPr>
        <w:pStyle w:val="Web"/>
        <w:shd w:val="clear" w:color="auto" w:fill="FFFFFF"/>
        <w:spacing w:beforeAutospacing="0" w:afterAutospacing="0"/>
        <w:rPr>
          <w:rFonts w:ascii="Arial" w:hAnsi="Arial" w:cs="Arial"/>
          <w:color w:val="000000"/>
          <w:sz w:val="22"/>
          <w:szCs w:val="22"/>
        </w:rPr>
      </w:pPr>
    </w:p>
    <w:p w:rsidR="004F5D69" w:rsidRDefault="004F5D69">
      <w:pPr>
        <w:jc w:val="both"/>
        <w:rPr>
          <w:rFonts w:ascii="Arial" w:hAnsi="Arial" w:cs="Arial"/>
          <w:sz w:val="22"/>
          <w:szCs w:val="22"/>
        </w:rPr>
      </w:pPr>
    </w:p>
    <w:p w:rsidR="004F5D69" w:rsidRDefault="004F5D69">
      <w:pPr>
        <w:pStyle w:val="af5"/>
        <w:jc w:val="center"/>
      </w:pPr>
    </w:p>
    <w:sectPr w:rsidR="004F5D69">
      <w:headerReference w:type="default" r:id="rId13"/>
      <w:footerReference w:type="default" r:id="rId14"/>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443" w:rsidRDefault="00562443">
      <w:r>
        <w:separator/>
      </w:r>
    </w:p>
  </w:endnote>
  <w:endnote w:type="continuationSeparator" w:id="0">
    <w:p w:rsidR="00562443" w:rsidRDefault="0056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variable"/>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01"/>
    <w:family w:val="roman"/>
    <w:pitch w:val="variable"/>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1"/>
    <w:family w:val="roman"/>
    <w:pitch w:val="variable"/>
  </w:font>
  <w:font w:name="Consolas">
    <w:panose1 w:val="020B0609020204030204"/>
    <w:charset w:val="01"/>
    <w:family w:val="roman"/>
    <w:pitch w:val="variable"/>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69" w:rsidRDefault="00B902FB">
    <w:pPr>
      <w:pStyle w:val="af1"/>
    </w:pPr>
    <w:r>
      <w:rPr>
        <w:noProof/>
      </w:rPr>
      <w:drawing>
        <wp:anchor distT="0" distB="0" distL="114300" distR="114300" simplePos="0" relativeHeight="8" behindDoc="0" locked="0" layoutInCell="1" allowOverlap="1">
          <wp:simplePos x="0" y="0"/>
          <wp:positionH relativeFrom="column">
            <wp:posOffset>1006475</wp:posOffset>
          </wp:positionH>
          <wp:positionV relativeFrom="paragraph">
            <wp:posOffset>131445</wp:posOffset>
          </wp:positionV>
          <wp:extent cx="2879725" cy="393065"/>
          <wp:effectExtent l="0" t="0" r="0" b="0"/>
          <wp:wrapTight wrapText="bothSides">
            <wp:wrapPolygon edited="0">
              <wp:start x="-34" y="0"/>
              <wp:lineTo x="-34" y="20892"/>
              <wp:lineTo x="21424" y="20892"/>
              <wp:lineTo x="21424" y="0"/>
              <wp:lineTo x="-34" y="0"/>
            </wp:wrapPolygon>
          </wp:wrapTight>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pic:cNvPicPr>
                    <a:picLocks noChangeAspect="1" noChangeArrowheads="1"/>
                  </pic:cNvPicPr>
                </pic:nvPicPr>
                <pic:blipFill>
                  <a:blip r:embed="rId1"/>
                  <a:stretch>
                    <a:fillRect/>
                  </a:stretch>
                </pic:blipFill>
                <pic:spPr bwMode="auto">
                  <a:xfrm>
                    <a:off x="0" y="0"/>
                    <a:ext cx="2879725" cy="393065"/>
                  </a:xfrm>
                  <a:prstGeom prst="rect">
                    <a:avLst/>
                  </a:prstGeom>
                </pic:spPr>
              </pic:pic>
            </a:graphicData>
          </a:graphic>
        </wp:anchor>
      </w:drawing>
    </w:r>
  </w:p>
  <w:p w:rsidR="004F5D69" w:rsidRDefault="00B902FB">
    <w:pPr>
      <w:pStyle w:val="af1"/>
      <w:tabs>
        <w:tab w:val="clear" w:pos="8306"/>
        <w:tab w:val="left" w:pos="4095"/>
        <w:tab w:val="left" w:pos="4153"/>
      </w:tabs>
      <w:ind w:right="360" w:firstLine="2160"/>
      <w:rPr>
        <w:rFonts w:ascii="Tahoma" w:hAnsi="Tahoma" w:cs="Cambria"/>
      </w:rPr>
    </w:pP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443" w:rsidRDefault="00562443">
      <w:r>
        <w:separator/>
      </w:r>
    </w:p>
  </w:footnote>
  <w:footnote w:type="continuationSeparator" w:id="0">
    <w:p w:rsidR="00562443" w:rsidRDefault="0056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69" w:rsidRDefault="00B902FB">
    <w:pPr>
      <w:pStyle w:val="af2"/>
    </w:pPr>
    <w:r>
      <w:rPr>
        <w:noProof/>
      </w:rPr>
      <w:drawing>
        <wp:anchor distT="0" distB="0" distL="0" distR="0" simplePos="0" relativeHeight="3" behindDoc="1" locked="0" layoutInCell="1" allowOverlap="1">
          <wp:simplePos x="0" y="0"/>
          <wp:positionH relativeFrom="column">
            <wp:posOffset>-2298700</wp:posOffset>
          </wp:positionH>
          <wp:positionV relativeFrom="paragraph">
            <wp:posOffset>-431800</wp:posOffset>
          </wp:positionV>
          <wp:extent cx="7560310" cy="10692130"/>
          <wp:effectExtent l="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Pr>
        <w:noProof/>
      </w:rPr>
      <w:drawing>
        <wp:anchor distT="0" distB="0" distL="0" distR="0" simplePos="0" relativeHeight="6" behindDoc="1" locked="0" layoutInCell="1" allowOverlap="1">
          <wp:simplePos x="0" y="0"/>
          <wp:positionH relativeFrom="margin">
            <wp:align>center</wp:align>
          </wp:positionH>
          <wp:positionV relativeFrom="page">
            <wp:posOffset>469265</wp:posOffset>
          </wp:positionV>
          <wp:extent cx="1542415" cy="4349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2"/>
                  <a:stretch>
                    <a:fillRect/>
                  </a:stretch>
                </pic:blipFill>
                <pic:spPr bwMode="auto">
                  <a:xfrm>
                    <a:off x="0" y="0"/>
                    <a:ext cx="1542415" cy="434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124D7"/>
    <w:multiLevelType w:val="multilevel"/>
    <w:tmpl w:val="13B8D3EA"/>
    <w:lvl w:ilvl="0">
      <w:start w:val="1"/>
      <w:numFmt w:val="bullet"/>
      <w:lvlText w:val=""/>
      <w:lvlJc w:val="left"/>
      <w:pPr>
        <w:tabs>
          <w:tab w:val="num" w:pos="1311"/>
        </w:tabs>
        <w:ind w:left="1311" w:hanging="360"/>
      </w:pPr>
      <w:rPr>
        <w:rFonts w:ascii="Symbol" w:hAnsi="Symbol" w:cs="OpenSymbol" w:hint="default"/>
        <w:sz w:val="22"/>
      </w:rPr>
    </w:lvl>
    <w:lvl w:ilvl="1">
      <w:start w:val="1"/>
      <w:numFmt w:val="bullet"/>
      <w:lvlText w:val="◦"/>
      <w:lvlJc w:val="left"/>
      <w:pPr>
        <w:tabs>
          <w:tab w:val="num" w:pos="1671"/>
        </w:tabs>
        <w:ind w:left="1671" w:hanging="360"/>
      </w:pPr>
      <w:rPr>
        <w:rFonts w:ascii="OpenSymbol" w:hAnsi="OpenSymbol" w:cs="OpenSymbol" w:hint="default"/>
      </w:rPr>
    </w:lvl>
    <w:lvl w:ilvl="2">
      <w:start w:val="1"/>
      <w:numFmt w:val="bullet"/>
      <w:lvlText w:val="▪"/>
      <w:lvlJc w:val="left"/>
      <w:pPr>
        <w:tabs>
          <w:tab w:val="num" w:pos="2031"/>
        </w:tabs>
        <w:ind w:left="2031" w:hanging="360"/>
      </w:pPr>
      <w:rPr>
        <w:rFonts w:ascii="OpenSymbol" w:hAnsi="OpenSymbol" w:cs="OpenSymbol" w:hint="default"/>
      </w:rPr>
    </w:lvl>
    <w:lvl w:ilvl="3">
      <w:start w:val="1"/>
      <w:numFmt w:val="bullet"/>
      <w:lvlText w:val=""/>
      <w:lvlJc w:val="left"/>
      <w:pPr>
        <w:tabs>
          <w:tab w:val="num" w:pos="2391"/>
        </w:tabs>
        <w:ind w:left="2391" w:hanging="360"/>
      </w:pPr>
      <w:rPr>
        <w:rFonts w:ascii="Symbol" w:hAnsi="Symbol" w:cs="OpenSymbol" w:hint="default"/>
      </w:rPr>
    </w:lvl>
    <w:lvl w:ilvl="4">
      <w:start w:val="1"/>
      <w:numFmt w:val="bullet"/>
      <w:lvlText w:val="◦"/>
      <w:lvlJc w:val="left"/>
      <w:pPr>
        <w:tabs>
          <w:tab w:val="num" w:pos="2751"/>
        </w:tabs>
        <w:ind w:left="2751" w:hanging="360"/>
      </w:pPr>
      <w:rPr>
        <w:rFonts w:ascii="OpenSymbol" w:hAnsi="OpenSymbol" w:cs="OpenSymbol" w:hint="default"/>
      </w:rPr>
    </w:lvl>
    <w:lvl w:ilvl="5">
      <w:start w:val="1"/>
      <w:numFmt w:val="bullet"/>
      <w:lvlText w:val="▪"/>
      <w:lvlJc w:val="left"/>
      <w:pPr>
        <w:tabs>
          <w:tab w:val="num" w:pos="3111"/>
        </w:tabs>
        <w:ind w:left="3111" w:hanging="360"/>
      </w:pPr>
      <w:rPr>
        <w:rFonts w:ascii="OpenSymbol" w:hAnsi="OpenSymbol" w:cs="OpenSymbol" w:hint="default"/>
      </w:rPr>
    </w:lvl>
    <w:lvl w:ilvl="6">
      <w:start w:val="1"/>
      <w:numFmt w:val="bullet"/>
      <w:lvlText w:val=""/>
      <w:lvlJc w:val="left"/>
      <w:pPr>
        <w:tabs>
          <w:tab w:val="num" w:pos="3471"/>
        </w:tabs>
        <w:ind w:left="3471" w:hanging="360"/>
      </w:pPr>
      <w:rPr>
        <w:rFonts w:ascii="Symbol" w:hAnsi="Symbol" w:cs="OpenSymbol" w:hint="default"/>
      </w:rPr>
    </w:lvl>
    <w:lvl w:ilvl="7">
      <w:start w:val="1"/>
      <w:numFmt w:val="bullet"/>
      <w:lvlText w:val="◦"/>
      <w:lvlJc w:val="left"/>
      <w:pPr>
        <w:tabs>
          <w:tab w:val="num" w:pos="3831"/>
        </w:tabs>
        <w:ind w:left="3831" w:hanging="360"/>
      </w:pPr>
      <w:rPr>
        <w:rFonts w:ascii="OpenSymbol" w:hAnsi="OpenSymbol" w:cs="OpenSymbol" w:hint="default"/>
      </w:rPr>
    </w:lvl>
    <w:lvl w:ilvl="8">
      <w:start w:val="1"/>
      <w:numFmt w:val="bullet"/>
      <w:lvlText w:val="▪"/>
      <w:lvlJc w:val="left"/>
      <w:pPr>
        <w:tabs>
          <w:tab w:val="num" w:pos="4191"/>
        </w:tabs>
        <w:ind w:left="4191" w:hanging="360"/>
      </w:pPr>
      <w:rPr>
        <w:rFonts w:ascii="OpenSymbol" w:hAnsi="OpenSymbol" w:cs="OpenSymbol" w:hint="default"/>
      </w:rPr>
    </w:lvl>
  </w:abstractNum>
  <w:abstractNum w:abstractNumId="1" w15:restartNumberingAfterBreak="0">
    <w:nsid w:val="2E2508AC"/>
    <w:multiLevelType w:val="multilevel"/>
    <w:tmpl w:val="E2B6E7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69"/>
    <w:rsid w:val="004F5D69"/>
    <w:rsid w:val="00562443"/>
    <w:rsid w:val="008350AD"/>
    <w:rsid w:val="00B902FB"/>
    <w:rsid w:val="00F731D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1F5DB-879F-458D-B39B-626377CB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933EDC"/>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1">
    <w:name w:val="Σώμα κειμένου Char1"/>
    <w:link w:val="a7"/>
    <w:uiPriority w:val="99"/>
    <w:qFormat/>
    <w:rsid w:val="00D52C58"/>
    <w:rPr>
      <w:rFonts w:ascii="Consolas" w:eastAsia="Calibri" w:hAnsi="Consolas" w:cs="Times New Roman"/>
      <w:sz w:val="21"/>
      <w:szCs w:val="21"/>
      <w:lang w:val="el-GR"/>
    </w:rPr>
  </w:style>
  <w:style w:type="character" w:customStyle="1" w:styleId="Char">
    <w:name w:val="Κείμενο πλαισίου Char"/>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styleId="aa">
    <w:name w:val="Unresolved Mention"/>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2">
    <w:name w:val="Υπερ-σύνδεση2"/>
    <w:qFormat/>
    <w:rsid w:val="00305131"/>
    <w:rPr>
      <w:color w:val="0000FF"/>
      <w:u w:val="single"/>
    </w:rPr>
  </w:style>
  <w:style w:type="character" w:customStyle="1" w:styleId="bold-text-class">
    <w:name w:val="bold-text-class"/>
    <w:basedOn w:val="a0"/>
    <w:qFormat/>
    <w:rsid w:val="00933EDC"/>
  </w:style>
  <w:style w:type="character" w:customStyle="1" w:styleId="Char0">
    <w:name w:val="Σώμα κειμένου Char"/>
    <w:basedOn w:val="a0"/>
    <w:qFormat/>
    <w:rsid w:val="00894DD4"/>
    <w:rPr>
      <w:sz w:val="24"/>
      <w:szCs w:val="24"/>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sz w:val="22"/>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ascii="Arial" w:hAnsi="Arial" w:cs="Arial"/>
      <w:sz w:val="22"/>
      <w:szCs w:val="22"/>
    </w:rPr>
  </w:style>
  <w:style w:type="character" w:customStyle="1" w:styleId="ab">
    <w:name w:val="Αναγνωσμένος δεσμός διαδικτύου"/>
    <w:rPr>
      <w:color w:val="800000"/>
      <w:u w:val="single"/>
    </w:rPr>
  </w:style>
  <w:style w:type="character" w:customStyle="1" w:styleId="ListLabel352">
    <w:name w:val="ListLabel 352"/>
    <w:qFormat/>
    <w:rPr>
      <w:rFonts w:cs="OpenSymbol"/>
      <w:sz w:val="22"/>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ascii="Arial" w:hAnsi="Arial" w:cs="Arial"/>
      <w:bCs/>
      <w:sz w:val="22"/>
      <w:szCs w:val="22"/>
    </w:rPr>
  </w:style>
  <w:style w:type="character" w:customStyle="1" w:styleId="ListLabel362">
    <w:name w:val="ListLabel 362"/>
    <w:qFormat/>
    <w:rPr>
      <w:rFonts w:ascii="Arial" w:hAnsi="Arial" w:cs="Arial"/>
      <w:sz w:val="22"/>
      <w:szCs w:val="22"/>
    </w:rPr>
  </w:style>
  <w:style w:type="character" w:customStyle="1" w:styleId="ListLabel363">
    <w:name w:val="ListLabel 363"/>
    <w:qFormat/>
    <w:rPr>
      <w:rFonts w:cs="OpenSymbol"/>
      <w:sz w:val="22"/>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ascii="Arial" w:hAnsi="Arial" w:cs="Arial"/>
      <w:sz w:val="22"/>
      <w:szCs w:val="22"/>
    </w:rPr>
  </w:style>
  <w:style w:type="paragraph" w:customStyle="1" w:styleId="ac">
    <w:name w:val="Επικεφαλίδα"/>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link w:val="Char1"/>
    <w:pPr>
      <w:spacing w:line="280" w:lineRule="atLeast"/>
      <w:jc w:val="both"/>
    </w:pPr>
  </w:style>
  <w:style w:type="paragraph" w:styleId="ad">
    <w:name w:val="List"/>
    <w:basedOn w:val="a7"/>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Ευρετήριο"/>
    <w:basedOn w:val="a"/>
    <w:qFormat/>
    <w:pPr>
      <w:suppressLineNumbers/>
    </w:pPr>
    <w:rPr>
      <w:rFonts w:cs="Lohit Devanagari"/>
    </w:rPr>
  </w:style>
  <w:style w:type="paragraph" w:styleId="af0">
    <w:name w:val="Block Text"/>
    <w:basedOn w:val="a"/>
    <w:qFormat/>
    <w:pPr>
      <w:ind w:left="720" w:right="540" w:hanging="360"/>
    </w:pPr>
    <w:rPr>
      <w:rFonts w:eastAsia="SimSun"/>
      <w:szCs w:val="20"/>
    </w:rPr>
  </w:style>
  <w:style w:type="paragraph" w:styleId="af1">
    <w:name w:val="footer"/>
    <w:basedOn w:val="a"/>
    <w:pPr>
      <w:tabs>
        <w:tab w:val="center" w:pos="4153"/>
        <w:tab w:val="right" w:pos="8306"/>
      </w:tabs>
    </w:pPr>
  </w:style>
  <w:style w:type="paragraph" w:styleId="af2">
    <w:name w:val="header"/>
    <w:basedOn w:val="a"/>
    <w:pPr>
      <w:tabs>
        <w:tab w:val="center" w:pos="4153"/>
        <w:tab w:val="right" w:pos="8306"/>
      </w:tabs>
    </w:pPr>
  </w:style>
  <w:style w:type="paragraph" w:styleId="af3">
    <w:name w:val="List Paragraph"/>
    <w:basedOn w:val="a"/>
    <w:qFormat/>
    <w:pPr>
      <w:spacing w:line="300" w:lineRule="auto"/>
      <w:ind w:left="720"/>
      <w:jc w:val="both"/>
    </w:pPr>
    <w:rPr>
      <w:rFonts w:ascii="Arial" w:hAnsi="Arial"/>
      <w:sz w:val="22"/>
      <w:szCs w:val="20"/>
      <w:lang w:eastAsia="en-US"/>
    </w:rPr>
  </w:style>
  <w:style w:type="paragraph" w:styleId="af4">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5">
    <w:name w:val="No Spacing"/>
    <w:uiPriority w:val="1"/>
    <w:qFormat/>
    <w:rsid w:val="00AB7464"/>
    <w:rPr>
      <w:rFonts w:ascii="Calibri" w:hAnsi="Calibri"/>
      <w:sz w:val="22"/>
      <w:szCs w:val="22"/>
    </w:rPr>
  </w:style>
  <w:style w:type="paragraph" w:styleId="af6">
    <w:name w:val="Plain Text"/>
    <w:basedOn w:val="a"/>
    <w:uiPriority w:val="99"/>
    <w:unhideWhenUsed/>
    <w:qFormat/>
    <w:rsid w:val="00D52C58"/>
    <w:rPr>
      <w:rFonts w:ascii="Consolas" w:eastAsia="Calibri" w:hAnsi="Consolas"/>
      <w:sz w:val="21"/>
      <w:szCs w:val="21"/>
      <w:lang w:eastAsia="x-none"/>
    </w:rPr>
  </w:style>
  <w:style w:type="paragraph" w:styleId="a8">
    <w:name w:val="Balloon Text"/>
    <w:basedOn w:val="a"/>
    <w:link w:val="Char"/>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styleId="Web">
    <w:name w:val="Normal (Web)"/>
    <w:basedOn w:val="a"/>
    <w:uiPriority w:val="99"/>
    <w:unhideWhenUsed/>
    <w:qFormat/>
    <w:rsid w:val="00933EDC"/>
    <w:pPr>
      <w:spacing w:beforeAutospacing="1" w:afterAutospacing="1"/>
    </w:pPr>
  </w:style>
  <w:style w:type="paragraph" w:customStyle="1" w:styleId="pagespeed460779268">
    <w:name w:val="page_speed_460779268"/>
    <w:basedOn w:val="a"/>
    <w:uiPriority w:val="99"/>
    <w:qFormat/>
    <w:rsid w:val="00933EDC"/>
    <w:pPr>
      <w:spacing w:beforeAutospacing="1" w:afterAutospacing="1"/>
    </w:pPr>
  </w:style>
  <w:style w:type="paragraph" w:customStyle="1" w:styleId="af7">
    <w:name w:val="Περιεχόμενα πλαισίου"/>
    <w:basedOn w:val="a"/>
    <w:qFormat/>
  </w:style>
  <w:style w:type="table" w:styleId="af8">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ypa.gov.gr/mathit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ekpaideuse/eggraphe-se-skholeio/eggraphe-se-epaggelmatike-skhole-epas-tou-oa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ypa.gov.gr/mathitia?tab=ekpaidefomenoi-stis-epas-mathitias&amp;tab2=eghghrafes&amp;tab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29B6-B9C7-40FD-8924-488DB008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2442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ΦΩΤΕΙΝΗ ΘΕΟΛΟΓΟΥ</cp:lastModifiedBy>
  <cp:revision>3</cp:revision>
  <cp:lastPrinted>2021-09-20T12:20:00Z</cp:lastPrinted>
  <dcterms:created xsi:type="dcterms:W3CDTF">2022-09-12T15:10:00Z</dcterms:created>
  <dcterms:modified xsi:type="dcterms:W3CDTF">2022-09-12T15:12:00Z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