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6030" w:type="dxa"/>
        <w:jc w:val="left"/>
        <w:tblInd w:w="7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6030"/>
      </w:tblGrid>
      <w:tr>
        <w:trPr/>
        <w:tc>
          <w:tcPr>
            <w:tcW w:w="6030" w:type="dxa"/>
            <w:tcBorders/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drawing>
                <wp:inline distT="0" distB="0" distL="0" distR="0">
                  <wp:extent cx="639445" cy="590550"/>
                  <wp:effectExtent l="0" t="0" r="0" b="0"/>
                  <wp:docPr id="1" name="Pictur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0" r="7376" b="46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445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6030" w:type="dxa"/>
            <w:tcBorders/>
          </w:tcPr>
          <w:p>
            <w:pPr>
              <w:pStyle w:val="Normal"/>
              <w:spacing w:lineRule="auto" w:line="276"/>
              <w:jc w:val="center"/>
              <w:rPr>
                <w:rFonts w:ascii="Georgia" w:hAnsi="Georgia"/>
                <w:b/>
                <w:b/>
                <w:sz w:val="22"/>
                <w:szCs w:val="22"/>
                <w:lang w:val="el-GR"/>
              </w:rPr>
            </w:pPr>
            <w:r>
              <w:rPr>
                <w:rFonts w:ascii="Georgia" w:hAnsi="Georgia"/>
                <w:b/>
                <w:sz w:val="22"/>
                <w:szCs w:val="22"/>
                <w:lang w:val="el-GR"/>
              </w:rPr>
              <w:t>ΠΡΕΣΒΕΙΑ THΣ ΕΛΛΑΔOΣ ΣΤΟ ΒΟΥΚΟΥΡΕΣΤΙ</w:t>
            </w:r>
          </w:p>
          <w:p>
            <w:pPr>
              <w:pStyle w:val="Heading1"/>
              <w:spacing w:lineRule="auto" w:line="276" w:before="0" w:after="0"/>
              <w:jc w:val="center"/>
              <w:rPr>
                <w:rFonts w:ascii="Georgia" w:hAnsi="Georgia" w:cs="Times New Roman"/>
                <w:sz w:val="22"/>
                <w:szCs w:val="22"/>
                <w:lang w:val="el-GR"/>
              </w:rPr>
            </w:pPr>
            <w:r>
              <w:rPr>
                <w:rFonts w:cs="Times New Roman" w:ascii="Georgia" w:hAnsi="Georgia"/>
                <w:sz w:val="22"/>
                <w:szCs w:val="22"/>
                <w:lang w:val="el-GR"/>
              </w:rPr>
              <w:t>ΓΡΑΦΕΙΟ ΟΙΚΟΝΟΜΙΚΩΝ &amp; ΕΜΠΟΡΙΚΩΝ ΥΠΟΘΕΣΕΩΝ</w:t>
            </w:r>
          </w:p>
        </w:tc>
      </w:tr>
    </w:tbl>
    <w:p>
      <w:pPr>
        <w:pStyle w:val="Normal"/>
        <w:spacing w:lineRule="auto" w:line="276"/>
        <w:jc w:val="right"/>
        <w:rPr>
          <w:rFonts w:ascii="Georgia" w:hAnsi="Georgia"/>
          <w:b/>
          <w:b/>
          <w:sz w:val="22"/>
          <w:szCs w:val="22"/>
          <w:lang w:val="el-GR"/>
        </w:rPr>
      </w:pPr>
      <w:r>
        <w:rPr>
          <w:rFonts w:ascii="Georgia" w:hAnsi="Georgia"/>
          <w:b/>
          <w:sz w:val="22"/>
          <w:szCs w:val="22"/>
          <w:lang w:val="el-GR"/>
        </w:rPr>
        <w:t>ΑΔΙΑΒΑΘΜΗΤΟ</w:t>
      </w:r>
    </w:p>
    <w:p>
      <w:pPr>
        <w:pStyle w:val="Normal"/>
        <w:spacing w:lineRule="auto" w:line="276"/>
        <w:jc w:val="right"/>
        <w:rPr>
          <w:rFonts w:ascii="Georgia" w:hAnsi="Georgia"/>
          <w:b/>
          <w:b/>
          <w:sz w:val="22"/>
          <w:szCs w:val="22"/>
          <w:lang w:val="el-GR"/>
        </w:rPr>
      </w:pPr>
      <w:r>
        <w:rPr>
          <w:rFonts w:ascii="Georgia" w:hAnsi="Georgia"/>
          <w:b/>
          <w:sz w:val="22"/>
          <w:szCs w:val="22"/>
          <w:lang w:val="el-GR"/>
        </w:rPr>
        <w:t>ΚΑΝΟΝΙΚΟ</w:t>
      </w:r>
    </w:p>
    <w:tbl>
      <w:tblPr>
        <w:tblW w:w="3392" w:type="dxa"/>
        <w:jc w:val="righ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2"/>
      </w:tblGrid>
      <w:tr>
        <w:trPr>
          <w:trHeight w:val="585" w:hRule="atLeast"/>
        </w:trPr>
        <w:tc>
          <w:tcPr>
            <w:tcW w:w="3392" w:type="dxa"/>
            <w:tcBorders/>
          </w:tcPr>
          <w:p>
            <w:pPr>
              <w:pStyle w:val="Normal"/>
              <w:spacing w:lineRule="auto" w:line="276"/>
              <w:rPr>
                <w:rFonts w:ascii="Georgia" w:hAnsi="Georgia"/>
                <w:sz w:val="22"/>
                <w:szCs w:val="22"/>
                <w:lang w:val="el-GR"/>
              </w:rPr>
            </w:pPr>
            <w:r>
              <w:rPr>
                <w:rFonts w:ascii="Georgia" w:hAnsi="Georgia"/>
                <w:sz w:val="22"/>
                <w:szCs w:val="22"/>
                <w:lang w:val="el-GR"/>
              </w:rPr>
            </w:r>
          </w:p>
          <w:p>
            <w:pPr>
              <w:pStyle w:val="Normal"/>
              <w:spacing w:lineRule="auto" w:line="276"/>
              <w:jc w:val="both"/>
              <w:rPr/>
            </w:pPr>
            <w:r>
              <w:rPr>
                <w:rFonts w:ascii="Georgia" w:hAnsi="Georgia"/>
                <w:sz w:val="22"/>
                <w:szCs w:val="22"/>
                <w:lang w:val="el-GR"/>
              </w:rPr>
              <w:t xml:space="preserve">       </w:t>
            </w:r>
            <w:r>
              <w:rPr>
                <w:rFonts w:ascii="Georgia" w:hAnsi="Georgia"/>
                <w:sz w:val="22"/>
                <w:szCs w:val="22"/>
                <w:lang w:val="el-GR"/>
              </w:rPr>
              <w:t>1</w:t>
            </w:r>
            <w:r>
              <w:rPr>
                <w:rFonts w:ascii="Georgia" w:hAnsi="Georgia"/>
                <w:sz w:val="22"/>
                <w:szCs w:val="22"/>
                <w:lang w:val="el-GR"/>
              </w:rPr>
              <w:t>7</w:t>
            </w:r>
            <w:r>
              <w:rPr>
                <w:rFonts w:ascii="Georgia" w:hAnsi="Georgia"/>
                <w:sz w:val="22"/>
                <w:szCs w:val="22"/>
                <w:lang w:val="el-GR"/>
              </w:rPr>
              <w:t xml:space="preserve"> Ιανουαρίου </w:t>
            </w:r>
            <w:r>
              <w:rPr>
                <w:rFonts w:ascii="Georgia" w:hAnsi="Georgia"/>
                <w:sz w:val="22"/>
                <w:szCs w:val="22"/>
              </w:rPr>
              <w:t>20</w:t>
            </w:r>
            <w:r>
              <w:rPr>
                <w:rFonts w:ascii="Georgia" w:hAnsi="Georgia"/>
                <w:sz w:val="22"/>
                <w:szCs w:val="22"/>
                <w:lang w:val="el-GR"/>
              </w:rPr>
              <w:t>23</w:t>
            </w:r>
          </w:p>
          <w:p>
            <w:pPr>
              <w:pStyle w:val="Normal"/>
              <w:spacing w:lineRule="auto" w:line="276"/>
              <w:rPr/>
            </w:pPr>
            <w:r>
              <w:rPr>
                <w:rFonts w:ascii="Georgia" w:hAnsi="Georgia"/>
                <w:sz w:val="22"/>
                <w:szCs w:val="22"/>
                <w:lang w:val="el-GR"/>
              </w:rPr>
              <w:t xml:space="preserve">       </w:t>
            </w:r>
            <w:r>
              <w:rPr>
                <w:rFonts w:ascii="Georgia" w:hAnsi="Georgia"/>
                <w:sz w:val="22"/>
                <w:szCs w:val="22"/>
                <w:lang w:val="el-GR"/>
              </w:rPr>
              <w:t>ΑΠ</w:t>
            </w:r>
            <w:r>
              <w:rPr>
                <w:rFonts w:ascii="Georgia" w:hAnsi="Georgia"/>
                <w:sz w:val="22"/>
                <w:szCs w:val="22"/>
              </w:rPr>
              <w:t>.</w:t>
            </w:r>
            <w:r>
              <w:rPr>
                <w:rFonts w:ascii="Georgia" w:hAnsi="Georgia"/>
                <w:sz w:val="22"/>
                <w:szCs w:val="22"/>
                <w:lang w:val="el-GR"/>
              </w:rPr>
              <w:t>Φ</w:t>
            </w:r>
            <w:r>
              <w:rPr>
                <w:rFonts w:ascii="Georgia" w:hAnsi="Georgia"/>
                <w:sz w:val="22"/>
                <w:szCs w:val="22"/>
              </w:rPr>
              <w:t xml:space="preserve"> : 2</w:t>
            </w:r>
            <w:r>
              <w:rPr>
                <w:rFonts w:ascii="Georgia" w:hAnsi="Georgia"/>
                <w:sz w:val="22"/>
                <w:szCs w:val="22"/>
                <w:lang w:val="el-GR"/>
              </w:rPr>
              <w:t>700</w:t>
            </w:r>
            <w:r>
              <w:rPr>
                <w:rFonts w:ascii="Georgia" w:hAnsi="Georgia"/>
                <w:sz w:val="22"/>
                <w:szCs w:val="22"/>
              </w:rPr>
              <w:t>/</w:t>
            </w:r>
            <w:r>
              <w:rPr>
                <w:rFonts w:ascii="Georgia" w:hAnsi="Georgia"/>
                <w:sz w:val="22"/>
                <w:szCs w:val="22"/>
              </w:rPr>
              <w:t>99</w:t>
            </w:r>
          </w:p>
        </w:tc>
      </w:tr>
    </w:tbl>
    <w:p>
      <w:pPr>
        <w:pStyle w:val="Normal"/>
        <w:spacing w:lineRule="auto" w:line="276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</w:r>
    </w:p>
    <w:p>
      <w:pPr>
        <w:pStyle w:val="Normal"/>
        <w:spacing w:lineRule="auto" w:line="276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</w:r>
    </w:p>
    <w:tbl>
      <w:tblPr>
        <w:tblW w:w="9495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8329"/>
      </w:tblGrid>
      <w:tr>
        <w:trPr/>
        <w:tc>
          <w:tcPr>
            <w:tcW w:w="1165" w:type="dxa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76"/>
              <w:rPr>
                <w:rFonts w:ascii="Georgia" w:hAnsi="Georgia"/>
                <w:b/>
                <w:b/>
                <w:sz w:val="22"/>
                <w:szCs w:val="22"/>
                <w:lang w:val="el-GR"/>
              </w:rPr>
            </w:pPr>
            <w:r>
              <w:rPr>
                <w:rFonts w:ascii="Georgia" w:hAnsi="Georgia"/>
                <w:b/>
                <w:sz w:val="22"/>
                <w:szCs w:val="22"/>
                <w:lang w:val="el-GR"/>
              </w:rPr>
              <w:t>ΠΡΟΣ:</w:t>
            </w:r>
          </w:p>
        </w:tc>
        <w:tc>
          <w:tcPr>
            <w:tcW w:w="8329" w:type="dxa"/>
            <w:tcBorders/>
          </w:tcPr>
          <w:p>
            <w:pPr>
              <w:pStyle w:val="Normal"/>
              <w:spacing w:lineRule="auto" w:line="276"/>
              <w:jc w:val="both"/>
              <w:rPr/>
            </w:pPr>
            <w:r>
              <w:rPr>
                <w:rFonts w:ascii="Georgia" w:hAnsi="Georgia"/>
                <w:sz w:val="22"/>
                <w:szCs w:val="22"/>
                <w:lang w:val="el-GR"/>
              </w:rPr>
              <w:t>Β</w:t>
            </w:r>
            <w:r>
              <w:rPr>
                <w:rFonts w:ascii="Georgia" w:hAnsi="Georgia"/>
                <w:sz w:val="22"/>
                <w:szCs w:val="22"/>
                <w:lang w:val="el-GR"/>
              </w:rPr>
              <w:t>4</w:t>
            </w:r>
            <w:r>
              <w:rPr>
                <w:rFonts w:ascii="Georgia" w:hAnsi="Georgia"/>
                <w:sz w:val="22"/>
                <w:szCs w:val="22"/>
                <w:lang w:val="el-GR"/>
              </w:rPr>
              <w:t xml:space="preserve"> Δ/νση</w:t>
            </w:r>
          </w:p>
          <w:p>
            <w:pPr>
              <w:pStyle w:val="Normal"/>
              <w:spacing w:lineRule="auto" w:line="276"/>
              <w:jc w:val="both"/>
              <w:rPr>
                <w:rFonts w:ascii="Georgia" w:hAnsi="Georgia"/>
                <w:sz w:val="22"/>
                <w:szCs w:val="22"/>
                <w:lang w:val="el-GR"/>
              </w:rPr>
            </w:pPr>
            <w:r>
              <w:rPr>
                <w:rFonts w:ascii="Georgia" w:hAnsi="Georgia"/>
                <w:sz w:val="22"/>
                <w:szCs w:val="22"/>
                <w:lang w:val="el-GR"/>
              </w:rPr>
            </w:r>
          </w:p>
        </w:tc>
      </w:tr>
      <w:tr>
        <w:trPr/>
        <w:tc>
          <w:tcPr>
            <w:tcW w:w="1165" w:type="dxa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76"/>
              <w:rPr>
                <w:rFonts w:ascii="Georgia" w:hAnsi="Georgia"/>
                <w:b/>
                <w:b/>
                <w:sz w:val="22"/>
                <w:szCs w:val="22"/>
                <w:lang w:val="el-GR"/>
              </w:rPr>
            </w:pPr>
            <w:r>
              <w:rPr>
                <w:rFonts w:ascii="Georgia" w:hAnsi="Georgia"/>
                <w:b/>
                <w:sz w:val="22"/>
                <w:szCs w:val="22"/>
                <w:lang w:val="el-GR"/>
              </w:rPr>
              <w:t>ΚΟΙΝ.:</w:t>
            </w:r>
          </w:p>
        </w:tc>
        <w:tc>
          <w:tcPr>
            <w:tcW w:w="8329" w:type="dxa"/>
            <w:tcBorders/>
          </w:tcPr>
          <w:p>
            <w:pPr>
              <w:pStyle w:val="Normal"/>
              <w:spacing w:lineRule="auto" w:line="276"/>
              <w:jc w:val="both"/>
              <w:rPr>
                <w:b/>
                <w:b/>
                <w:bCs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  <w:lang w:val="el-GR"/>
              </w:rPr>
              <w:t>1. ΥΠ.ΕΞ.</w:t>
            </w:r>
          </w:p>
          <w:p>
            <w:pPr>
              <w:pStyle w:val="Normal"/>
              <w:spacing w:lineRule="auto" w:line="276"/>
              <w:jc w:val="both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  <w:lang w:val="el-GR"/>
              </w:rPr>
              <w:t>- Δ.Γ. Υφυπουργού κ.Κ.Φραγκογιάννη</w:t>
            </w:r>
          </w:p>
          <w:p>
            <w:pPr>
              <w:pStyle w:val="Normal"/>
              <w:spacing w:lineRule="auto" w:line="276"/>
              <w:jc w:val="both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  <w:lang w:val="el-GR"/>
              </w:rPr>
              <w:t>- Γραφείο κας Γ.Γ. ΔΟΣ και Εξωστρέφειας</w:t>
            </w:r>
          </w:p>
          <w:p>
            <w:pPr>
              <w:pStyle w:val="Normal"/>
              <w:spacing w:lineRule="auto" w:line="276"/>
              <w:jc w:val="both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  <w:lang w:val="el-GR"/>
              </w:rPr>
              <w:t>- Γραφεί</w:t>
            </w:r>
            <w:r>
              <w:rPr>
                <w:rFonts w:ascii="Georgia" w:hAnsi="Georgia"/>
                <w:sz w:val="22"/>
                <w:szCs w:val="22"/>
                <w:lang w:val="el-GR"/>
              </w:rPr>
              <w:t xml:space="preserve">ο κας </w:t>
            </w:r>
            <w:r>
              <w:rPr>
                <w:rFonts w:ascii="Georgia" w:hAnsi="Georgia"/>
                <w:sz w:val="22"/>
                <w:szCs w:val="22"/>
                <w:lang w:val="el-GR"/>
              </w:rPr>
              <w:t>Β’ Γεν. Δ/ντ</w:t>
            </w:r>
            <w:r>
              <w:rPr>
                <w:rFonts w:ascii="Georgia" w:hAnsi="Georgia"/>
                <w:sz w:val="22"/>
                <w:szCs w:val="22"/>
                <w:lang w:val="el-GR"/>
              </w:rPr>
              <w:t>ριας</w:t>
            </w:r>
          </w:p>
          <w:p>
            <w:pPr>
              <w:pStyle w:val="Normal"/>
              <w:spacing w:lineRule="auto" w:line="276"/>
              <w:jc w:val="both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  <w:lang w:val="el-GR"/>
              </w:rPr>
              <w:t>- Β</w:t>
            </w:r>
            <w:r>
              <w:rPr>
                <w:rFonts w:ascii="Georgia" w:hAnsi="Georgia"/>
                <w:sz w:val="22"/>
                <w:szCs w:val="22"/>
                <w:lang w:val="el-GR"/>
              </w:rPr>
              <w:t>1</w:t>
            </w:r>
            <w:r>
              <w:rPr>
                <w:rFonts w:ascii="Georgia" w:hAnsi="Georg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Georgia" w:hAnsi="Georgia"/>
                <w:sz w:val="22"/>
                <w:szCs w:val="22"/>
                <w:lang w:val="el-GR"/>
              </w:rPr>
              <w:t>Δ/νσ</w:t>
            </w:r>
            <w:r>
              <w:rPr>
                <w:rFonts w:ascii="Georgia" w:hAnsi="Georgia"/>
                <w:sz w:val="22"/>
                <w:szCs w:val="22"/>
                <w:lang w:val="el-GR"/>
              </w:rPr>
              <w:t>η</w:t>
            </w:r>
          </w:p>
          <w:p>
            <w:pPr>
              <w:pStyle w:val="Normal"/>
              <w:spacing w:lineRule="auto" w:line="276"/>
              <w:jc w:val="both"/>
              <w:rPr>
                <w:rFonts w:ascii="Georgia" w:hAnsi="Georgia"/>
                <w:sz w:val="22"/>
                <w:szCs w:val="22"/>
              </w:rPr>
            </w:pPr>
            <w:r>
              <w:rPr/>
            </w:r>
          </w:p>
          <w:p>
            <w:pPr>
              <w:pStyle w:val="Normal"/>
              <w:spacing w:lineRule="auto" w:line="276"/>
              <w:jc w:val="both"/>
              <w:rPr>
                <w:b/>
                <w:b/>
                <w:bCs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  <w:lang w:val="el-GR"/>
              </w:rPr>
              <w:t>2. Σύνδεσμοι-Φορείς-Επιμελητήρια</w:t>
            </w:r>
          </w:p>
          <w:p>
            <w:pPr>
              <w:pStyle w:val="Normal"/>
              <w:spacing w:lineRule="auto" w:line="276"/>
              <w:jc w:val="both"/>
              <w:rPr>
                <w:rFonts w:ascii="Georgia" w:hAnsi="Georgia" w:cs="Georgia"/>
                <w:b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Georgia" w:hAnsi="Georgia"/>
                <w:sz w:val="22"/>
                <w:szCs w:val="22"/>
              </w:rPr>
            </w:r>
          </w:p>
        </w:tc>
      </w:tr>
      <w:tr>
        <w:trPr/>
        <w:tc>
          <w:tcPr>
            <w:tcW w:w="1165" w:type="dxa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76"/>
              <w:rPr>
                <w:rFonts w:ascii="Georgia" w:hAnsi="Georgia"/>
                <w:b/>
                <w:b/>
                <w:sz w:val="22"/>
                <w:szCs w:val="22"/>
                <w:lang w:val="el-GR"/>
              </w:rPr>
            </w:pPr>
            <w:r>
              <w:rPr>
                <w:rFonts w:ascii="Georgia" w:hAnsi="Georgia"/>
                <w:b/>
                <w:sz w:val="22"/>
                <w:szCs w:val="22"/>
                <w:lang w:val="el-GR"/>
              </w:rPr>
              <w:t>Ε.Δ.:</w:t>
            </w:r>
          </w:p>
        </w:tc>
        <w:tc>
          <w:tcPr>
            <w:tcW w:w="8329" w:type="dxa"/>
            <w:tcBorders/>
          </w:tcPr>
          <w:p>
            <w:pPr>
              <w:pStyle w:val="Normal"/>
              <w:spacing w:lineRule="auto" w:line="276"/>
              <w:jc w:val="both"/>
              <w:rPr>
                <w:rFonts w:ascii="Georgia" w:hAnsi="Georgia"/>
                <w:sz w:val="22"/>
                <w:szCs w:val="22"/>
                <w:lang w:val="el-GR"/>
              </w:rPr>
            </w:pPr>
            <w:r>
              <w:rPr>
                <w:rFonts w:ascii="Georgia" w:hAnsi="Georgia"/>
                <w:sz w:val="22"/>
                <w:szCs w:val="22"/>
                <w:lang w:val="el-GR"/>
              </w:rPr>
              <w:t>Γραφείο κας Πρέσβεως</w:t>
            </w:r>
          </w:p>
          <w:p>
            <w:pPr>
              <w:pStyle w:val="Normal"/>
              <w:spacing w:lineRule="auto" w:line="276"/>
              <w:jc w:val="both"/>
              <w:rPr>
                <w:rFonts w:ascii="Georgia" w:hAnsi="Georgia"/>
                <w:b/>
                <w:b/>
                <w:sz w:val="22"/>
                <w:szCs w:val="22"/>
                <w:lang w:val="el-GR"/>
              </w:rPr>
            </w:pPr>
            <w:r>
              <w:rPr>
                <w:rFonts w:ascii="Georgia" w:hAnsi="Georgia"/>
                <w:b/>
                <w:sz w:val="22"/>
                <w:szCs w:val="22"/>
                <w:lang w:val="el-GR"/>
              </w:rPr>
            </w:r>
          </w:p>
          <w:p>
            <w:pPr>
              <w:pStyle w:val="Normal"/>
              <w:spacing w:lineRule="auto" w:line="276"/>
              <w:jc w:val="both"/>
              <w:rPr>
                <w:rFonts w:ascii="Georgia" w:hAnsi="Georgia"/>
                <w:b/>
                <w:b/>
                <w:sz w:val="22"/>
                <w:szCs w:val="22"/>
                <w:lang w:val="el-GR"/>
              </w:rPr>
            </w:pPr>
            <w:r>
              <w:rPr>
                <w:rFonts w:ascii="Georgia" w:hAnsi="Georgia"/>
                <w:b/>
                <w:sz w:val="22"/>
                <w:szCs w:val="22"/>
                <w:lang w:val="el-GR"/>
              </w:rPr>
            </w:r>
          </w:p>
        </w:tc>
      </w:tr>
      <w:tr>
        <w:trPr/>
        <w:tc>
          <w:tcPr>
            <w:tcW w:w="1165" w:type="dxa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76"/>
              <w:rPr>
                <w:rFonts w:ascii="Georgia" w:hAnsi="Georgia"/>
                <w:b/>
                <w:b/>
                <w:sz w:val="22"/>
                <w:szCs w:val="22"/>
                <w:lang w:val="el-GR"/>
              </w:rPr>
            </w:pPr>
            <w:r>
              <w:rPr>
                <w:rFonts w:ascii="Georgia" w:hAnsi="Georgia"/>
                <w:b/>
                <w:sz w:val="22"/>
                <w:szCs w:val="22"/>
                <w:lang w:val="el-GR"/>
              </w:rPr>
              <w:t>ΘΕΜΑ:</w:t>
            </w:r>
          </w:p>
        </w:tc>
        <w:tc>
          <w:tcPr>
            <w:tcW w:w="8329" w:type="dxa"/>
            <w:tcBorders/>
          </w:tcPr>
          <w:p>
            <w:pPr>
              <w:pStyle w:val="Normal"/>
              <w:tabs>
                <w:tab w:val="clear" w:pos="720"/>
                <w:tab w:val="left" w:pos="975" w:leader="none"/>
              </w:tabs>
              <w:spacing w:lineRule="auto" w:line="276"/>
              <w:jc w:val="both"/>
              <w:rPr>
                <w:rFonts w:ascii="Georgia" w:hAnsi="Georgia"/>
                <w:b/>
                <w:b/>
                <w:bCs/>
                <w:color w:val="000000"/>
                <w:sz w:val="22"/>
                <w:szCs w:val="22"/>
                <w:lang w:val="el-GR"/>
              </w:rPr>
            </w:pPr>
            <w:r>
              <w:rPr>
                <w:rFonts w:ascii="Georgia" w:hAnsi="Georgia"/>
                <w:b/>
                <w:bCs/>
                <w:color w:val="000000"/>
                <w:sz w:val="22"/>
                <w:szCs w:val="22"/>
                <w:lang w:val="el-GR"/>
              </w:rPr>
              <w:t>Στοιχεία ρουμανικής αγοράς αυτοκινήτου για το 2022.</w:t>
            </w:r>
          </w:p>
        </w:tc>
      </w:tr>
    </w:tbl>
    <w:p>
      <w:pPr>
        <w:pStyle w:val="Normal"/>
        <w:tabs>
          <w:tab w:val="clear" w:pos="720"/>
          <w:tab w:val="left" w:pos="975" w:leader="none"/>
        </w:tabs>
        <w:spacing w:lineRule="auto" w:line="276"/>
        <w:jc w:val="both"/>
        <w:rPr>
          <w:rFonts w:ascii="Georgia" w:hAnsi="Georgia"/>
          <w:sz w:val="22"/>
          <w:szCs w:val="22"/>
          <w:lang w:val="el-GR"/>
        </w:rPr>
      </w:pPr>
      <w:r>
        <w:rPr>
          <w:rFonts w:ascii="Georgia" w:hAnsi="Georgia"/>
          <w:sz w:val="22"/>
          <w:szCs w:val="22"/>
          <w:lang w:val="el-GR"/>
        </w:rPr>
        <w:t xml:space="preserve">    </w:t>
      </w:r>
    </w:p>
    <w:p>
      <w:pPr>
        <w:pStyle w:val="Normal"/>
        <w:tabs>
          <w:tab w:val="clear" w:pos="720"/>
          <w:tab w:val="left" w:pos="975" w:leader="none"/>
        </w:tabs>
        <w:spacing w:lineRule="auto" w:line="276"/>
        <w:jc w:val="both"/>
        <w:rPr/>
      </w:pPr>
      <w:r>
        <w:rPr>
          <w:rFonts w:ascii="Georgia" w:hAnsi="Georgia"/>
          <w:sz w:val="22"/>
          <w:szCs w:val="22"/>
          <w:lang w:val="el-GR"/>
        </w:rPr>
        <w:t xml:space="preserve"> </w:t>
      </w:r>
      <w:r>
        <w:rPr>
          <w:rFonts w:ascii="Georgia" w:hAnsi="Georgia"/>
          <w:sz w:val="22"/>
          <w:szCs w:val="22"/>
          <w:lang w:val="el-GR"/>
        </w:rPr>
        <w:t xml:space="preserve">Σύμφωνα με </w:t>
      </w:r>
      <w:r>
        <w:rPr>
          <w:rFonts w:ascii="Georgia" w:hAnsi="Georgia"/>
          <w:sz w:val="22"/>
          <w:szCs w:val="22"/>
          <w:lang w:val="el-GR"/>
        </w:rPr>
        <w:t xml:space="preserve">πρόσφατα στοιχεία της Ρουμανικής Ένωσης Κατασκευαστών Αυτοκινήτων/ACAROM για το 2022, </w:t>
      </w:r>
      <w:r>
        <w:rPr>
          <w:rFonts w:ascii="Georgia" w:hAnsi="Georgia"/>
          <w:sz w:val="22"/>
          <w:szCs w:val="22"/>
          <w:lang w:val="el-GR"/>
        </w:rPr>
        <w:t>η</w:t>
      </w:r>
      <w:r>
        <w:rPr>
          <w:rFonts w:ascii="Georgia" w:hAnsi="Georgia"/>
          <w:sz w:val="22"/>
          <w:szCs w:val="22"/>
          <w:lang w:val="el-GR"/>
        </w:rPr>
        <w:t xml:space="preserve"> παραγωγή αυτοκινήτων στη Ρουμανία έφτασε τις 509.465 μονάδες το 2022, </w:t>
      </w:r>
      <w:r>
        <w:rPr>
          <w:rFonts w:ascii="Georgia" w:hAnsi="Georgia"/>
          <w:sz w:val="22"/>
          <w:szCs w:val="22"/>
          <w:lang w:val="el-GR"/>
        </w:rPr>
        <w:t xml:space="preserve">έναντι </w:t>
      </w:r>
      <w:r>
        <w:rPr>
          <w:rFonts w:ascii="Georgia" w:hAnsi="Georgia"/>
          <w:sz w:val="22"/>
          <w:szCs w:val="22"/>
          <w:lang w:val="el-GR"/>
        </w:rPr>
        <w:t>420.755 μονάδ</w:t>
      </w:r>
      <w:r>
        <w:rPr>
          <w:rFonts w:ascii="Georgia" w:hAnsi="Georgia"/>
          <w:sz w:val="22"/>
          <w:szCs w:val="22"/>
          <w:lang w:val="el-GR"/>
        </w:rPr>
        <w:t xml:space="preserve">ων το 2021 </w:t>
      </w:r>
      <w:r>
        <w:rPr>
          <w:rFonts w:ascii="Georgia" w:hAnsi="Georgia"/>
          <w:sz w:val="22"/>
          <w:szCs w:val="22"/>
          <w:lang w:val="el-GR"/>
        </w:rPr>
        <w:t xml:space="preserve">σημειώνοντας αύξηση </w:t>
      </w:r>
      <w:r>
        <w:rPr>
          <w:rFonts w:ascii="Georgia" w:hAnsi="Georgia"/>
          <w:sz w:val="22"/>
          <w:szCs w:val="22"/>
          <w:lang w:val="el-GR"/>
        </w:rPr>
        <w:t xml:space="preserve">κατά </w:t>
      </w:r>
      <w:r>
        <w:rPr>
          <w:rFonts w:ascii="Georgia" w:hAnsi="Georgia"/>
          <w:sz w:val="22"/>
          <w:szCs w:val="22"/>
          <w:lang w:val="el-GR"/>
        </w:rPr>
        <w:t xml:space="preserve">21%. </w:t>
      </w:r>
      <w:r>
        <w:rPr>
          <w:rFonts w:ascii="Georgia" w:hAnsi="Georgia"/>
          <w:sz w:val="22"/>
          <w:szCs w:val="22"/>
          <w:lang w:val="el-GR"/>
        </w:rPr>
        <w:t xml:space="preserve">Η πλειονότητα της παραγωγής ή </w:t>
      </w:r>
      <w:r>
        <w:rPr>
          <w:rFonts w:ascii="Georgia" w:hAnsi="Georgia"/>
          <w:sz w:val="22"/>
          <w:szCs w:val="22"/>
          <w:lang w:val="el-GR"/>
        </w:rPr>
        <w:t xml:space="preserve">314.228 </w:t>
      </w:r>
      <w:r>
        <w:rPr>
          <w:rFonts w:ascii="Georgia" w:hAnsi="Georgia"/>
          <w:sz w:val="22"/>
          <w:szCs w:val="22"/>
          <w:lang w:val="el-GR"/>
        </w:rPr>
        <w:t xml:space="preserve">μονάδες ήταν από το εργοστάσιο της </w:t>
      </w:r>
      <w:r>
        <w:rPr>
          <w:rFonts w:ascii="Georgia" w:hAnsi="Georgia"/>
          <w:sz w:val="22"/>
          <w:szCs w:val="22"/>
          <w:lang w:val="el-GR"/>
        </w:rPr>
        <w:t xml:space="preserve">Dacia </w:t>
      </w:r>
      <w:r>
        <w:rPr>
          <w:rFonts w:ascii="Georgia" w:hAnsi="Georgia"/>
          <w:sz w:val="22"/>
          <w:szCs w:val="22"/>
          <w:lang w:val="el-GR"/>
        </w:rPr>
        <w:t>(ποσοστό 62%)</w:t>
      </w:r>
      <w:r>
        <w:rPr>
          <w:rFonts w:ascii="Georgia" w:hAnsi="Georgia"/>
          <w:sz w:val="22"/>
          <w:szCs w:val="22"/>
          <w:lang w:val="el-GR"/>
        </w:rPr>
        <w:t xml:space="preserve"> </w:t>
      </w:r>
      <w:r>
        <w:rPr>
          <w:rFonts w:ascii="Georgia" w:hAnsi="Georgia"/>
          <w:sz w:val="22"/>
          <w:szCs w:val="22"/>
          <w:lang w:val="el-GR"/>
        </w:rPr>
        <w:t>ενώ οι υπόλοιπες</w:t>
      </w:r>
      <w:r>
        <w:rPr>
          <w:rFonts w:ascii="Georgia" w:hAnsi="Georgia"/>
          <w:sz w:val="22"/>
          <w:szCs w:val="22"/>
          <w:lang w:val="el-GR"/>
        </w:rPr>
        <w:t xml:space="preserve"> 195.237 </w:t>
      </w:r>
      <w:r>
        <w:rPr>
          <w:rFonts w:ascii="Georgia" w:hAnsi="Georgia"/>
          <w:sz w:val="22"/>
          <w:szCs w:val="22"/>
          <w:lang w:val="el-GR"/>
        </w:rPr>
        <w:t>μονάδες ήταν από το εργοστάσιο της</w:t>
      </w:r>
      <w:r>
        <w:rPr>
          <w:rFonts w:ascii="Georgia" w:hAnsi="Georgia"/>
          <w:sz w:val="22"/>
          <w:szCs w:val="22"/>
          <w:lang w:val="el-GR"/>
        </w:rPr>
        <w:t xml:space="preserve"> Ford </w:t>
      </w:r>
      <w:r>
        <w:rPr>
          <w:rFonts w:ascii="Georgia" w:hAnsi="Georgia"/>
          <w:sz w:val="22"/>
          <w:szCs w:val="22"/>
          <w:lang w:val="el-GR"/>
        </w:rPr>
        <w:t>(ποσοστό 38%).</w:t>
      </w:r>
    </w:p>
    <w:p>
      <w:pPr>
        <w:pStyle w:val="Normal"/>
        <w:tabs>
          <w:tab w:val="clear" w:pos="720"/>
          <w:tab w:val="left" w:pos="975" w:leader="none"/>
        </w:tabs>
        <w:spacing w:lineRule="auto" w:line="276"/>
        <w:jc w:val="both"/>
        <w:rPr>
          <w:rFonts w:ascii="Georgia" w:hAnsi="Georgia"/>
          <w:sz w:val="22"/>
          <w:szCs w:val="22"/>
          <w:lang w:val="el-GR"/>
        </w:rPr>
      </w:pPr>
      <w:r>
        <w:rPr/>
      </w:r>
    </w:p>
    <w:p>
      <w:pPr>
        <w:pStyle w:val="Normal"/>
        <w:tabs>
          <w:tab w:val="clear" w:pos="720"/>
          <w:tab w:val="left" w:pos="975" w:leader="none"/>
        </w:tabs>
        <w:spacing w:lineRule="auto" w:line="276"/>
        <w:jc w:val="both"/>
        <w:rPr>
          <w:rFonts w:ascii="Georgia" w:hAnsi="Georg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  <w:lang w:val="el-GR"/>
        </w:rPr>
      </w:pPr>
      <w:r>
        <w:rPr>
          <w:rStyle w:val="StrongEmphasis"/>
          <w:rFonts w:ascii="Georgia" w:hAnsi="Georgia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  <w:lang w:val="el-GR"/>
        </w:rPr>
        <w:t xml:space="preserve">  </w:t>
      </w:r>
      <w:r>
        <w:rPr>
          <w:rStyle w:val="StrongEmphasis"/>
          <w:rFonts w:ascii="Georgia" w:hAnsi="Georgia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  <w:lang w:val="el-GR"/>
        </w:rPr>
        <w:t xml:space="preserve">Από την άλλη πλευρά, </w:t>
      </w:r>
      <w:r>
        <w:rPr>
          <w:rStyle w:val="StrongEmphasis"/>
          <w:rFonts w:ascii="Georgia" w:hAnsi="Georgia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  <w:lang w:val="el-GR"/>
        </w:rPr>
        <w:t xml:space="preserve">σύμφωνα με </w:t>
      </w:r>
      <w:r>
        <w:rPr>
          <w:rStyle w:val="StrongEmphasis"/>
          <w:rFonts w:ascii="Georgia" w:hAnsi="Georgia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  <w:lang w:val="el-GR"/>
        </w:rPr>
        <w:t xml:space="preserve">τα στοιχεία που παρέχει η Διεύθυνση Καθεστώτος Εγγραφής Άδειας Οδήγησης και Εγγραφής Οχημάτων/DRPCIV, τα οποία επικαλείται η ACAROM, ο αριθμός των ταξινομήσεων </w:t>
      </w:r>
      <w:r>
        <w:rPr>
          <w:rStyle w:val="StrongEmphasis"/>
          <w:rFonts w:ascii="Georgia" w:hAnsi="Georgia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  <w:lang w:val="el-GR"/>
        </w:rPr>
        <w:t>νέων</w:t>
      </w:r>
      <w:r>
        <w:rPr>
          <w:rStyle w:val="StrongEmphasis"/>
          <w:rFonts w:ascii="Georgia" w:hAnsi="Georgia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  <w:lang w:val="el-GR"/>
        </w:rPr>
        <w:t xml:space="preserve"> αυτοκινήτων στη Ρουμανία ήταν, το 2022, 129.328 μονάδες, σημειώνοντας αύξηση 6,7 % σε σύγκριση με το προηγούμενο έτος.</w:t>
      </w:r>
    </w:p>
    <w:p>
      <w:pPr>
        <w:pStyle w:val="Normal"/>
        <w:tabs>
          <w:tab w:val="clear" w:pos="720"/>
          <w:tab w:val="left" w:pos="975" w:leader="none"/>
        </w:tabs>
        <w:spacing w:lineRule="auto" w:line="276"/>
        <w:jc w:val="both"/>
        <w:rPr>
          <w:rFonts w:ascii="Georgia" w:hAnsi="Georg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  <w:lang w:val="el-GR"/>
        </w:rPr>
      </w:pPr>
      <w:r>
        <w:rPr>
          <w:rStyle w:val="StrongEmphasis"/>
          <w:rFonts w:ascii="Georgia" w:hAnsi="Georgia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  <w:lang w:val="el-GR"/>
        </w:rPr>
        <w:t xml:space="preserve">   </w:t>
      </w:r>
      <w:r>
        <w:rPr>
          <w:rStyle w:val="StrongEmphasis"/>
          <w:rFonts w:ascii="Georgia" w:hAnsi="Georgia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  <w:lang w:val="el-GR"/>
        </w:rPr>
        <w:t xml:space="preserve">Στο πλαίσιο αυτό, η κατάταξη </w:t>
      </w:r>
      <w:r>
        <w:rPr>
          <w:rStyle w:val="StrongEmphasis"/>
          <w:rFonts w:ascii="Georgia" w:hAnsi="Georgia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  <w:lang w:val="el-GR"/>
        </w:rPr>
        <w:t>των ευπώλητων</w:t>
      </w:r>
      <w:r>
        <w:rPr>
          <w:rStyle w:val="StrongEmphasis"/>
          <w:rFonts w:ascii="Georgia" w:hAnsi="Georgia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  <w:lang w:val="el-GR"/>
        </w:rPr>
        <w:t xml:space="preserve"> αυτοκινήτων έχει την Dacia στην πρώτη θέση, με 39.910 μονάδες </w:t>
      </w:r>
      <w:r>
        <w:rPr>
          <w:rStyle w:val="StrongEmphasis"/>
          <w:rFonts w:ascii="Georgia" w:hAnsi="Georgia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  <w:lang w:val="el-GR"/>
        </w:rPr>
        <w:t>(μοντέλα Logan, Duster, Sandero</w:t>
      </w:r>
      <w:r>
        <w:rPr>
          <w:rStyle w:val="StrongEmphasis"/>
          <w:rFonts w:ascii="Georgia" w:hAnsi="Georgia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  <w:lang w:val="el-GR"/>
        </w:rPr>
        <w:t xml:space="preserve">, </w:t>
      </w:r>
      <w:r>
        <w:rPr>
          <w:rStyle w:val="StrongEmphasis"/>
          <w:rFonts w:ascii="Georgia" w:hAnsi="Georgia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  <w:lang w:val="el-GR"/>
        </w:rPr>
        <w:t>Spring -</w:t>
      </w:r>
      <w:r>
        <w:rPr>
          <w:rStyle w:val="StrongEmphasis"/>
          <w:rFonts w:ascii="Georgia" w:hAnsi="Georgia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  <w:lang w:val="el-GR"/>
        </w:rPr>
        <w:t>ηλεκτρικό μοντέλο-</w:t>
      </w:r>
      <w:r>
        <w:rPr>
          <w:rStyle w:val="StrongEmphasis"/>
          <w:rFonts w:ascii="Georgia" w:hAnsi="Georgia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  <w:lang w:val="el-GR"/>
        </w:rPr>
        <w:t>, Jogger),</w:t>
      </w:r>
      <w:r>
        <w:rPr>
          <w:rStyle w:val="StrongEmphasis"/>
          <w:rFonts w:ascii="Georgia" w:hAnsi="Georgia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  <w:lang w:val="el-GR"/>
        </w:rPr>
        <w:t xml:space="preserve"> ακολουθούμενη από την Toyota </w:t>
      </w:r>
      <w:r>
        <w:rPr>
          <w:rStyle w:val="StrongEmphasis"/>
          <w:rFonts w:ascii="Georgia" w:hAnsi="Georgia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  <w:lang w:val="el-GR"/>
        </w:rPr>
        <w:t>(</w:t>
      </w:r>
      <w:r>
        <w:rPr>
          <w:rStyle w:val="StrongEmphasis"/>
          <w:rFonts w:ascii="Georgia" w:hAnsi="Georgia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  <w:lang w:val="el-GR"/>
        </w:rPr>
        <w:t xml:space="preserve">10.200 μονάδες, </w:t>
      </w:r>
      <w:r>
        <w:rPr>
          <w:rStyle w:val="StrongEmphasis"/>
          <w:rFonts w:ascii="Georgia" w:hAnsi="Georgia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  <w:lang w:val="el-GR"/>
        </w:rPr>
        <w:t>κ</w:t>
      </w:r>
      <w:r>
        <w:rPr>
          <w:rStyle w:val="StrongEmphasis"/>
          <w:rFonts w:ascii="Georgia" w:hAnsi="Georgia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  <w:lang w:val="el-GR"/>
        </w:rPr>
        <w:t>υρίως τα μοντέλα Corolla και C-HR</w:t>
      </w:r>
      <w:r>
        <w:rPr>
          <w:rStyle w:val="StrongEmphasis"/>
          <w:rFonts w:ascii="Georgia" w:hAnsi="Georgia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  <w:lang w:val="el-GR"/>
        </w:rPr>
        <w:t>)</w:t>
      </w:r>
      <w:r>
        <w:rPr>
          <w:rStyle w:val="StrongEmphasis"/>
          <w:rFonts w:ascii="Georgia" w:hAnsi="Georgia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  <w:lang w:val="el-GR"/>
        </w:rPr>
        <w:t xml:space="preserve">, Hyundai (9.551, </w:t>
      </w:r>
      <w:r>
        <w:rPr>
          <w:rStyle w:val="StrongEmphasis"/>
          <w:rFonts w:ascii="Georgia" w:hAnsi="Georgia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  <w:lang w:val="el-GR"/>
        </w:rPr>
        <w:t xml:space="preserve">κυρίως το μοντέλο </w:t>
      </w:r>
      <w:r>
        <w:rPr>
          <w:rStyle w:val="StrongEmphasis"/>
          <w:rFonts w:ascii="Georgia" w:hAnsi="Georgia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  <w:lang w:val="el-GR"/>
        </w:rPr>
        <w:t>Tucson</w:t>
      </w:r>
      <w:r>
        <w:rPr>
          <w:rStyle w:val="StrongEmphasis"/>
          <w:rFonts w:ascii="Georgia" w:hAnsi="Georgia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  <w:lang w:val="el-GR"/>
        </w:rPr>
        <w:t xml:space="preserve">), Skoda (8.669, </w:t>
      </w:r>
      <w:r>
        <w:rPr>
          <w:rStyle w:val="StrongEmphasis"/>
          <w:rFonts w:ascii="Georgia" w:hAnsi="Georgia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  <w:lang w:val="el-GR"/>
        </w:rPr>
        <w:t xml:space="preserve">κυρίως το μοντέλο </w:t>
      </w:r>
      <w:r>
        <w:rPr>
          <w:rStyle w:val="StrongEmphasis"/>
          <w:rFonts w:ascii="Georgia" w:hAnsi="Georgia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  <w:lang w:val="el-GR"/>
        </w:rPr>
        <w:t>Octavia</w:t>
      </w:r>
      <w:r>
        <w:rPr>
          <w:rStyle w:val="StrongEmphasis"/>
          <w:rFonts w:ascii="Georgia" w:hAnsi="Georgia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  <w:lang w:val="el-GR"/>
        </w:rPr>
        <w:t xml:space="preserve">), Ford (8.645, </w:t>
      </w:r>
      <w:r>
        <w:rPr>
          <w:rStyle w:val="StrongEmphasis"/>
          <w:rFonts w:ascii="Georgia" w:hAnsi="Georgia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  <w:lang w:val="el-GR"/>
        </w:rPr>
        <w:t xml:space="preserve">κυρίως το </w:t>
      </w:r>
      <w:r>
        <w:rPr>
          <w:rStyle w:val="StrongEmphasis"/>
          <w:rFonts w:ascii="Georgia" w:hAnsi="Georgia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  <w:lang w:val="el-GR"/>
        </w:rPr>
        <w:t>μοντέλο Puma</w:t>
      </w:r>
      <w:r>
        <w:rPr>
          <w:rStyle w:val="StrongEmphasis"/>
          <w:rFonts w:ascii="Georgia" w:hAnsi="Georgia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  <w:lang w:val="el-GR"/>
        </w:rPr>
        <w:t>), Renault (8.443), Volkswagen (8.203), Mercedes (3.572) και Peugeot (3.532).</w:t>
      </w:r>
    </w:p>
    <w:p>
      <w:pPr>
        <w:pStyle w:val="Normal"/>
        <w:tabs>
          <w:tab w:val="clear" w:pos="720"/>
          <w:tab w:val="left" w:pos="975" w:leader="none"/>
        </w:tabs>
        <w:spacing w:lineRule="auto" w:line="276"/>
        <w:jc w:val="both"/>
        <w:rPr/>
      </w:pPr>
      <w:r>
        <w:rPr>
          <w:rStyle w:val="StrongEmphasis"/>
          <w:b w:val="false"/>
          <w:bCs w:val="false"/>
        </w:rPr>
        <w:t xml:space="preserve"> </w:t>
      </w:r>
      <w:r>
        <w:rPr>
          <w:rStyle w:val="StrongEmphasis"/>
          <w:rFonts w:ascii="Georgia" w:hAnsi="Georgia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  <w:lang w:val="el-GR"/>
        </w:rPr>
        <w:t xml:space="preserve"> </w:t>
      </w:r>
      <w:r>
        <w:rPr>
          <w:rStyle w:val="StrongEmphasis"/>
          <w:rFonts w:ascii="Georgia" w:hAnsi="Georgia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  <w:lang w:val="el-GR"/>
        </w:rPr>
        <w:t xml:space="preserve">Κατά συνέπεια και λαμβάνοντας υπόψη τα ανωτέρω στοιχεία </w:t>
      </w:r>
      <w:r>
        <w:rPr>
          <w:rStyle w:val="StrongEmphasis"/>
          <w:rFonts w:ascii="Georgia" w:hAnsi="Georgia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  <w:lang w:val="el-GR"/>
        </w:rPr>
        <w:t>προκύπτει ότι</w:t>
      </w:r>
      <w:r>
        <w:rPr>
          <w:rStyle w:val="StrongEmphasis"/>
          <w:rFonts w:ascii="Georgia" w:hAnsi="Georgia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  <w:lang w:val="el-GR"/>
        </w:rPr>
        <w:t xml:space="preserve"> καθώς όλα τα μοντέλα της Dacia καθώς και το Ford Puma, παράγονται στην Ρουμανία, 461.000 μονάδες Dacia και Ford (ή </w:t>
      </w:r>
      <w:r>
        <w:rPr>
          <w:rStyle w:val="StrongEmphasis"/>
          <w:rFonts w:ascii="Georgia" w:hAnsi="Georgia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  <w:lang w:val="el-GR"/>
        </w:rPr>
        <w:t>ποσοστό</w:t>
      </w:r>
      <w:r>
        <w:rPr>
          <w:rStyle w:val="StrongEmphasis"/>
          <w:rFonts w:ascii="Georgia" w:hAnsi="Georgia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  <w:lang w:val="el-GR"/>
        </w:rPr>
        <w:t xml:space="preserve"> </w:t>
      </w:r>
      <w:r>
        <w:rPr>
          <w:rStyle w:val="StrongEmphasis"/>
          <w:rFonts w:ascii="Georgia" w:hAnsi="Georgia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  <w:lang w:val="el-GR"/>
        </w:rPr>
        <w:t>91% παραγωγής</w:t>
      </w:r>
      <w:r>
        <w:rPr>
          <w:rStyle w:val="StrongEmphasis"/>
          <w:rFonts w:ascii="Georgia" w:hAnsi="Georgia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  <w:lang w:val="el-GR"/>
        </w:rPr>
        <w:t>)</w:t>
      </w:r>
      <w:r>
        <w:rPr>
          <w:rStyle w:val="StrongEmphasis"/>
          <w:rFonts w:ascii="Georgia" w:hAnsi="Georgia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  <w:lang w:val="el-GR"/>
        </w:rPr>
        <w:t>, εξάγονται στο εξωτερικό.</w:t>
      </w:r>
    </w:p>
    <w:p>
      <w:pPr>
        <w:pStyle w:val="Normal"/>
        <w:tabs>
          <w:tab w:val="clear" w:pos="720"/>
          <w:tab w:val="left" w:pos="975" w:leader="none"/>
        </w:tabs>
        <w:spacing w:lineRule="auto" w:line="276"/>
        <w:jc w:val="both"/>
        <w:rPr>
          <w:rStyle w:val="StrongEmphasis"/>
          <w:rFonts w:ascii="Georgia" w:hAnsi="Georg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  <w:lang w:val="el-GR"/>
        </w:rPr>
      </w:pPr>
      <w:r>
        <w:rPr>
          <w:rFonts w:ascii="Georgia" w:hAnsi="Georgia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  <w:lang w:val="el-GR"/>
        </w:rPr>
      </w:r>
    </w:p>
    <w:p>
      <w:pPr>
        <w:pStyle w:val="Normal"/>
        <w:tabs>
          <w:tab w:val="clear" w:pos="720"/>
          <w:tab w:val="left" w:pos="975" w:leader="none"/>
        </w:tabs>
        <w:spacing w:lineRule="auto" w:line="276"/>
        <w:jc w:val="both"/>
        <w:rPr/>
      </w:pPr>
      <w:r>
        <w:rPr>
          <w:rStyle w:val="StrongEmphasis"/>
          <w:rFonts w:ascii="Georgia" w:hAnsi="Georgia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  <w:lang w:val="el-GR"/>
        </w:rPr>
        <w:t xml:space="preserve"> </w:t>
      </w:r>
      <w:r>
        <w:rPr>
          <w:rStyle w:val="StrongEmphasis"/>
          <w:rFonts w:ascii="Georgia" w:hAnsi="Georgia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  <w:lang w:val="el-GR"/>
        </w:rPr>
        <w:t>Σημειώνεται ότι ιδιαιτερότητα της εδώ αγοράς αυτοκινήτου αποτελεί ο υπερπολλαπλάσιος αριθμός μεταχειρισμένων αυτοκινήτων, που εισάγονται και ταξινομούνται από τα νέα αυτοκίνητα που ταξινομούνται (</w:t>
      </w:r>
      <w:r>
        <w:rPr>
          <w:rStyle w:val="StrongEmphasis"/>
          <w:rFonts w:ascii="Georgia" w:hAnsi="Georgia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  <w:lang w:val="el-GR"/>
        </w:rPr>
        <w:t>αναλογία 1 νέο προς 2,44 μεταχειρισμένα</w:t>
      </w:r>
      <w:r>
        <w:rPr>
          <w:rStyle w:val="StrongEmphasis"/>
          <w:rFonts w:ascii="Georgia" w:hAnsi="Georgia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  <w:lang w:val="el-GR"/>
        </w:rPr>
        <w:t xml:space="preserve">), καθώς κατά </w:t>
      </w:r>
      <w:r>
        <w:rPr>
          <w:rStyle w:val="StrongEmphasis"/>
          <w:rFonts w:ascii="Georgia" w:hAnsi="Georgia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  <w:lang w:val="el-GR"/>
        </w:rPr>
        <w:t xml:space="preserve">το 2022, ο αριθμός των </w:t>
      </w:r>
      <w:r>
        <w:rPr>
          <w:rStyle w:val="StrongEmphasis"/>
          <w:rFonts w:ascii="Georgia" w:hAnsi="Georgia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  <w:lang w:val="el-GR"/>
        </w:rPr>
        <w:t xml:space="preserve">μεταχειρισμένων </w:t>
      </w:r>
      <w:r>
        <w:rPr>
          <w:rStyle w:val="StrongEmphasis"/>
          <w:rFonts w:ascii="Georgia" w:hAnsi="Georgia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  <w:lang w:val="el-GR"/>
        </w:rPr>
        <w:t xml:space="preserve">αυτοκινήτων που ταξινομήθηκαν για πρώτη φορά στη Ρουμανία ήταν 316.332 μονάδες, </w:t>
      </w:r>
      <w:r>
        <w:rPr>
          <w:rStyle w:val="StrongEmphasis"/>
          <w:rFonts w:ascii="Georgia" w:hAnsi="Georgia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  <w:lang w:val="el-GR"/>
        </w:rPr>
        <w:t>έναντι των 395.759 μονάδων του 2021 (</w:t>
      </w:r>
      <w:r>
        <w:rPr>
          <w:rStyle w:val="StrongEmphasis"/>
          <w:rFonts w:ascii="Georgia" w:hAnsi="Georgia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  <w:lang w:val="el-GR"/>
        </w:rPr>
        <w:t>μειωμένος κατά 20%</w:t>
      </w:r>
      <w:r>
        <w:rPr>
          <w:rStyle w:val="StrongEmphasis"/>
          <w:rFonts w:ascii="Georgia" w:hAnsi="Georgia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  <w:lang w:val="el-GR"/>
        </w:rPr>
        <w:t xml:space="preserve">) και </w:t>
      </w:r>
      <w:r>
        <w:rPr>
          <w:rStyle w:val="StrongEmphasis"/>
          <w:rFonts w:ascii="Georgia" w:hAnsi="Georgia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  <w:lang w:val="el-GR"/>
        </w:rPr>
        <w:t xml:space="preserve"> 381.495 μονάδες το</w:t>
      </w:r>
      <w:r>
        <w:rPr>
          <w:rStyle w:val="StrongEmphasis"/>
          <w:rFonts w:ascii="Georgia" w:hAnsi="Georgia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  <w:lang w:val="el-GR"/>
        </w:rPr>
        <w:t>υ</w:t>
      </w:r>
      <w:r>
        <w:rPr>
          <w:rStyle w:val="StrongEmphasis"/>
          <w:rFonts w:ascii="Georgia" w:hAnsi="Georgia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  <w:lang w:val="el-GR"/>
        </w:rPr>
        <w:t xml:space="preserve"> 2020.</w:t>
      </w:r>
    </w:p>
    <w:p>
      <w:pPr>
        <w:pStyle w:val="Normal"/>
        <w:tabs>
          <w:tab w:val="clear" w:pos="720"/>
          <w:tab w:val="left" w:pos="975" w:leader="none"/>
        </w:tabs>
        <w:spacing w:lineRule="auto" w:line="276"/>
        <w:jc w:val="both"/>
        <w:rPr>
          <w:rStyle w:val="StrongEmphasis"/>
          <w:rFonts w:ascii="Georgia" w:hAnsi="Georg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  <w:lang w:val="el-GR"/>
        </w:rPr>
      </w:pPr>
      <w:r>
        <w:rPr/>
      </w:r>
    </w:p>
    <w:p>
      <w:pPr>
        <w:pStyle w:val="Normal"/>
        <w:tabs>
          <w:tab w:val="clear" w:pos="720"/>
          <w:tab w:val="left" w:pos="975" w:leader="none"/>
        </w:tabs>
        <w:spacing w:lineRule="auto" w:line="276"/>
        <w:jc w:val="both"/>
        <w:rPr/>
      </w:pPr>
      <w:r>
        <w:rPr>
          <w:rStyle w:val="StrongEmphasis"/>
          <w:rFonts w:ascii="Georgia" w:hAnsi="Georgia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  <w:lang w:val="el-GR"/>
        </w:rPr>
        <w:t xml:space="preserve"> </w:t>
      </w:r>
      <w:r>
        <w:rPr>
          <w:rStyle w:val="StrongEmphasis"/>
          <w:rFonts w:ascii="Georgia" w:hAnsi="Georgia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  <w:lang w:val="el-GR"/>
        </w:rPr>
        <w:t xml:space="preserve">Υπογραμμίζεται επίσης, ότι αν και δεν υπάρχουν λεπτομερή διαχρονικά στοιχεία, ο </w:t>
      </w:r>
      <w:r>
        <w:rPr>
          <w:rStyle w:val="StrongEmphasis"/>
          <w:rFonts w:ascii="Georgia" w:hAnsi="Georgia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  <w:lang w:val="el-GR"/>
        </w:rPr>
        <w:t xml:space="preserve">αριθμός των νέων υπερπολυτελών αυτοκινήτων </w:t>
      </w:r>
      <w:r>
        <w:rPr>
          <w:rStyle w:val="StrongEmphasis"/>
          <w:rFonts w:ascii="Georgia" w:hAnsi="Georgia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  <w:lang w:val="el-GR"/>
        </w:rPr>
        <w:t xml:space="preserve">που ταξινομούνται στην Ρουμανία, σημειώνει σημαντική αύξηση. Ενδεικτικά αναφέρεται ότι το Α’πεντάμηνο του 2021, ταξινομήθηκαν : </w:t>
      </w:r>
    </w:p>
    <w:p>
      <w:pPr>
        <w:pStyle w:val="Normal"/>
        <w:tabs>
          <w:tab w:val="clear" w:pos="720"/>
          <w:tab w:val="left" w:pos="975" w:leader="none"/>
        </w:tabs>
        <w:spacing w:lineRule="auto" w:line="276"/>
        <w:jc w:val="both"/>
        <w:rPr/>
      </w:pPr>
      <w:r>
        <w:rPr>
          <w:rStyle w:val="StrongEmphasis"/>
          <w:rFonts w:ascii="Georgia" w:hAnsi="Georgia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  <w:lang w:val="el-GR"/>
        </w:rPr>
        <w:t xml:space="preserve">10 </w:t>
      </w:r>
      <w:r>
        <w:rPr>
          <w:rStyle w:val="StrongEmphasis"/>
          <w:rFonts w:ascii="Georgia" w:hAnsi="Georgia"/>
          <w:b w:val="false"/>
          <w:bCs w:val="false"/>
          <w:i w:val="false"/>
          <w:caps w:val="false"/>
          <w:smallCaps w:val="false"/>
          <w:color w:val="202124"/>
          <w:spacing w:val="0"/>
          <w:sz w:val="22"/>
          <w:szCs w:val="22"/>
          <w:highlight w:val="white"/>
          <w:lang w:val="el-GR"/>
        </w:rPr>
        <w:t>Lamborghini</w:t>
      </w:r>
      <w:r>
        <w:rPr>
          <w:rStyle w:val="StrongEmphasis"/>
          <w:rFonts w:ascii="Georgia" w:hAnsi="Georgia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  <w:lang w:val="el-GR"/>
        </w:rPr>
        <w:t xml:space="preserve">, </w:t>
      </w:r>
      <w:r>
        <w:rPr>
          <w:rStyle w:val="StrongEmphasis"/>
          <w:rFonts w:ascii="Georgia" w:hAnsi="Georgia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  <w:lang w:val="el-GR"/>
        </w:rPr>
        <w:t xml:space="preserve">8 Ferrari, 7 Rolls-Royce, 7 Bentley, 5 Aston Martin και 4 Maserati, ενώ μόνο κατά το Α’ 15ημερο Δεκεμβρίου 2022, </w:t>
      </w:r>
      <w:r>
        <w:rPr>
          <w:rStyle w:val="StrongEmphasis"/>
          <w:rFonts w:ascii="Georgia" w:hAnsi="Georgia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  <w:lang w:val="el-GR"/>
        </w:rPr>
        <w:t xml:space="preserve">ταξινομήθηκαν : </w:t>
      </w:r>
      <w:r>
        <w:rPr>
          <w:rStyle w:val="StrongEmphasis"/>
          <w:rFonts w:ascii="Georgia" w:hAnsi="Georgia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  <w:lang w:val="el-GR"/>
        </w:rPr>
        <w:t>7 Porsche, 3 Maserati, 3</w:t>
      </w:r>
      <w:r>
        <w:rPr>
          <w:rStyle w:val="StrongEmphasis"/>
          <w:rFonts w:ascii="Georgia" w:hAnsi="Georgia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  <w:lang w:val="el-GR"/>
        </w:rPr>
        <w:t xml:space="preserve"> </w:t>
      </w:r>
      <w:r>
        <w:rPr>
          <w:rStyle w:val="StrongEmphasis"/>
          <w:rFonts w:ascii="Georgia" w:hAnsi="Georgia"/>
          <w:b w:val="false"/>
          <w:bCs w:val="false"/>
          <w:i w:val="false"/>
          <w:caps w:val="false"/>
          <w:smallCaps w:val="false"/>
          <w:color w:val="202124"/>
          <w:spacing w:val="0"/>
          <w:sz w:val="22"/>
          <w:szCs w:val="22"/>
          <w:highlight w:val="white"/>
          <w:lang w:val="el-GR"/>
        </w:rPr>
        <w:t xml:space="preserve">Lamborghini, </w:t>
      </w:r>
      <w:r>
        <w:rPr>
          <w:rStyle w:val="StrongEmphasis"/>
          <w:rFonts w:ascii="Georgia" w:hAnsi="Georgia"/>
          <w:b w:val="false"/>
          <w:bCs w:val="false"/>
          <w:i w:val="false"/>
          <w:caps w:val="false"/>
          <w:smallCaps w:val="false"/>
          <w:color w:val="202124"/>
          <w:spacing w:val="0"/>
          <w:sz w:val="22"/>
          <w:szCs w:val="22"/>
          <w:highlight w:val="white"/>
          <w:lang w:val="el-GR"/>
        </w:rPr>
        <w:t xml:space="preserve">2  </w:t>
      </w:r>
      <w:r>
        <w:rPr>
          <w:rStyle w:val="StrongEmphasis"/>
          <w:rFonts w:ascii="Georgia" w:hAnsi="Georgia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  <w:lang w:val="el-GR"/>
        </w:rPr>
        <w:t>Bentley και 1 Aston Martin.</w:t>
      </w:r>
    </w:p>
    <w:p>
      <w:pPr>
        <w:pStyle w:val="Normal"/>
        <w:tabs>
          <w:tab w:val="clear" w:pos="720"/>
          <w:tab w:val="left" w:pos="975" w:leader="none"/>
        </w:tabs>
        <w:spacing w:lineRule="auto" w:line="276"/>
        <w:jc w:val="both"/>
        <w:rPr>
          <w:rStyle w:val="StrongEmphasis"/>
          <w:rFonts w:ascii="Georgia" w:hAnsi="Georg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  <w:lang w:val="el-GR"/>
        </w:rPr>
      </w:pPr>
      <w:r>
        <w:rPr>
          <w:rFonts w:ascii="Georgia" w:hAnsi="Georgia"/>
          <w:sz w:val="22"/>
          <w:szCs w:val="22"/>
        </w:rPr>
      </w:r>
    </w:p>
    <w:p>
      <w:pPr>
        <w:pStyle w:val="Normal"/>
        <w:tabs>
          <w:tab w:val="clear" w:pos="720"/>
          <w:tab w:val="left" w:pos="975" w:leader="none"/>
        </w:tabs>
        <w:spacing w:lineRule="auto" w:line="276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</w:r>
    </w:p>
    <w:tbl>
      <w:tblPr>
        <w:tblW w:w="3600" w:type="dxa"/>
        <w:jc w:val="left"/>
        <w:tblInd w:w="550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</w:tblGrid>
      <w:tr>
        <w:trPr/>
        <w:tc>
          <w:tcPr>
            <w:tcW w:w="3600" w:type="dxa"/>
            <w:tcBorders/>
          </w:tcPr>
          <w:p>
            <w:pPr>
              <w:pStyle w:val="Normal"/>
              <w:spacing w:lineRule="auto" w:line="276"/>
              <w:jc w:val="center"/>
              <w:rPr>
                <w:rFonts w:ascii="Georgia" w:hAnsi="Georgia"/>
                <w:sz w:val="22"/>
                <w:szCs w:val="22"/>
                <w:lang w:val="el-GR"/>
              </w:rPr>
            </w:pPr>
            <w:r>
              <w:rPr>
                <w:rFonts w:ascii="Georgia" w:hAnsi="Georgia"/>
                <w:sz w:val="22"/>
                <w:szCs w:val="22"/>
                <w:lang w:val="el-GR"/>
              </w:rPr>
              <w:t>Ο Δ/νων</w:t>
            </w:r>
          </w:p>
          <w:p>
            <w:pPr>
              <w:pStyle w:val="Normal"/>
              <w:spacing w:lineRule="auto" w:line="276"/>
              <w:rPr>
                <w:rFonts w:ascii="Georgia" w:hAnsi="Georgia"/>
                <w:sz w:val="22"/>
                <w:szCs w:val="22"/>
                <w:lang w:val="el-GR"/>
              </w:rPr>
            </w:pPr>
            <w:r>
              <w:rPr>
                <w:rFonts w:ascii="Georgia" w:hAnsi="Georgia"/>
                <w:sz w:val="22"/>
                <w:szCs w:val="22"/>
                <w:lang w:val="el-GR"/>
              </w:rPr>
            </w:r>
          </w:p>
        </w:tc>
      </w:tr>
      <w:tr>
        <w:trPr/>
        <w:tc>
          <w:tcPr>
            <w:tcW w:w="3600" w:type="dxa"/>
            <w:tcBorders/>
          </w:tcPr>
          <w:p>
            <w:pPr>
              <w:pStyle w:val="Normal"/>
              <w:spacing w:lineRule="auto" w:line="276"/>
              <w:jc w:val="center"/>
              <w:rPr>
                <w:rFonts w:ascii="Georgia" w:hAnsi="Georgia"/>
                <w:sz w:val="22"/>
                <w:szCs w:val="22"/>
                <w:lang w:val="el-GR"/>
              </w:rPr>
            </w:pPr>
            <w:r>
              <w:rPr>
                <w:rFonts w:ascii="Georgia" w:hAnsi="Georgia"/>
                <w:sz w:val="22"/>
                <w:szCs w:val="22"/>
                <w:lang w:val="el-GR"/>
              </w:rPr>
              <w:t xml:space="preserve">  </w:t>
            </w:r>
            <w:r>
              <w:rPr>
                <w:rFonts w:ascii="Georgia" w:hAnsi="Georgia"/>
                <w:sz w:val="22"/>
                <w:szCs w:val="22"/>
                <w:lang w:val="el-GR"/>
              </w:rPr>
              <w:t>Παντελής Γιαννούλης</w:t>
            </w:r>
          </w:p>
        </w:tc>
      </w:tr>
      <w:tr>
        <w:trPr/>
        <w:tc>
          <w:tcPr>
            <w:tcW w:w="3600" w:type="dxa"/>
            <w:tcBorders/>
          </w:tcPr>
          <w:p>
            <w:pPr>
              <w:pStyle w:val="Normal"/>
              <w:spacing w:lineRule="auto" w:line="276"/>
              <w:jc w:val="center"/>
              <w:rPr>
                <w:rFonts w:ascii="Georgia" w:hAnsi="Georgia"/>
                <w:sz w:val="22"/>
                <w:szCs w:val="22"/>
                <w:lang w:val="el-GR"/>
              </w:rPr>
            </w:pPr>
            <w:r>
              <w:rPr>
                <w:rFonts w:ascii="Georgia" w:hAnsi="Georgia"/>
                <w:sz w:val="22"/>
                <w:szCs w:val="22"/>
                <w:lang w:val="el-GR"/>
              </w:rPr>
              <w:t xml:space="preserve">  </w:t>
            </w:r>
            <w:r>
              <w:rPr>
                <w:rFonts w:ascii="Georgia" w:hAnsi="Georgia"/>
                <w:sz w:val="22"/>
                <w:szCs w:val="22"/>
                <w:lang w:val="el-GR"/>
              </w:rPr>
              <w:t>Σύμβουλος ΟΕΥ Α΄</w:t>
            </w:r>
          </w:p>
        </w:tc>
      </w:tr>
    </w:tbl>
    <w:p>
      <w:pPr>
        <w:pStyle w:val="Normal"/>
        <w:spacing w:lineRule="auto" w:line="276"/>
        <w:rPr/>
      </w:pPr>
      <w:r>
        <w:rPr/>
      </w:r>
    </w:p>
    <w:sectPr>
      <w:footerReference w:type="default" r:id="rId3"/>
      <w:type w:val="nextPage"/>
      <w:pgSz w:w="11906" w:h="16838"/>
      <w:pgMar w:left="1260" w:right="1106" w:header="0" w:top="540" w:footer="720" w:bottom="108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>
        <w:color w:val="A6A6A6"/>
      </w:rPr>
    </w:pPr>
    <w:r>
      <w:rPr>
        <w:color w:val="A6A6A6"/>
      </w:rPr>
    </w:r>
  </w:p>
  <w:p>
    <w:pPr>
      <w:pStyle w:val="Footer"/>
      <w:jc w:val="center"/>
      <w:rPr>
        <w:i/>
        <w:i/>
        <w:color w:val="A6A6A6"/>
        <w:sz w:val="20"/>
        <w:szCs w:val="20"/>
      </w:rPr>
    </w:pPr>
    <w:r>
      <w:rPr>
        <w:i/>
        <w:color w:val="A6A6A6"/>
        <w:sz w:val="20"/>
        <w:szCs w:val="20"/>
      </w:rPr>
      <w:t>PacheProtopopescu 1-3, Sector 2, Bucharest</w:t>
    </w:r>
  </w:p>
  <w:p>
    <w:pPr>
      <w:pStyle w:val="Footer"/>
      <w:jc w:val="center"/>
      <w:rPr/>
    </w:pPr>
    <w:r>
      <w:rPr>
        <w:i/>
        <w:color w:val="A6A6A6"/>
        <w:sz w:val="20"/>
        <w:szCs w:val="20"/>
        <w:lang w:val="el-GR"/>
      </w:rPr>
      <w:t>Τηλ</w:t>
    </w:r>
    <w:r>
      <w:rPr>
        <w:i/>
        <w:color w:val="A6A6A6"/>
        <w:sz w:val="20"/>
        <w:szCs w:val="20"/>
      </w:rPr>
      <w:t>.</w:t>
    </w:r>
    <w:r>
      <w:rPr>
        <w:i/>
        <w:color w:val="A6A6A6"/>
        <w:sz w:val="20"/>
        <w:szCs w:val="20"/>
        <w:lang w:val="it-IT"/>
      </w:rPr>
      <w:t>: +40-21-2100748,2115724, Fax: +40-21-2119893</w:t>
    </w:r>
  </w:p>
  <w:p>
    <w:pPr>
      <w:pStyle w:val="Footer"/>
      <w:jc w:val="center"/>
      <w:rPr/>
    </w:pPr>
    <w:r>
      <w:rPr>
        <w:i/>
        <w:color w:val="A6A6A6"/>
        <w:sz w:val="20"/>
        <w:szCs w:val="20"/>
        <w:lang w:val="it-IT"/>
      </w:rPr>
      <w:t xml:space="preserve">e-mail: </w:t>
    </w:r>
    <w:hyperlink r:id="rId1">
      <w:r>
        <w:rPr>
          <w:rStyle w:val="InternetLink"/>
          <w:i/>
          <w:color w:val="0000FF"/>
          <w:sz w:val="20"/>
          <w:szCs w:val="20"/>
          <w:lang w:val="it-IT"/>
        </w:rPr>
        <w:t>ecocom-bucharest@mfa.gr</w:t>
      </w:r>
    </w:hyperlink>
    <w:r>
      <w:rPr>
        <w:i/>
        <w:color w:val="A6A6A6"/>
        <w:sz w:val="20"/>
        <w:szCs w:val="20"/>
      </w:rPr>
      <w:t xml:space="preserve"> Web: </w:t>
    </w:r>
    <w:hyperlink r:id="rId2">
      <w:r>
        <w:rPr>
          <w:rStyle w:val="InternetLink"/>
          <w:i/>
          <w:color w:val="0000FF"/>
          <w:sz w:val="20"/>
          <w:szCs w:val="20"/>
        </w:rPr>
        <w:t>www.agora.mfa.gr</w:t>
      </w:r>
    </w:hyperlink>
  </w:p>
  <w:p>
    <w:pPr>
      <w:pStyle w:val="Footer"/>
      <w:jc w:val="center"/>
      <w:rPr>
        <w:i/>
        <w:i/>
        <w:sz w:val="20"/>
        <w:szCs w:val="20"/>
        <w:lang w:val="en-GB"/>
      </w:rPr>
    </w:pPr>
    <w:r>
      <w:rPr>
        <w:i/>
        <w:sz w:val="20"/>
        <w:szCs w:val="20"/>
        <w:lang w:val="en-GB"/>
      </w:rPr>
    </w:r>
  </w:p>
  <w:p>
    <w:pPr>
      <w:pStyle w:val="Footer"/>
      <w:jc w:val="center"/>
      <w:rPr>
        <w:lang w:val="en-GB"/>
      </w:rPr>
    </w:pPr>
    <w:r>
      <w:rPr>
        <w:lang w:val="en-GB"/>
      </w:rPr>
    </w:r>
  </w:p>
</w:ftr>
</file>

<file path=word/settings.xml><?xml version="1.0" encoding="utf-8"?>
<w:settings xmlns:w="http://schemas.openxmlformats.org/wordprocessingml/2006/main">
  <w:zoom w:percent="196"/>
  <w:embedSystemFonts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0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200" w:after="0"/>
      <w:outlineLvl w:val="1"/>
    </w:pPr>
    <w:rPr>
      <w:rFonts w:ascii="Cambria" w:hAnsi="Cambria" w:eastAsia="Times New Roman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200" w:after="0"/>
      <w:outlineLvl w:val="2"/>
    </w:pPr>
    <w:rPr>
      <w:rFonts w:ascii="Cambria" w:hAnsi="Cambria" w:eastAsia="Times New Roman" w:cs="Times New Roman"/>
      <w:b/>
      <w:bCs/>
      <w:color w:val="4F81BD"/>
    </w:rPr>
  </w:style>
  <w:style w:type="character" w:styleId="DefaultParagraphFont">
    <w:name w:val="Default Paragraph Font"/>
    <w:qFormat/>
    <w:rPr/>
  </w:style>
  <w:style w:type="character" w:styleId="Heading1Char">
    <w:name w:val="Heading 1 Char"/>
    <w:basedOn w:val="DefaultParagraphFont"/>
    <w:qFormat/>
    <w:rPr>
      <w:rFonts w:ascii="Arial" w:hAnsi="Arial" w:cs="Arial"/>
      <w:b/>
      <w:bCs/>
      <w:kern w:val="2"/>
      <w:sz w:val="32"/>
      <w:szCs w:val="32"/>
      <w:lang w:val="en-US" w:eastAsia="en-US" w:bidi="ar-SA"/>
    </w:rPr>
  </w:style>
  <w:style w:type="character" w:styleId="InternetLink">
    <w:name w:val="Hyperlink"/>
    <w:basedOn w:val="DefaultParagraphFont"/>
    <w:rPr>
      <w:rFonts w:cs="Times New Roman"/>
      <w:color w:val="0000FF"/>
      <w:u w:val="none"/>
      <w:effect w:val="none"/>
    </w:rPr>
  </w:style>
  <w:style w:type="character" w:styleId="BalloonTextChar">
    <w:name w:val="Balloon Text Char"/>
    <w:basedOn w:val="DefaultParagraphFont"/>
    <w:qFormat/>
    <w:rPr>
      <w:rFonts w:cs="Times New Roman"/>
      <w:sz w:val="2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St">
    <w:name w:val="st"/>
    <w:basedOn w:val="DefaultParagraphFont"/>
    <w:qFormat/>
    <w:rPr/>
  </w:style>
  <w:style w:type="character" w:styleId="FooterChar">
    <w:name w:val="Footer Char"/>
    <w:basedOn w:val="DefaultParagraphFont"/>
    <w:qFormat/>
    <w:rPr>
      <w:sz w:val="24"/>
      <w:szCs w:val="24"/>
    </w:rPr>
  </w:style>
  <w:style w:type="character" w:styleId="Char">
    <w:name w:val="Υποσέλιδο Char"/>
    <w:basedOn w:val="DefaultParagraphFont"/>
    <w:qFormat/>
    <w:rPr>
      <w:sz w:val="24"/>
      <w:szCs w:val="24"/>
    </w:rPr>
  </w:style>
  <w:style w:type="character" w:styleId="Heading2Char">
    <w:name w:val="Heading 2 Char"/>
    <w:basedOn w:val="DefaultParagraphFont"/>
    <w:qFormat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Heading3Char">
    <w:name w:val="Heading 3 Char"/>
    <w:basedOn w:val="DefaultParagraphFont"/>
    <w:qFormat/>
    <w:rPr>
      <w:rFonts w:ascii="Cambria" w:hAnsi="Cambria" w:eastAsia="Times New Roman" w:cs="Times New Roman"/>
      <w:b/>
      <w:bCs/>
      <w:color w:val="4F81BD"/>
      <w:sz w:val="24"/>
      <w:szCs w:val="24"/>
    </w:rPr>
  </w:style>
  <w:style w:type="character" w:styleId="Strong">
    <w:name w:val="Strong"/>
    <w:basedOn w:val="DefaultParagraphFont"/>
    <w:qFormat/>
    <w:rPr>
      <w:b/>
      <w:bCs/>
    </w:rPr>
  </w:style>
  <w:style w:type="character" w:styleId="Muted">
    <w:name w:val="muted"/>
    <w:basedOn w:val="DefaultParagraphFont"/>
    <w:qFormat/>
    <w:rPr/>
  </w:style>
  <w:style w:type="character" w:styleId="HTMLChar">
    <w:name w:val="Προ-διαμορφωμένο HTML Char"/>
    <w:basedOn w:val="DefaultParagraphFont"/>
    <w:qFormat/>
    <w:rPr>
      <w:rFonts w:ascii="Courier New" w:hAnsi="Courier New" w:cs="Courier New"/>
      <w:sz w:val="20"/>
      <w:szCs w:val="20"/>
      <w:lang w:val="en-GB" w:eastAsia="en-GB"/>
    </w:rPr>
  </w:style>
  <w:style w:type="character" w:styleId="StrongEmphasis">
    <w:name w:val="Strong Emphasis"/>
    <w:qFormat/>
    <w:rPr>
      <w:b/>
      <w:bCs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HTMLPreformatted">
    <w:name w:val="HTML Preformatted"/>
    <w:basedOn w:val="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  <w:lang w:val="en-GB" w:eastAsia="en-GB"/>
    </w:rPr>
  </w:style>
  <w:style w:type="paragraph" w:styleId="TableContents">
    <w:name w:val="Table Contents"/>
    <w:basedOn w:val="Normal"/>
    <w:qFormat/>
    <w:pPr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ecocom-bucharest@mfa.gr" TargetMode="External"/><Relationship Id="rId2" Type="http://schemas.openxmlformats.org/officeDocument/2006/relationships/hyperlink" Target="http://www.agora.mfa.gr/romania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Application>LibreOffice/6.4.7.2$Linux_X86_64 LibreOffice_project/40$Build-2</Application>
  <Pages>2</Pages>
  <Words>415</Words>
  <Characters>2506</Characters>
  <CharactersWithSpaces>2924</CharactersWithSpaces>
  <Paragraphs>34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2021-11-04T13:00:00Z</dcterms:created>
  <dc:creator>dimitra.schina</dc:creator>
  <dc:description/>
  <dc:language>en-US</dc:language>
  <cp:lastModifiedBy/>
  <cp:lastPrinted>2023-01-17T12:16:54Z</cp:lastPrinted>
  <dcterms:modified xsi:type="dcterms:W3CDTF">2023-01-17T12:28:05Z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