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5B49692D" w:rsidR="004E663D" w:rsidRPr="00D35058" w:rsidRDefault="00AD6F5C"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Απρίλιος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w:t>
      </w:r>
      <w:r w:rsidR="007E35F2">
        <w:rPr>
          <w:rFonts w:ascii="Times New Roman" w:hAnsi="Times New Roman" w:cs="Times New Roman"/>
          <w:b/>
          <w:sz w:val="32"/>
          <w:szCs w:val="32"/>
        </w:rPr>
        <w:t>3</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afd"/>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6E1A0441" w14:textId="393F751D" w:rsidR="00725F76" w:rsidRDefault="008D455D">
          <w:pPr>
            <w:pStyle w:val="16"/>
            <w:rPr>
              <w:rFonts w:asciiTheme="minorHAnsi" w:eastAsiaTheme="minorEastAsia" w:hAnsiTheme="minorHAnsi" w:cstheme="minorBidi"/>
              <w:b w:val="0"/>
              <w:bCs w:val="0"/>
              <w:kern w:val="2"/>
              <w:lang w:eastAsia="el-GR"/>
              <w14:ligatures w14:val="standardContextual"/>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34449081" w:history="1">
            <w:r w:rsidR="00725F76" w:rsidRPr="00A979CE">
              <w:rPr>
                <w:rStyle w:val="-"/>
              </w:rPr>
              <w:t>1.</w:t>
            </w:r>
            <w:r w:rsidR="00725F76">
              <w:rPr>
                <w:rFonts w:asciiTheme="minorHAnsi" w:eastAsiaTheme="minorEastAsia" w:hAnsiTheme="minorHAnsi" w:cstheme="minorBidi"/>
                <w:b w:val="0"/>
                <w:bCs w:val="0"/>
                <w:kern w:val="2"/>
                <w:lang w:eastAsia="el-GR"/>
                <w14:ligatures w14:val="standardContextual"/>
              </w:rPr>
              <w:tab/>
            </w:r>
            <w:r w:rsidR="00725F76" w:rsidRPr="00A979CE">
              <w:rPr>
                <w:rStyle w:val="-"/>
              </w:rPr>
              <w:t>ΘΕΜΑΤΑ ΑΝΑΠΤΥΞΙΑΚΩΝ – ΧΡΗΜΑΤΟΔΟΤΙΚΩΝ ΠΡΟΓΡΑΜΜΑΤΩΝ</w:t>
            </w:r>
            <w:r w:rsidR="00725F76">
              <w:rPr>
                <w:webHidden/>
              </w:rPr>
              <w:tab/>
            </w:r>
            <w:r w:rsidR="00725F76">
              <w:rPr>
                <w:webHidden/>
              </w:rPr>
              <w:fldChar w:fldCharType="begin"/>
            </w:r>
            <w:r w:rsidR="00725F76">
              <w:rPr>
                <w:webHidden/>
              </w:rPr>
              <w:instrText xml:space="preserve"> PAGEREF _Toc134449081 \h </w:instrText>
            </w:r>
            <w:r w:rsidR="00725F76">
              <w:rPr>
                <w:webHidden/>
              </w:rPr>
            </w:r>
            <w:r w:rsidR="00725F76">
              <w:rPr>
                <w:webHidden/>
              </w:rPr>
              <w:fldChar w:fldCharType="separate"/>
            </w:r>
            <w:r w:rsidR="00D21022">
              <w:rPr>
                <w:webHidden/>
              </w:rPr>
              <w:t>3</w:t>
            </w:r>
            <w:r w:rsidR="00725F76">
              <w:rPr>
                <w:webHidden/>
              </w:rPr>
              <w:fldChar w:fldCharType="end"/>
            </w:r>
          </w:hyperlink>
        </w:p>
        <w:p w14:paraId="772231F6" w14:textId="76CA2024"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82" w:history="1">
            <w:r w:rsidR="00725F76" w:rsidRPr="00A979CE">
              <w:rPr>
                <w:rStyle w:val="-"/>
                <w:rFonts w:ascii="Times New Roman" w:hAnsi="Times New Roman" w:cs="Times New Roman"/>
                <w:b/>
              </w:rPr>
              <w:t>Α. IPA ADRION – 1η Πρόσκληση υποβολής προτάσεων</w:t>
            </w:r>
            <w:r w:rsidR="00725F76">
              <w:rPr>
                <w:webHidden/>
              </w:rPr>
              <w:tab/>
            </w:r>
            <w:r w:rsidR="00725F76">
              <w:rPr>
                <w:webHidden/>
              </w:rPr>
              <w:fldChar w:fldCharType="begin"/>
            </w:r>
            <w:r w:rsidR="00725F76">
              <w:rPr>
                <w:webHidden/>
              </w:rPr>
              <w:instrText xml:space="preserve"> PAGEREF _Toc134449082 \h </w:instrText>
            </w:r>
            <w:r w:rsidR="00725F76">
              <w:rPr>
                <w:webHidden/>
              </w:rPr>
            </w:r>
            <w:r w:rsidR="00725F76">
              <w:rPr>
                <w:webHidden/>
              </w:rPr>
              <w:fldChar w:fldCharType="separate"/>
            </w:r>
            <w:r w:rsidR="00D21022">
              <w:rPr>
                <w:webHidden/>
              </w:rPr>
              <w:t>3</w:t>
            </w:r>
            <w:r w:rsidR="00725F76">
              <w:rPr>
                <w:webHidden/>
              </w:rPr>
              <w:fldChar w:fldCharType="end"/>
            </w:r>
          </w:hyperlink>
        </w:p>
        <w:p w14:paraId="75E3B069" w14:textId="1A7609D3"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83" w:history="1">
            <w:r w:rsidR="00725F76" w:rsidRPr="00A979CE">
              <w:rPr>
                <w:rStyle w:val="-"/>
                <w:rFonts w:ascii="Times New Roman" w:hAnsi="Times New Roman" w:cs="Times New Roman"/>
                <w:b/>
              </w:rPr>
              <w:t>Β. Καινοτομία και Πράσινη Μετάβαση στη Μεταποίηση Αγροτικών Προϊόντων 2ος Κύκλος Υποβολών</w:t>
            </w:r>
            <w:r w:rsidR="00725F76">
              <w:rPr>
                <w:webHidden/>
              </w:rPr>
              <w:tab/>
            </w:r>
            <w:r w:rsidR="00725F76">
              <w:rPr>
                <w:webHidden/>
              </w:rPr>
              <w:fldChar w:fldCharType="begin"/>
            </w:r>
            <w:r w:rsidR="00725F76">
              <w:rPr>
                <w:webHidden/>
              </w:rPr>
              <w:instrText xml:space="preserve"> PAGEREF _Toc134449083 \h </w:instrText>
            </w:r>
            <w:r w:rsidR="00725F76">
              <w:rPr>
                <w:webHidden/>
              </w:rPr>
            </w:r>
            <w:r w:rsidR="00725F76">
              <w:rPr>
                <w:webHidden/>
              </w:rPr>
              <w:fldChar w:fldCharType="separate"/>
            </w:r>
            <w:r w:rsidR="00D21022">
              <w:rPr>
                <w:webHidden/>
              </w:rPr>
              <w:t>5</w:t>
            </w:r>
            <w:r w:rsidR="00725F76">
              <w:rPr>
                <w:webHidden/>
              </w:rPr>
              <w:fldChar w:fldCharType="end"/>
            </w:r>
          </w:hyperlink>
        </w:p>
        <w:p w14:paraId="3AF3AAB3" w14:textId="0A4EF001" w:rsidR="00725F76" w:rsidRDefault="00492458">
          <w:pPr>
            <w:pStyle w:val="16"/>
            <w:rPr>
              <w:rFonts w:asciiTheme="minorHAnsi" w:eastAsiaTheme="minorEastAsia" w:hAnsiTheme="minorHAnsi" w:cstheme="minorBidi"/>
              <w:b w:val="0"/>
              <w:bCs w:val="0"/>
              <w:kern w:val="2"/>
              <w:lang w:eastAsia="el-GR"/>
              <w14:ligatures w14:val="standardContextual"/>
            </w:rPr>
          </w:pPr>
          <w:hyperlink w:anchor="_Toc134449084" w:history="1">
            <w:r w:rsidR="00725F76" w:rsidRPr="00A979CE">
              <w:rPr>
                <w:rStyle w:val="-"/>
              </w:rPr>
              <w:t>2.</w:t>
            </w:r>
            <w:r w:rsidR="00725F76">
              <w:rPr>
                <w:rFonts w:asciiTheme="minorHAnsi" w:eastAsiaTheme="minorEastAsia" w:hAnsiTheme="minorHAnsi" w:cstheme="minorBidi"/>
                <w:b w:val="0"/>
                <w:bCs w:val="0"/>
                <w:kern w:val="2"/>
                <w:lang w:eastAsia="el-GR"/>
                <w14:ligatures w14:val="standardContextual"/>
              </w:rPr>
              <w:tab/>
            </w:r>
            <w:r w:rsidR="00725F76" w:rsidRPr="00A979CE">
              <w:rPr>
                <w:rStyle w:val="-"/>
              </w:rPr>
              <w:t>ΘΕΜΑΤΑ ΔΙΟΙΚΗΣΗΣ, ΟΡΓΑΝΩΣΗΣ ΚΑΙ ΑΝΑΠΤΥΞΗΣ ΕΠΙΧΕΙΡΗΣΕΩΝ ΚΑΙ ΦΟΡΕΩΝ, ΕΣΩΤΕΡΙΚΟΣ ΕΛΕΓΧΟΣ ΣΕ ΙΔΙΩΤΙΚΟ ΚΑΙ ΔΗΜΟΣΙΟ ΤΟΜΕΑ</w:t>
            </w:r>
            <w:r w:rsidR="00725F76">
              <w:rPr>
                <w:webHidden/>
              </w:rPr>
              <w:tab/>
            </w:r>
            <w:r w:rsidR="00725F76">
              <w:rPr>
                <w:webHidden/>
              </w:rPr>
              <w:fldChar w:fldCharType="begin"/>
            </w:r>
            <w:r w:rsidR="00725F76">
              <w:rPr>
                <w:webHidden/>
              </w:rPr>
              <w:instrText xml:space="preserve"> PAGEREF _Toc134449084 \h </w:instrText>
            </w:r>
            <w:r w:rsidR="00725F76">
              <w:rPr>
                <w:webHidden/>
              </w:rPr>
            </w:r>
            <w:r w:rsidR="00725F76">
              <w:rPr>
                <w:webHidden/>
              </w:rPr>
              <w:fldChar w:fldCharType="separate"/>
            </w:r>
            <w:r w:rsidR="00D21022">
              <w:rPr>
                <w:webHidden/>
              </w:rPr>
              <w:t>10</w:t>
            </w:r>
            <w:r w:rsidR="00725F76">
              <w:rPr>
                <w:webHidden/>
              </w:rPr>
              <w:fldChar w:fldCharType="end"/>
            </w:r>
          </w:hyperlink>
        </w:p>
        <w:p w14:paraId="30E866ED" w14:textId="678D87A8"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85" w:history="1">
            <w:r w:rsidR="00725F76" w:rsidRPr="00A979CE">
              <w:rPr>
                <w:rStyle w:val="-"/>
                <w:rFonts w:ascii="Times New Roman" w:hAnsi="Times New Roman" w:cs="Times New Roman"/>
                <w:b/>
              </w:rPr>
              <w:t>Α. Οι εξελίξεις στον Κυβερνοχώρο και η αναγκαιότητα της εφαρμογής του Εσωτερικού Ελέγχου στους Δημόσιους Οργανισμούς</w:t>
            </w:r>
            <w:r w:rsidR="00725F76">
              <w:rPr>
                <w:webHidden/>
              </w:rPr>
              <w:tab/>
            </w:r>
            <w:r w:rsidR="00725F76">
              <w:rPr>
                <w:webHidden/>
              </w:rPr>
              <w:fldChar w:fldCharType="begin"/>
            </w:r>
            <w:r w:rsidR="00725F76">
              <w:rPr>
                <w:webHidden/>
              </w:rPr>
              <w:instrText xml:space="preserve"> PAGEREF _Toc134449085 \h </w:instrText>
            </w:r>
            <w:r w:rsidR="00725F76">
              <w:rPr>
                <w:webHidden/>
              </w:rPr>
            </w:r>
            <w:r w:rsidR="00725F76">
              <w:rPr>
                <w:webHidden/>
              </w:rPr>
              <w:fldChar w:fldCharType="separate"/>
            </w:r>
            <w:r w:rsidR="00D21022">
              <w:rPr>
                <w:webHidden/>
              </w:rPr>
              <w:t>10</w:t>
            </w:r>
            <w:r w:rsidR="00725F76">
              <w:rPr>
                <w:webHidden/>
              </w:rPr>
              <w:fldChar w:fldCharType="end"/>
            </w:r>
          </w:hyperlink>
        </w:p>
        <w:p w14:paraId="5EC15A07" w14:textId="2E8E26E4" w:rsidR="00725F76" w:rsidRDefault="00492458">
          <w:pPr>
            <w:pStyle w:val="16"/>
            <w:rPr>
              <w:rFonts w:asciiTheme="minorHAnsi" w:eastAsiaTheme="minorEastAsia" w:hAnsiTheme="minorHAnsi" w:cstheme="minorBidi"/>
              <w:b w:val="0"/>
              <w:bCs w:val="0"/>
              <w:kern w:val="2"/>
              <w:lang w:eastAsia="el-GR"/>
              <w14:ligatures w14:val="standardContextual"/>
            </w:rPr>
          </w:pPr>
          <w:hyperlink w:anchor="_Toc134449086" w:history="1">
            <w:r w:rsidR="00725F76" w:rsidRPr="00A979CE">
              <w:rPr>
                <w:rStyle w:val="-"/>
              </w:rPr>
              <w:t>3.</w:t>
            </w:r>
            <w:r w:rsidR="00725F76">
              <w:rPr>
                <w:rFonts w:asciiTheme="minorHAnsi" w:eastAsiaTheme="minorEastAsia" w:hAnsiTheme="minorHAnsi" w:cstheme="minorBidi"/>
                <w:b w:val="0"/>
                <w:bCs w:val="0"/>
                <w:kern w:val="2"/>
                <w:lang w:eastAsia="el-GR"/>
                <w14:ligatures w14:val="standardContextual"/>
              </w:rPr>
              <w:tab/>
            </w:r>
            <w:r w:rsidR="00725F76" w:rsidRPr="00A979CE">
              <w:rPr>
                <w:rStyle w:val="-"/>
              </w:rPr>
              <w:t>ΘΕΜΑΤΑ ΧΩΡΟΤΑΞΙΑΣ /ΠΟΛΕΟΔΟΜΙΚΑ ΘΕΜΑΤΑ</w:t>
            </w:r>
            <w:r w:rsidR="00725F76">
              <w:rPr>
                <w:webHidden/>
              </w:rPr>
              <w:tab/>
            </w:r>
            <w:r w:rsidR="00725F76">
              <w:rPr>
                <w:webHidden/>
              </w:rPr>
              <w:fldChar w:fldCharType="begin"/>
            </w:r>
            <w:r w:rsidR="00725F76">
              <w:rPr>
                <w:webHidden/>
              </w:rPr>
              <w:instrText xml:space="preserve"> PAGEREF _Toc134449086 \h </w:instrText>
            </w:r>
            <w:r w:rsidR="00725F76">
              <w:rPr>
                <w:webHidden/>
              </w:rPr>
            </w:r>
            <w:r w:rsidR="00725F76">
              <w:rPr>
                <w:webHidden/>
              </w:rPr>
              <w:fldChar w:fldCharType="separate"/>
            </w:r>
            <w:r w:rsidR="00D21022">
              <w:rPr>
                <w:webHidden/>
              </w:rPr>
              <w:t>13</w:t>
            </w:r>
            <w:r w:rsidR="00725F76">
              <w:rPr>
                <w:webHidden/>
              </w:rPr>
              <w:fldChar w:fldCharType="end"/>
            </w:r>
          </w:hyperlink>
        </w:p>
        <w:p w14:paraId="3AA7A6C5" w14:textId="4D978EEE"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87" w:history="1">
            <w:r w:rsidR="00725F76" w:rsidRPr="00A979CE">
              <w:rPr>
                <w:rStyle w:val="-"/>
                <w:rFonts w:ascii="Times New Roman" w:hAnsi="Times New Roman" w:cs="Times New Roman"/>
                <w:b/>
              </w:rPr>
              <w:t>Α.  ΑΜΕΑ - Παράταση Υποχρέωσης Προσβασιμότητας έως 31/03/2024</w:t>
            </w:r>
            <w:r w:rsidR="00725F76">
              <w:rPr>
                <w:webHidden/>
              </w:rPr>
              <w:tab/>
            </w:r>
            <w:r w:rsidR="00725F76">
              <w:rPr>
                <w:webHidden/>
              </w:rPr>
              <w:fldChar w:fldCharType="begin"/>
            </w:r>
            <w:r w:rsidR="00725F76">
              <w:rPr>
                <w:webHidden/>
              </w:rPr>
              <w:instrText xml:space="preserve"> PAGEREF _Toc134449087 \h </w:instrText>
            </w:r>
            <w:r w:rsidR="00725F76">
              <w:rPr>
                <w:webHidden/>
              </w:rPr>
            </w:r>
            <w:r w:rsidR="00725F76">
              <w:rPr>
                <w:webHidden/>
              </w:rPr>
              <w:fldChar w:fldCharType="separate"/>
            </w:r>
            <w:r w:rsidR="00D21022">
              <w:rPr>
                <w:webHidden/>
              </w:rPr>
              <w:t>13</w:t>
            </w:r>
            <w:r w:rsidR="00725F76">
              <w:rPr>
                <w:webHidden/>
              </w:rPr>
              <w:fldChar w:fldCharType="end"/>
            </w:r>
          </w:hyperlink>
        </w:p>
        <w:p w14:paraId="4CB5A071" w14:textId="786BD646"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88" w:history="1">
            <w:r w:rsidR="00725F76" w:rsidRPr="00A979CE">
              <w:rPr>
                <w:rStyle w:val="-"/>
                <w:rFonts w:ascii="Times New Roman" w:hAnsi="Times New Roman" w:cs="Times New Roman"/>
                <w:b/>
              </w:rPr>
              <w:t>Β.  Προσδιορισμός και διαδικασία κοινόχρηστων οδών</w:t>
            </w:r>
            <w:r w:rsidR="00725F76">
              <w:rPr>
                <w:webHidden/>
              </w:rPr>
              <w:tab/>
            </w:r>
            <w:r w:rsidR="00725F76">
              <w:rPr>
                <w:webHidden/>
              </w:rPr>
              <w:fldChar w:fldCharType="begin"/>
            </w:r>
            <w:r w:rsidR="00725F76">
              <w:rPr>
                <w:webHidden/>
              </w:rPr>
              <w:instrText xml:space="preserve"> PAGEREF _Toc134449088 \h </w:instrText>
            </w:r>
            <w:r w:rsidR="00725F76">
              <w:rPr>
                <w:webHidden/>
              </w:rPr>
            </w:r>
            <w:r w:rsidR="00725F76">
              <w:rPr>
                <w:webHidden/>
              </w:rPr>
              <w:fldChar w:fldCharType="separate"/>
            </w:r>
            <w:r w:rsidR="00D21022">
              <w:rPr>
                <w:webHidden/>
              </w:rPr>
              <w:t>14</w:t>
            </w:r>
            <w:r w:rsidR="00725F76">
              <w:rPr>
                <w:webHidden/>
              </w:rPr>
              <w:fldChar w:fldCharType="end"/>
            </w:r>
          </w:hyperlink>
        </w:p>
        <w:p w14:paraId="6ED8F6D3" w14:textId="598BF47A" w:rsidR="00725F76" w:rsidRDefault="00492458">
          <w:pPr>
            <w:pStyle w:val="16"/>
            <w:rPr>
              <w:rFonts w:asciiTheme="minorHAnsi" w:eastAsiaTheme="minorEastAsia" w:hAnsiTheme="minorHAnsi" w:cstheme="minorBidi"/>
              <w:b w:val="0"/>
              <w:bCs w:val="0"/>
              <w:kern w:val="2"/>
              <w:lang w:eastAsia="el-GR"/>
              <w14:ligatures w14:val="standardContextual"/>
            </w:rPr>
          </w:pPr>
          <w:hyperlink w:anchor="_Toc134449089" w:history="1">
            <w:r w:rsidR="00725F76" w:rsidRPr="00A979CE">
              <w:rPr>
                <w:rStyle w:val="-"/>
              </w:rPr>
              <w:t>4.</w:t>
            </w:r>
            <w:r w:rsidR="00725F76">
              <w:rPr>
                <w:rFonts w:asciiTheme="minorHAnsi" w:eastAsiaTheme="minorEastAsia" w:hAnsiTheme="minorHAnsi" w:cstheme="minorBidi"/>
                <w:b w:val="0"/>
                <w:bCs w:val="0"/>
                <w:kern w:val="2"/>
                <w:lang w:eastAsia="el-GR"/>
                <w14:ligatures w14:val="standardContextual"/>
              </w:rPr>
              <w:tab/>
            </w:r>
            <w:r w:rsidR="00725F76" w:rsidRPr="00A979CE">
              <w:rPr>
                <w:rStyle w:val="-"/>
              </w:rPr>
              <w:t>ΘΕΜΑΤΑ ΕΠΙΧΕΙΡΗΜΑΤΙΚΩΝ ΠΑΡΚΩΝ (ΕΠ) / ΟΡΓΑΝΩΜΕΝΩΝ ΥΠΟΔΟΧΕΩΝ ΜΕΤΑΠΟΙΗΤΙΚΩΝ &amp; ΕΠΙΧΕΙΡΗΜΑΤΙΚΩΝ ΔΡΑΣΤΗΡΙΟΤΗΤΩΝ (ΟΥΜΕΔ)</w:t>
            </w:r>
            <w:r w:rsidR="00725F76">
              <w:rPr>
                <w:webHidden/>
              </w:rPr>
              <w:tab/>
            </w:r>
            <w:r w:rsidR="00725F76">
              <w:rPr>
                <w:webHidden/>
              </w:rPr>
              <w:fldChar w:fldCharType="begin"/>
            </w:r>
            <w:r w:rsidR="00725F76">
              <w:rPr>
                <w:webHidden/>
              </w:rPr>
              <w:instrText xml:space="preserve"> PAGEREF _Toc134449089 \h </w:instrText>
            </w:r>
            <w:r w:rsidR="00725F76">
              <w:rPr>
                <w:webHidden/>
              </w:rPr>
            </w:r>
            <w:r w:rsidR="00725F76">
              <w:rPr>
                <w:webHidden/>
              </w:rPr>
              <w:fldChar w:fldCharType="separate"/>
            </w:r>
            <w:r w:rsidR="00D21022">
              <w:rPr>
                <w:webHidden/>
              </w:rPr>
              <w:t>16</w:t>
            </w:r>
            <w:r w:rsidR="00725F76">
              <w:rPr>
                <w:webHidden/>
              </w:rPr>
              <w:fldChar w:fldCharType="end"/>
            </w:r>
          </w:hyperlink>
        </w:p>
        <w:p w14:paraId="1481EC73" w14:textId="55A5ACED"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90" w:history="1">
            <w:r w:rsidR="00725F76" w:rsidRPr="00A979CE">
              <w:rPr>
                <w:rStyle w:val="-"/>
                <w:rFonts w:ascii="Times New Roman" w:hAnsi="Times New Roman" w:cs="Times New Roman"/>
                <w:b/>
              </w:rPr>
              <w:t>Α. Πρόσκληση υποβολής πρότασης προς τη δικαιούχο «THESS INTEC Α.Ε.» για το πρόγραμμα κρατικής ενίσχυσης «Τεχνολογικό Πάρκο ThessINTEC» και Οδηγός εφαρμογής, που περιλαμβάνεται στο Εθνικό Σχέδιο Ανάκαμψης και Ανθεκτικότητας «Ελλάδα 2.0»</w:t>
            </w:r>
            <w:r w:rsidR="00725F76">
              <w:rPr>
                <w:webHidden/>
              </w:rPr>
              <w:tab/>
            </w:r>
            <w:r w:rsidR="00725F76">
              <w:rPr>
                <w:webHidden/>
              </w:rPr>
              <w:fldChar w:fldCharType="begin"/>
            </w:r>
            <w:r w:rsidR="00725F76">
              <w:rPr>
                <w:webHidden/>
              </w:rPr>
              <w:instrText xml:space="preserve"> PAGEREF _Toc134449090 \h </w:instrText>
            </w:r>
            <w:r w:rsidR="00725F76">
              <w:rPr>
                <w:webHidden/>
              </w:rPr>
            </w:r>
            <w:r w:rsidR="00725F76">
              <w:rPr>
                <w:webHidden/>
              </w:rPr>
              <w:fldChar w:fldCharType="separate"/>
            </w:r>
            <w:r w:rsidR="00D21022">
              <w:rPr>
                <w:webHidden/>
              </w:rPr>
              <w:t>16</w:t>
            </w:r>
            <w:r w:rsidR="00725F76">
              <w:rPr>
                <w:webHidden/>
              </w:rPr>
              <w:fldChar w:fldCharType="end"/>
            </w:r>
          </w:hyperlink>
        </w:p>
        <w:p w14:paraId="5758AB8D" w14:textId="2812290D"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91" w:history="1">
            <w:r w:rsidR="00725F76" w:rsidRPr="00A979CE">
              <w:rPr>
                <w:rStyle w:val="-"/>
                <w:rFonts w:ascii="Times New Roman" w:hAnsi="Times New Roman" w:cs="Times New Roman"/>
                <w:b/>
              </w:rPr>
              <w:t>Β. Ολοκλήρωση της περιόδου υποβολής προτάσεων για ένταξη στο πρόγραμμα κρατικής ενίσχυσης «ΝΕΑ ΒΙΟΜΗΧΑΝΙΚΑ ΠΑΡΚΑ»</w:t>
            </w:r>
            <w:r w:rsidR="00725F76">
              <w:rPr>
                <w:webHidden/>
              </w:rPr>
              <w:tab/>
            </w:r>
            <w:r w:rsidR="00725F76">
              <w:rPr>
                <w:webHidden/>
              </w:rPr>
              <w:fldChar w:fldCharType="begin"/>
            </w:r>
            <w:r w:rsidR="00725F76">
              <w:rPr>
                <w:webHidden/>
              </w:rPr>
              <w:instrText xml:space="preserve"> PAGEREF _Toc134449091 \h </w:instrText>
            </w:r>
            <w:r w:rsidR="00725F76">
              <w:rPr>
                <w:webHidden/>
              </w:rPr>
            </w:r>
            <w:r w:rsidR="00725F76">
              <w:rPr>
                <w:webHidden/>
              </w:rPr>
              <w:fldChar w:fldCharType="separate"/>
            </w:r>
            <w:r w:rsidR="00D21022">
              <w:rPr>
                <w:webHidden/>
              </w:rPr>
              <w:t>16</w:t>
            </w:r>
            <w:r w:rsidR="00725F76">
              <w:rPr>
                <w:webHidden/>
              </w:rPr>
              <w:fldChar w:fldCharType="end"/>
            </w:r>
          </w:hyperlink>
        </w:p>
        <w:p w14:paraId="7FBA2DC4" w14:textId="5DC34BA2" w:rsidR="00725F76" w:rsidRDefault="00492458">
          <w:pPr>
            <w:pStyle w:val="16"/>
            <w:rPr>
              <w:rFonts w:asciiTheme="minorHAnsi" w:eastAsiaTheme="minorEastAsia" w:hAnsiTheme="minorHAnsi" w:cstheme="minorBidi"/>
              <w:b w:val="0"/>
              <w:bCs w:val="0"/>
              <w:kern w:val="2"/>
              <w:lang w:eastAsia="el-GR"/>
              <w14:ligatures w14:val="standardContextual"/>
            </w:rPr>
          </w:pPr>
          <w:hyperlink w:anchor="_Toc134449092" w:history="1">
            <w:r w:rsidR="00725F76" w:rsidRPr="00A979CE">
              <w:rPr>
                <w:rStyle w:val="-"/>
              </w:rPr>
              <w:t>5.</w:t>
            </w:r>
            <w:r w:rsidR="00725F76">
              <w:rPr>
                <w:rFonts w:asciiTheme="minorHAnsi" w:eastAsiaTheme="minorEastAsia" w:hAnsiTheme="minorHAnsi" w:cstheme="minorBidi"/>
                <w:b w:val="0"/>
                <w:bCs w:val="0"/>
                <w:kern w:val="2"/>
                <w:lang w:eastAsia="el-GR"/>
                <w14:ligatures w14:val="standardContextual"/>
              </w:rPr>
              <w:tab/>
            </w:r>
            <w:r w:rsidR="00725F76" w:rsidRPr="00A979CE">
              <w:rPr>
                <w:rStyle w:val="-"/>
              </w:rPr>
              <w:t>ΘΕΜΑΤΑ ΥΓΕΙΑΣ &amp; ΑΣΦΑΛΕΙΑΣ ΣΤΗΝ ΕΡΓΑΣΙΑ</w:t>
            </w:r>
            <w:r w:rsidR="00725F76">
              <w:rPr>
                <w:webHidden/>
              </w:rPr>
              <w:tab/>
            </w:r>
            <w:r w:rsidR="00725F76">
              <w:rPr>
                <w:webHidden/>
              </w:rPr>
              <w:fldChar w:fldCharType="begin"/>
            </w:r>
            <w:r w:rsidR="00725F76">
              <w:rPr>
                <w:webHidden/>
              </w:rPr>
              <w:instrText xml:space="preserve"> PAGEREF _Toc134449092 \h </w:instrText>
            </w:r>
            <w:r w:rsidR="00725F76">
              <w:rPr>
                <w:webHidden/>
              </w:rPr>
            </w:r>
            <w:r w:rsidR="00725F76">
              <w:rPr>
                <w:webHidden/>
              </w:rPr>
              <w:fldChar w:fldCharType="separate"/>
            </w:r>
            <w:r w:rsidR="00D21022">
              <w:rPr>
                <w:webHidden/>
              </w:rPr>
              <w:t>19</w:t>
            </w:r>
            <w:r w:rsidR="00725F76">
              <w:rPr>
                <w:webHidden/>
              </w:rPr>
              <w:fldChar w:fldCharType="end"/>
            </w:r>
          </w:hyperlink>
        </w:p>
        <w:p w14:paraId="247AA779" w14:textId="769E0F70" w:rsidR="00725F76" w:rsidRDefault="00492458">
          <w:pPr>
            <w:pStyle w:val="26"/>
            <w:rPr>
              <w:rFonts w:asciiTheme="minorHAnsi" w:eastAsiaTheme="minorEastAsia" w:hAnsiTheme="minorHAnsi" w:cstheme="minorBidi"/>
              <w:bCs w:val="0"/>
              <w:kern w:val="2"/>
              <w:lang w:eastAsia="el-GR"/>
              <w14:ligatures w14:val="standardContextual"/>
            </w:rPr>
          </w:pPr>
          <w:hyperlink w:anchor="_Toc134449093" w:history="1">
            <w:r w:rsidR="00725F76" w:rsidRPr="00A979CE">
              <w:rPr>
                <w:rStyle w:val="-"/>
                <w:rFonts w:ascii="Times New Roman" w:hAnsi="Times New Roman" w:cs="Times New Roman"/>
                <w:b/>
              </w:rPr>
              <w:t>Α. Εργασία σε περιορισμένους χώρους</w:t>
            </w:r>
            <w:r w:rsidR="00725F76">
              <w:rPr>
                <w:webHidden/>
              </w:rPr>
              <w:tab/>
            </w:r>
            <w:r w:rsidR="00725F76">
              <w:rPr>
                <w:webHidden/>
              </w:rPr>
              <w:fldChar w:fldCharType="begin"/>
            </w:r>
            <w:r w:rsidR="00725F76">
              <w:rPr>
                <w:webHidden/>
              </w:rPr>
              <w:instrText xml:space="preserve"> PAGEREF _Toc134449093 \h </w:instrText>
            </w:r>
            <w:r w:rsidR="00725F76">
              <w:rPr>
                <w:webHidden/>
              </w:rPr>
            </w:r>
            <w:r w:rsidR="00725F76">
              <w:rPr>
                <w:webHidden/>
              </w:rPr>
              <w:fldChar w:fldCharType="separate"/>
            </w:r>
            <w:r w:rsidR="00D21022">
              <w:rPr>
                <w:webHidden/>
              </w:rPr>
              <w:t>19</w:t>
            </w:r>
            <w:r w:rsidR="00725F76">
              <w:rPr>
                <w:webHidden/>
              </w:rPr>
              <w:fldChar w:fldCharType="end"/>
            </w:r>
          </w:hyperlink>
        </w:p>
        <w:p w14:paraId="6251AC8E" w14:textId="10779CC2" w:rsidR="001F66DA" w:rsidRPr="00752A76" w:rsidRDefault="008D455D" w:rsidP="00957288">
          <w:pPr>
            <w:pStyle w:val="26"/>
            <w:spacing w:line="360" w:lineRule="auto"/>
            <w:rPr>
              <w:rFonts w:ascii="Times New Roman" w:hAnsi="Times New Roman" w:cs="Times New Roman"/>
              <w:sz w:val="24"/>
              <w:szCs w:val="24"/>
            </w:rPr>
            <w:sectPr w:rsidR="001F66DA" w:rsidRPr="00752A76"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F55FBC">
            <w:rPr>
              <w:rFonts w:ascii="Times New Roman" w:hAnsi="Times New Roman" w:cs="Times New Roman"/>
              <w:sz w:val="24"/>
              <w:szCs w:val="24"/>
            </w:rPr>
            <w:fldChar w:fldCharType="end"/>
          </w:r>
        </w:p>
      </w:sdtContent>
    </w:sdt>
    <w:p w14:paraId="553EE6C1" w14:textId="77777777" w:rsidR="007E35F2" w:rsidRPr="00957288" w:rsidRDefault="007E35F2" w:rsidP="007D1E26">
      <w:pPr>
        <w:pStyle w:val="10"/>
        <w:numPr>
          <w:ilvl w:val="8"/>
          <w:numId w:val="9"/>
        </w:numPr>
        <w:shd w:val="clear" w:color="auto" w:fill="D9E2F3" w:themeFill="accent1" w:themeFillTint="33"/>
        <w:spacing w:before="240" w:after="120" w:line="288" w:lineRule="auto"/>
        <w:ind w:left="0" w:right="43" w:firstLine="0"/>
        <w:jc w:val="center"/>
      </w:pPr>
      <w:bookmarkStart w:id="0" w:name="_Toc127284520"/>
      <w:bookmarkStart w:id="1" w:name="_Toc134449081"/>
      <w:r w:rsidRPr="00957288">
        <w:lastRenderedPageBreak/>
        <w:t>ΘΕΜΑΤΑ ΑΝΑΠΤΥΞΙΑΚΩΝ – ΧΡΗΜΑΤΟΔΟΤΙΚΩΝ ΠΡΟΓΡΑΜΜΑΤΩΝ</w:t>
      </w:r>
      <w:bookmarkEnd w:id="0"/>
      <w:bookmarkEnd w:id="1"/>
    </w:p>
    <w:p w14:paraId="69274B55" w14:textId="0D868492" w:rsidR="007E35F2" w:rsidRPr="00957288" w:rsidRDefault="007E35F2" w:rsidP="007D1E26">
      <w:pPr>
        <w:pStyle w:val="20"/>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2" w:name="_Toc127284521"/>
      <w:bookmarkStart w:id="3" w:name="_Toc134449082"/>
      <w:r w:rsidRPr="00957288">
        <w:rPr>
          <w:rFonts w:ascii="Times New Roman" w:hAnsi="Times New Roman" w:cs="Times New Roman"/>
          <w:b/>
          <w:bCs/>
          <w:color w:val="auto"/>
          <w:sz w:val="24"/>
          <w:szCs w:val="24"/>
        </w:rPr>
        <w:t xml:space="preserve">Α. </w:t>
      </w:r>
      <w:bookmarkEnd w:id="2"/>
      <w:r w:rsidR="00A75D0A" w:rsidRPr="00A75D0A">
        <w:rPr>
          <w:rFonts w:ascii="Times New Roman" w:hAnsi="Times New Roman" w:cs="Times New Roman"/>
          <w:b/>
          <w:bCs/>
          <w:color w:val="auto"/>
          <w:sz w:val="24"/>
          <w:szCs w:val="24"/>
        </w:rPr>
        <w:t>IPA ADRION – 1η Πρόσκληση υποβολής προτάσεων</w:t>
      </w:r>
      <w:bookmarkEnd w:id="3"/>
    </w:p>
    <w:p w14:paraId="6702FAA6" w14:textId="77777777" w:rsidR="00A75D0A" w:rsidRPr="00A75D0A" w:rsidRDefault="00A75D0A" w:rsidP="00A75D0A">
      <w:pPr>
        <w:pStyle w:val="af0"/>
      </w:pPr>
      <w:r w:rsidRPr="00A75D0A">
        <w:t xml:space="preserve">Το Πρόγραμμα Συνεργασίας </w:t>
      </w:r>
      <w:proofErr w:type="spellStart"/>
      <w:r w:rsidRPr="00A75D0A">
        <w:rPr>
          <w:b/>
        </w:rPr>
        <w:t>Interreg</w:t>
      </w:r>
      <w:proofErr w:type="spellEnd"/>
      <w:r w:rsidRPr="00A75D0A">
        <w:rPr>
          <w:b/>
        </w:rPr>
        <w:t xml:space="preserve"> VI-B IPA </w:t>
      </w:r>
      <w:proofErr w:type="spellStart"/>
      <w:r w:rsidRPr="00A75D0A">
        <w:rPr>
          <w:b/>
        </w:rPr>
        <w:t>Adriatic</w:t>
      </w:r>
      <w:proofErr w:type="spellEnd"/>
      <w:r w:rsidRPr="00A75D0A">
        <w:rPr>
          <w:b/>
        </w:rPr>
        <w:t xml:space="preserve"> Ionian 2021-2027</w:t>
      </w:r>
      <w:r w:rsidRPr="00A75D0A">
        <w:t xml:space="preserve"> (εφεξής IPA ADRION) – δημοσίευσε την πρώτη πρόσκληση υποβολής προτάσεων αφιερωμένη στους Άξονες Προτεραιότητας 1, 2 και 3 και καλεί όλους τους ενδιαφερόμενους επιλέξιμους αιτούντες να υποβάλουν τις προτάσεις έργων τους.</w:t>
      </w:r>
    </w:p>
    <w:p w14:paraId="785695CE" w14:textId="77777777" w:rsidR="00A75D0A" w:rsidRPr="00A75D0A" w:rsidRDefault="00A75D0A" w:rsidP="00A75D0A">
      <w:pPr>
        <w:pStyle w:val="af0"/>
      </w:pPr>
      <w:r w:rsidRPr="00A75D0A">
        <w:t>Ο κύριος στόχος του προγράμματος IPA ADRION είναι να αντιμετωπίσει τις κοινές προκλήσεις της περιοχής Αδριατικής-Ιονίου, όπως η προστασία της βιοποικιλότητας, οι κλιματικές αλλαγές, οι βιώσιμες μεταφορές, μέσω της εφαρμογής καινοτόμων μοντέλων και εργαλείων, που λειτουργούν ως βασικό εργαλείο για τον προσδιορισμό κοινών λύσεων, συμβάλλοντας έτσι στο να γίνει η περιοχή πιο έξυπνη, πιο πράσινη και ικανή να αντέξει μελλοντικούς οικονομικούς κραδασμούς.</w:t>
      </w:r>
    </w:p>
    <w:p w14:paraId="2CBE086F" w14:textId="77777777" w:rsidR="00A75D0A" w:rsidRPr="00A75D0A" w:rsidRDefault="00A75D0A" w:rsidP="00A75D0A">
      <w:pPr>
        <w:pStyle w:val="af0"/>
      </w:pPr>
      <w:r w:rsidRPr="00A75D0A">
        <w:t>Η 1η πρόσκληση υποβολής προτάσεων του προγράμματος IPA ADRION αφορά αποκλειστικά τις ακόλουθες Προτεραιότητες και Ειδικούς Στόχους:</w:t>
      </w:r>
    </w:p>
    <w:p w14:paraId="115642E6" w14:textId="77777777" w:rsidR="00A75D0A" w:rsidRPr="00A75D0A" w:rsidRDefault="00A75D0A" w:rsidP="00A75D0A">
      <w:pPr>
        <w:pStyle w:val="af0"/>
      </w:pPr>
      <w:r w:rsidRPr="00A75D0A">
        <w:t>1. Άξονας Προτεραιότητας 1: Υποστήριξη μιας Εξυπνότερης Περιφέρειας Αδριατικής και Ιονίου</w:t>
      </w:r>
    </w:p>
    <w:p w14:paraId="35512A5A" w14:textId="77777777" w:rsidR="00A75D0A" w:rsidRPr="00A75D0A" w:rsidRDefault="00A75D0A" w:rsidP="00A75D0A">
      <w:pPr>
        <w:pStyle w:val="af0"/>
      </w:pPr>
      <w:r w:rsidRPr="00A75D0A">
        <w:t xml:space="preserve">-Ειδικός στόχος 1.1: Ενίσχυση των ικανοτήτων καινοτομίας στην περιοχή Αδριατικής - Ιονίου </w:t>
      </w:r>
    </w:p>
    <w:p w14:paraId="05D28C66" w14:textId="77777777" w:rsidR="00A75D0A" w:rsidRPr="00A75D0A" w:rsidRDefault="00A75D0A" w:rsidP="00A75D0A">
      <w:pPr>
        <w:pStyle w:val="af0"/>
      </w:pPr>
      <w:r w:rsidRPr="00A75D0A">
        <w:t>2. Άξονας Προτεραιότητας 2: Υποστήριξη μιας πιο πράσινης και ανθεκτικής στο κλίμα Περιφέρειας Αδριατικής και Ιονίου</w:t>
      </w:r>
    </w:p>
    <w:p w14:paraId="7960E664" w14:textId="77777777" w:rsidR="00A75D0A" w:rsidRPr="00A75D0A" w:rsidRDefault="00A75D0A" w:rsidP="00A75D0A">
      <w:pPr>
        <w:pStyle w:val="af0"/>
      </w:pPr>
      <w:r w:rsidRPr="00A75D0A">
        <w:t xml:space="preserve">-Ειδικός στόχος 2.1: Βελτίωση της ανθεκτικότητας στην κλιματική αλλαγή, τις φυσικές και ανθρωπογενείς καταστροφές στην περιοχή Αδριατικής-Ιονίου </w:t>
      </w:r>
    </w:p>
    <w:p w14:paraId="15737328" w14:textId="77777777" w:rsidR="00A75D0A" w:rsidRPr="00A75D0A" w:rsidRDefault="00A75D0A" w:rsidP="00A75D0A">
      <w:pPr>
        <w:pStyle w:val="af0"/>
      </w:pPr>
      <w:r w:rsidRPr="00A75D0A">
        <w:t xml:space="preserve">-Ειδικός στόχος 2.2: Υποστήριξη της ανάπτυξης της κυκλικής οικονομίας στην περιοχή Αδριατικής-Ιονίου </w:t>
      </w:r>
    </w:p>
    <w:p w14:paraId="09157D82" w14:textId="77777777" w:rsidR="00A75D0A" w:rsidRPr="00A75D0A" w:rsidRDefault="00A75D0A" w:rsidP="00A75D0A">
      <w:pPr>
        <w:pStyle w:val="af0"/>
      </w:pPr>
      <w:r w:rsidRPr="00A75D0A">
        <w:t xml:space="preserve">-Ειδικός στόχος 2.3: Υποστήριξη της διατήρησης και προστασίας του περιβάλλοντος στην περιοχή της Αδριατικής Ιονίου </w:t>
      </w:r>
    </w:p>
    <w:p w14:paraId="187C8BA4" w14:textId="77777777" w:rsidR="00A75D0A" w:rsidRPr="00A75D0A" w:rsidRDefault="00A75D0A" w:rsidP="00A75D0A">
      <w:pPr>
        <w:pStyle w:val="af0"/>
      </w:pPr>
      <w:r w:rsidRPr="00A75D0A">
        <w:t xml:space="preserve">-Ειδικός στόχος 2.4: Υποστήριξη της βιώσιμης </w:t>
      </w:r>
      <w:proofErr w:type="spellStart"/>
      <w:r w:rsidRPr="00A75D0A">
        <w:t>πολυτροπικής</w:t>
      </w:r>
      <w:proofErr w:type="spellEnd"/>
      <w:r w:rsidRPr="00A75D0A">
        <w:t xml:space="preserve"> αστικής κινητικότητας στην περιοχή Αδριατικής-Ιονίου </w:t>
      </w:r>
    </w:p>
    <w:p w14:paraId="7D05DAE1" w14:textId="77777777" w:rsidR="00A75D0A" w:rsidRPr="00A75D0A" w:rsidRDefault="00A75D0A" w:rsidP="00A75D0A">
      <w:pPr>
        <w:pStyle w:val="af0"/>
      </w:pPr>
      <w:r w:rsidRPr="00A75D0A">
        <w:t>3. Άξονας Προτεραιότητας 3: Υποστήριξη μιας Περιφέρειας Αδριατικής και Ιονίου με ουδέτερο άνθρακα και καλύτερα συνδεδεμένη</w:t>
      </w:r>
    </w:p>
    <w:p w14:paraId="64AAF4CE" w14:textId="77777777" w:rsidR="00A75D0A" w:rsidRPr="00A75D0A" w:rsidRDefault="00A75D0A" w:rsidP="00A75D0A">
      <w:pPr>
        <w:pStyle w:val="af0"/>
      </w:pPr>
      <w:r w:rsidRPr="00A75D0A">
        <w:t xml:space="preserve">-Ειδικός στόχος 3.1: Ενίσχυση μιας έξυπνης κινητικότητας με ουδέτερο άνθρακα στην περιοχή Αδριατικής-Ιονίου </w:t>
      </w:r>
    </w:p>
    <w:p w14:paraId="0D7E6179" w14:textId="77777777" w:rsidR="00A75D0A" w:rsidRPr="00A75D0A" w:rsidRDefault="00A75D0A" w:rsidP="00A75D0A">
      <w:pPr>
        <w:pStyle w:val="af0"/>
        <w:rPr>
          <w:b/>
        </w:rPr>
      </w:pPr>
      <w:r w:rsidRPr="00A75D0A">
        <w:rPr>
          <w:b/>
        </w:rPr>
        <w:t>Απαιτήσεις εταιρικής σχέσης</w:t>
      </w:r>
    </w:p>
    <w:p w14:paraId="446E223E" w14:textId="77777777" w:rsidR="00A75D0A" w:rsidRPr="00A75D0A" w:rsidRDefault="00A75D0A" w:rsidP="00A75D0A">
      <w:pPr>
        <w:pStyle w:val="af0"/>
      </w:pPr>
      <w:r w:rsidRPr="00A75D0A">
        <w:lastRenderedPageBreak/>
        <w:t>Οι επιλέξιμες προτάσεις έργων πρέπει να περιλαμβάνουν εταίρους που βρίσκονται στη γεωγραφική περιοχή του προγράμματος.</w:t>
      </w:r>
    </w:p>
    <w:p w14:paraId="502482B5" w14:textId="77777777" w:rsidR="00A75D0A" w:rsidRPr="00A75D0A" w:rsidRDefault="00A75D0A" w:rsidP="00A75D0A">
      <w:pPr>
        <w:pStyle w:val="af0"/>
      </w:pPr>
      <w:r w:rsidRPr="00A75D0A">
        <w:t xml:space="preserve">Κάθε έργο πρέπει να περιλαμβάνει τουλάχιστον </w:t>
      </w:r>
      <w:r w:rsidRPr="00A75D0A">
        <w:rPr>
          <w:b/>
        </w:rPr>
        <w:t>έξι χρηματοδοτικούς εταίρους από έξι διαφορετικές συμμετέχουσες χώρες της περιοχής του Προγράμματος</w:t>
      </w:r>
      <w:r w:rsidRPr="00A75D0A">
        <w:t>, εκ των οποίων:</w:t>
      </w:r>
    </w:p>
    <w:p w14:paraId="23B73FF5" w14:textId="77777777" w:rsidR="00A75D0A" w:rsidRPr="00A75D0A" w:rsidRDefault="00A75D0A" w:rsidP="00A75D0A">
      <w:pPr>
        <w:pStyle w:val="af0"/>
      </w:pPr>
      <w:r w:rsidRPr="00A75D0A">
        <w:t>-Τουλάχιστον 3 εταίροι από 3 διαφορετικές χώρες που συμμετέχουν στο Ευρωπαϊκό Ταμείο Περιφερειακής Ανάπτυξης (ΕΤΠΑ).</w:t>
      </w:r>
    </w:p>
    <w:p w14:paraId="481D6A8D" w14:textId="77777777" w:rsidR="00A75D0A" w:rsidRPr="00A75D0A" w:rsidRDefault="00A75D0A" w:rsidP="00A75D0A">
      <w:pPr>
        <w:pStyle w:val="af0"/>
      </w:pPr>
      <w:r w:rsidRPr="00A75D0A">
        <w:t xml:space="preserve">-Τουλάχιστον 3 εταίροι από 3 διαφορετικές χώρες που συμμετέχουν στον Μηχανισμό </w:t>
      </w:r>
      <w:proofErr w:type="spellStart"/>
      <w:r w:rsidRPr="00A75D0A">
        <w:t>Προενταξιακής</w:t>
      </w:r>
      <w:proofErr w:type="spellEnd"/>
      <w:r w:rsidRPr="00A75D0A">
        <w:t xml:space="preserve"> Βοήθειας (ΜΠΒ).</w:t>
      </w:r>
    </w:p>
    <w:p w14:paraId="2B8D872E" w14:textId="77777777" w:rsidR="00A75D0A" w:rsidRPr="00A75D0A" w:rsidRDefault="00A75D0A" w:rsidP="00A75D0A">
      <w:pPr>
        <w:pStyle w:val="af0"/>
      </w:pPr>
      <w:r w:rsidRPr="00A75D0A">
        <w:t>Η συνεργασία μπορεί να περιλαμβάνει έως και 2 χρηματοδοτικούς εταίρους του έργου από την ίδια συμμετέχουσα χώρα. Ο ίδιος οργανισμός δεν μπορεί να είναι:</w:t>
      </w:r>
    </w:p>
    <w:p w14:paraId="6F87AF06" w14:textId="77777777" w:rsidR="00A75D0A" w:rsidRPr="00A75D0A" w:rsidRDefault="00A75D0A" w:rsidP="00A75D0A">
      <w:pPr>
        <w:pStyle w:val="af0"/>
      </w:pPr>
      <w:r w:rsidRPr="00A75D0A">
        <w:t>-Επικεφαλής εταίρος σε περισσότερες από 2 προτάσεις έργων σε δύο διαφορετικούς Άξονες Προτεραιότητας.</w:t>
      </w:r>
    </w:p>
    <w:p w14:paraId="435265AD" w14:textId="77777777" w:rsidR="00A75D0A" w:rsidRPr="00A75D0A" w:rsidRDefault="00A75D0A" w:rsidP="00A75D0A">
      <w:pPr>
        <w:pStyle w:val="af0"/>
      </w:pPr>
      <w:r w:rsidRPr="00A75D0A">
        <w:t>-Συμμετέχων σε περισσότερες από 3 προτάσεις έργων ανά πρόσκληση.</w:t>
      </w:r>
    </w:p>
    <w:p w14:paraId="4B137849" w14:textId="77777777" w:rsidR="00A75D0A" w:rsidRPr="00A75D0A" w:rsidRDefault="00A75D0A" w:rsidP="00A75D0A">
      <w:pPr>
        <w:pStyle w:val="af0"/>
      </w:pPr>
      <w:r w:rsidRPr="00A75D0A">
        <w:t>Κατ' εξαίρεση, τα ακόλουθα δημόσια ιδρύματα/ιδιωτικοί μη εμπορικοί φορείς μπορούν να υποβάλλουν «ανά Τμήμα»:</w:t>
      </w:r>
    </w:p>
    <w:p w14:paraId="44FA6B93" w14:textId="77777777" w:rsidR="00A75D0A" w:rsidRPr="00A75D0A" w:rsidRDefault="00A75D0A" w:rsidP="00A75D0A">
      <w:pPr>
        <w:pStyle w:val="af0"/>
      </w:pPr>
      <w:r w:rsidRPr="00A75D0A">
        <w:t>-Υπουργεία</w:t>
      </w:r>
    </w:p>
    <w:p w14:paraId="55FDC530" w14:textId="77777777" w:rsidR="00A75D0A" w:rsidRPr="00A75D0A" w:rsidRDefault="00A75D0A" w:rsidP="00A75D0A">
      <w:pPr>
        <w:pStyle w:val="af0"/>
      </w:pPr>
      <w:r w:rsidRPr="00A75D0A">
        <w:t>-Περιφερειακά όργανα (περιφέρειες/κομητείες/αυτόνομες επαρχίες).</w:t>
      </w:r>
    </w:p>
    <w:p w14:paraId="038293AA" w14:textId="77777777" w:rsidR="00A75D0A" w:rsidRPr="00A75D0A" w:rsidRDefault="00A75D0A" w:rsidP="00A75D0A">
      <w:pPr>
        <w:pStyle w:val="af0"/>
      </w:pPr>
      <w:r w:rsidRPr="00A75D0A">
        <w:t>-Πανεπιστήμια/ερευνητικά ιδρύματα.</w:t>
      </w:r>
    </w:p>
    <w:p w14:paraId="43679056" w14:textId="77777777" w:rsidR="00A75D0A" w:rsidRPr="00A75D0A" w:rsidRDefault="00A75D0A" w:rsidP="00A75D0A">
      <w:pPr>
        <w:pStyle w:val="af0"/>
        <w:rPr>
          <w:b/>
        </w:rPr>
      </w:pPr>
      <w:r w:rsidRPr="00A75D0A">
        <w:rPr>
          <w:b/>
        </w:rPr>
        <w:t>-Εμπορικά και Βιομηχανικά Επιμελητήρια (με τις κλαδικές ενώσεις/επιμελητήρια/περιφερειακά δίκτυα.</w:t>
      </w:r>
    </w:p>
    <w:p w14:paraId="77191A31" w14:textId="77777777" w:rsidR="00A75D0A" w:rsidRPr="00A75D0A" w:rsidRDefault="00A75D0A" w:rsidP="00A75D0A">
      <w:pPr>
        <w:pStyle w:val="af0"/>
      </w:pPr>
      <w:r w:rsidRPr="00A75D0A">
        <w:t xml:space="preserve">Ως «Τμήμα» νοείται μια οργανωτική μονάδα με οικονομική και διοικητική αυτοτέλεια και με τεχνικό και διοικητικό προσωπικό για τη διασφάλιση της λειτουργίας του. Έτσι, </w:t>
      </w:r>
      <w:r w:rsidRPr="00A75D0A">
        <w:rPr>
          <w:b/>
        </w:rPr>
        <w:t xml:space="preserve">κάθε μεμονωμένο τμήμα, εντός των παραπάνω ιδρυμάτων, μπορεί να θεωρηθεί ως ξεχωριστός υποψήφιος </w:t>
      </w:r>
      <w:proofErr w:type="spellStart"/>
      <w:r w:rsidRPr="00A75D0A">
        <w:rPr>
          <w:b/>
        </w:rPr>
        <w:t>υποψήφιος</w:t>
      </w:r>
      <w:proofErr w:type="spellEnd"/>
      <w:r w:rsidRPr="00A75D0A">
        <w:t>.</w:t>
      </w:r>
    </w:p>
    <w:p w14:paraId="190EB9AC" w14:textId="77777777" w:rsidR="00A75D0A" w:rsidRPr="00A75D0A" w:rsidRDefault="00A75D0A" w:rsidP="00A75D0A">
      <w:pPr>
        <w:pStyle w:val="af0"/>
      </w:pPr>
      <w:r w:rsidRPr="00A75D0A">
        <w:t>Συνιστάται η επιλέξιμη εταιρική σχέση να μην περιλαμβάνει περισσότερους από 12 εταίρους χρηματοδότησης του έργου.</w:t>
      </w:r>
    </w:p>
    <w:p w14:paraId="64F5B64D" w14:textId="77777777" w:rsidR="00A75D0A" w:rsidRPr="00A75D0A" w:rsidRDefault="00A75D0A" w:rsidP="00A75D0A">
      <w:pPr>
        <w:pStyle w:val="af0"/>
        <w:rPr>
          <w:b/>
        </w:rPr>
      </w:pPr>
      <w:r w:rsidRPr="00A75D0A">
        <w:rPr>
          <w:b/>
        </w:rPr>
        <w:t>Χρονοδιάγραμμα και υποβολή</w:t>
      </w:r>
    </w:p>
    <w:p w14:paraId="415F985E" w14:textId="77777777" w:rsidR="00A75D0A" w:rsidRPr="00A75D0A" w:rsidRDefault="00A75D0A" w:rsidP="00A75D0A">
      <w:pPr>
        <w:pStyle w:val="af0"/>
      </w:pPr>
      <w:r w:rsidRPr="00A75D0A">
        <w:t xml:space="preserve">Η πρώτη πρόσκληση υποβολής προτάσεων θα είναι ανοιχτή από τις 4 Απριλίου 2023 </w:t>
      </w:r>
      <w:r w:rsidRPr="00A75D0A">
        <w:rPr>
          <w:b/>
        </w:rPr>
        <w:t>έως τις 30 Ιουνίου 2023</w:t>
      </w:r>
      <w:r w:rsidRPr="00A75D0A">
        <w:t xml:space="preserve"> στις 13:00 (ώρα CEST/Ρώμης) και θα ακολουθήσει μια «διαδικασία υποβολής αίτησης σε ένα βήμα» (</w:t>
      </w:r>
      <w:proofErr w:type="spellStart"/>
      <w:r w:rsidRPr="00A75D0A">
        <w:t>one-step</w:t>
      </w:r>
      <w:proofErr w:type="spellEnd"/>
      <w:r w:rsidRPr="00A75D0A">
        <w:t xml:space="preserve"> </w:t>
      </w:r>
      <w:proofErr w:type="spellStart"/>
      <w:r w:rsidRPr="00A75D0A">
        <w:t>application</w:t>
      </w:r>
      <w:proofErr w:type="spellEnd"/>
      <w:r w:rsidRPr="00A75D0A">
        <w:t xml:space="preserve"> </w:t>
      </w:r>
      <w:proofErr w:type="spellStart"/>
      <w:r w:rsidRPr="00A75D0A">
        <w:t>procedure</w:t>
      </w:r>
      <w:proofErr w:type="spellEnd"/>
      <w:r w:rsidRPr="00A75D0A">
        <w:t>), δηλαδή θα υποβληθεί ολόκληρη η πρόταση έργου και θα ζητηθούν υποστηρικτικά έγγραφα εντός της καθορισμένης προθεσμίας.</w:t>
      </w:r>
    </w:p>
    <w:p w14:paraId="0B651350" w14:textId="77777777" w:rsidR="00A75D0A" w:rsidRPr="00A75D0A" w:rsidRDefault="00A75D0A" w:rsidP="00A75D0A">
      <w:pPr>
        <w:pStyle w:val="af0"/>
      </w:pPr>
      <w:r w:rsidRPr="00A75D0A">
        <w:t>Οι προτάσεις έργων πρέπει να υποβάλλονται στην αγγλική γλώσσα και μόνο μέσω του Κοινού Ηλεκτρονικού Συστήματος Παρακολούθησης (JEMS) που είναι διαθέσιμο στον ακόλουθο σύνδεσμο: https://jems.regione.emilia-romagna.it</w:t>
      </w:r>
    </w:p>
    <w:p w14:paraId="3FA28A47" w14:textId="77777777" w:rsidR="00A75D0A" w:rsidRPr="00A75D0A" w:rsidRDefault="00A75D0A" w:rsidP="00A75D0A">
      <w:pPr>
        <w:pStyle w:val="af0"/>
      </w:pPr>
      <w:r w:rsidRPr="00A75D0A">
        <w:lastRenderedPageBreak/>
        <w:t>Οι Επικεφαλής Εταίροι πρέπει να εγγραφούν στο JEMS και να παράσχουν ένα σύνολο διαπιστευτηρίων (όνομα χρήστη και κωδικό πρόσβασης) για να δημιουργήσουν και να υποβάλουν την Αίτησή τους (</w:t>
      </w:r>
      <w:r w:rsidRPr="00A75D0A">
        <w:rPr>
          <w:lang w:val="en-US"/>
        </w:rPr>
        <w:t>Application</w:t>
      </w:r>
      <w:r w:rsidRPr="00A75D0A">
        <w:t xml:space="preserve"> </w:t>
      </w:r>
      <w:r w:rsidRPr="00A75D0A">
        <w:rPr>
          <w:lang w:val="en-US"/>
        </w:rPr>
        <w:t>Form</w:t>
      </w:r>
      <w:r w:rsidRPr="00A75D0A">
        <w:t>) για λογαριασμό ολόκληρης της συνεργασίας. Ο κάθε Επικεφαλής Εταίρος θα είναι υπεύθυνος για την υποβολή της Αίτησης για λογαριασμό της εταιρικής του σχέσης.</w:t>
      </w:r>
    </w:p>
    <w:p w14:paraId="599F91B2" w14:textId="77777777" w:rsidR="00A75D0A" w:rsidRPr="00A75D0A" w:rsidRDefault="00A75D0A" w:rsidP="00A75D0A">
      <w:pPr>
        <w:pStyle w:val="af0"/>
        <w:rPr>
          <w:b/>
        </w:rPr>
      </w:pPr>
      <w:r w:rsidRPr="00A75D0A">
        <w:rPr>
          <w:b/>
        </w:rPr>
        <w:t>Μέγεθος έργου</w:t>
      </w:r>
    </w:p>
    <w:p w14:paraId="59A53394" w14:textId="77777777" w:rsidR="00A75D0A" w:rsidRPr="00A75D0A" w:rsidRDefault="00A75D0A" w:rsidP="00A75D0A">
      <w:pPr>
        <w:pStyle w:val="af0"/>
      </w:pPr>
      <w:r w:rsidRPr="00A75D0A">
        <w:t xml:space="preserve">Οι προτάσεις έργων που υποβάλλονται στο πλαίσιο της πρώτης πρόσκλησης υποβολής προτάσεων του προγράμματος IPA ADRION θα έχουν προϋπολογισμό της ΕΕ (κονδύλια INTERREG) </w:t>
      </w:r>
      <w:r w:rsidRPr="00A75D0A">
        <w:rPr>
          <w:b/>
        </w:rPr>
        <w:t>έως 1.500.000,00 ευρώ κατ' ανώτατο όριο</w:t>
      </w:r>
      <w:r w:rsidRPr="00A75D0A">
        <w:t>.</w:t>
      </w:r>
    </w:p>
    <w:p w14:paraId="31B88D68" w14:textId="77777777" w:rsidR="00A75D0A" w:rsidRPr="00A75D0A" w:rsidRDefault="00A75D0A" w:rsidP="00A75D0A">
      <w:pPr>
        <w:pStyle w:val="af0"/>
      </w:pPr>
      <w:r w:rsidRPr="00A75D0A">
        <w:t>Ο προϋπολογισμός του έργου πρέπει να βασίζεται στην αρχή της χρηστής δημοσιονομικής διαχείρισης, δηλαδή: πρέπει να αντικατοπτρίζει πραγματικά τις δραστηριότητες που προβλέπονται στο έργο.</w:t>
      </w:r>
    </w:p>
    <w:p w14:paraId="1015A40E" w14:textId="77777777" w:rsidR="00A75D0A" w:rsidRPr="00A75D0A" w:rsidRDefault="00A75D0A" w:rsidP="00A75D0A">
      <w:pPr>
        <w:pStyle w:val="af0"/>
        <w:rPr>
          <w:b/>
        </w:rPr>
      </w:pPr>
      <w:r w:rsidRPr="00A75D0A">
        <w:rPr>
          <w:b/>
        </w:rPr>
        <w:t>Διάρκεια έργου</w:t>
      </w:r>
    </w:p>
    <w:p w14:paraId="29435553" w14:textId="77777777" w:rsidR="00A75D0A" w:rsidRPr="00A75D0A" w:rsidRDefault="00A75D0A" w:rsidP="00A75D0A">
      <w:pPr>
        <w:pStyle w:val="af0"/>
      </w:pPr>
      <w:r w:rsidRPr="00A75D0A">
        <w:t>Όσον αφορά την πρώτη πρόσκληση υποβολής προτάσεων, η διάρκεια του έργου, η διάρκεια του έργου είναι έως 36 μήνες κατ' ανώτατο όριο.</w:t>
      </w:r>
    </w:p>
    <w:p w14:paraId="172D1963" w14:textId="77777777" w:rsidR="00A75D0A" w:rsidRDefault="00A75D0A" w:rsidP="00A75D0A">
      <w:pPr>
        <w:pStyle w:val="af0"/>
      </w:pPr>
      <w:r w:rsidRPr="00A75D0A">
        <w:t>Οι αιτούντες αναφέρουν την ημερομηνία έναρξης και λήξης στο έντυπο αίτησης, λαμβάνοντας υπόψη τον απαραίτητο χρόνο για τη διαδικασία αξιολόγησης και επιλογής και τις διαδικασίες σύναψης συμβάσεων.</w:t>
      </w:r>
    </w:p>
    <w:p w14:paraId="717D33E6" w14:textId="77777777" w:rsidR="00222893" w:rsidRPr="00A75D0A" w:rsidRDefault="00222893" w:rsidP="00A75D0A">
      <w:pPr>
        <w:pStyle w:val="af0"/>
        <w:rPr>
          <w:i/>
          <w:iCs/>
        </w:rPr>
      </w:pPr>
    </w:p>
    <w:p w14:paraId="393ADAC4" w14:textId="77777777" w:rsidR="00222893" w:rsidRDefault="00222893" w:rsidP="00A75D0A">
      <w:pPr>
        <w:pStyle w:val="af0"/>
      </w:pPr>
    </w:p>
    <w:p w14:paraId="21E77562" w14:textId="455E9242" w:rsidR="00222893" w:rsidRPr="00957288" w:rsidRDefault="00222893" w:rsidP="00222893">
      <w:pPr>
        <w:pStyle w:val="20"/>
        <w:shd w:val="clear" w:color="auto" w:fill="D9D9D9" w:themeFill="background1" w:themeFillShade="D9"/>
        <w:spacing w:afterLines="160" w:after="384" w:line="240" w:lineRule="auto"/>
        <w:ind w:right="43"/>
        <w:jc w:val="center"/>
        <w:rPr>
          <w:rFonts w:ascii="Times New Roman" w:hAnsi="Times New Roman" w:cs="Times New Roman"/>
          <w:b/>
          <w:bCs/>
          <w:color w:val="auto"/>
          <w:sz w:val="24"/>
          <w:szCs w:val="24"/>
        </w:rPr>
      </w:pPr>
      <w:bookmarkStart w:id="4" w:name="_Toc134449083"/>
      <w:r>
        <w:rPr>
          <w:rFonts w:ascii="Times New Roman" w:hAnsi="Times New Roman" w:cs="Times New Roman"/>
          <w:b/>
          <w:bCs/>
          <w:color w:val="auto"/>
          <w:sz w:val="24"/>
          <w:szCs w:val="24"/>
        </w:rPr>
        <w:t>Β</w:t>
      </w:r>
      <w:r w:rsidRPr="00957288">
        <w:rPr>
          <w:rFonts w:ascii="Times New Roman" w:hAnsi="Times New Roman" w:cs="Times New Roman"/>
          <w:b/>
          <w:bCs/>
          <w:color w:val="auto"/>
          <w:sz w:val="24"/>
          <w:szCs w:val="24"/>
        </w:rPr>
        <w:t xml:space="preserve">. </w:t>
      </w:r>
      <w:r w:rsidRPr="00222893">
        <w:rPr>
          <w:rFonts w:ascii="Times New Roman" w:hAnsi="Times New Roman" w:cs="Times New Roman"/>
          <w:b/>
          <w:bCs/>
          <w:color w:val="auto"/>
          <w:sz w:val="24"/>
          <w:szCs w:val="24"/>
        </w:rPr>
        <w:t>Καινοτομία και Πράσινη Μετάβαση στη Μεταποίηση Αγροτικών Προϊόντων</w:t>
      </w:r>
      <w:r>
        <w:rPr>
          <w:rFonts w:ascii="Times New Roman" w:hAnsi="Times New Roman" w:cs="Times New Roman"/>
          <w:b/>
          <w:bCs/>
          <w:color w:val="auto"/>
          <w:sz w:val="24"/>
          <w:szCs w:val="24"/>
        </w:rPr>
        <w:t xml:space="preserve"> </w:t>
      </w:r>
      <w:r w:rsidRPr="00222893">
        <w:rPr>
          <w:rFonts w:ascii="Times New Roman" w:hAnsi="Times New Roman" w:cs="Times New Roman"/>
          <w:b/>
          <w:bCs/>
          <w:color w:val="auto"/>
          <w:sz w:val="24"/>
          <w:szCs w:val="24"/>
        </w:rPr>
        <w:t>2ος Κύκλος Υποβολών</w:t>
      </w:r>
      <w:bookmarkEnd w:id="4"/>
    </w:p>
    <w:p w14:paraId="4BFC3E0F" w14:textId="77777777" w:rsidR="00222893" w:rsidRDefault="00222893" w:rsidP="00222893">
      <w:pPr>
        <w:pStyle w:val="af0"/>
        <w:rPr>
          <w:b/>
          <w:u w:val="single"/>
        </w:rPr>
      </w:pPr>
      <w:r w:rsidRPr="00222893">
        <w:rPr>
          <w:b/>
          <w:u w:val="single"/>
        </w:rPr>
        <w:t>ΕΠΙΛΕΞΙΜΕΣ ΕΠΙΧΕΙΡΗΣΕΙΣ</w:t>
      </w:r>
    </w:p>
    <w:p w14:paraId="42CB45E4" w14:textId="77777777" w:rsidR="00222893" w:rsidRPr="00222893" w:rsidRDefault="00222893" w:rsidP="00222893">
      <w:pPr>
        <w:pStyle w:val="af0"/>
        <w:rPr>
          <w:b/>
          <w:u w:val="single"/>
        </w:rPr>
      </w:pPr>
    </w:p>
    <w:p w14:paraId="26E5A6B5" w14:textId="77777777" w:rsidR="00222893" w:rsidRPr="00222893" w:rsidRDefault="00222893" w:rsidP="00222893">
      <w:pPr>
        <w:pStyle w:val="af0"/>
      </w:pPr>
      <w:r w:rsidRPr="00222893">
        <w:t xml:space="preserve">Στο πλαίσιο του προγράμματος </w:t>
      </w:r>
      <w:r w:rsidRPr="00222893">
        <w:rPr>
          <w:b/>
        </w:rPr>
        <w:t>«Καινοτομία και πράσινη μετάβαση στη μεταποίηση αγροτικών προϊόντων»</w:t>
      </w:r>
      <w:r w:rsidRPr="00222893">
        <w:t xml:space="preserve">, δικαιούχοι δύνανται να κριθούν όλα τα </w:t>
      </w:r>
      <w:r w:rsidRPr="00222893">
        <w:rPr>
          <w:u w:val="single"/>
        </w:rPr>
        <w:t>νομικά πρόσωπα</w:t>
      </w:r>
      <w:r w:rsidRPr="00222893">
        <w:t xml:space="preserve"> είτε ανήκουν στις μικρομεσαίες, είτε στις μεγάλες επιχειρήσεις, υπό την προϋπόθεση να δραστηριοποιούνται σε έναν από τους τομείς «Δραστηριότητες μετά την συγκομιδή», «Βιομηχανία τροφίμων», «Ποτοποιία», «Παραγωγή προϊόντων καπνού»,  «Παραγωγή κλωστοϋφαντουργικών υλών», «Αποθήκευση και υποστηρικτικές προς μεταφορά δραστηριότητες» σύμφωνα με τον πίνακα των επιλέξιμων ΚΑΔ και υπό την προϋπόθεση να πληρούν μια από τις ακόλουθες προϋποθέσεις:</w:t>
      </w:r>
    </w:p>
    <w:p w14:paraId="53393EC0" w14:textId="77777777" w:rsidR="00222893" w:rsidRPr="00222893" w:rsidRDefault="00222893" w:rsidP="00222893">
      <w:pPr>
        <w:pStyle w:val="af0"/>
      </w:pPr>
    </w:p>
    <w:p w14:paraId="56293326" w14:textId="77777777" w:rsidR="00222893" w:rsidRPr="00222893" w:rsidRDefault="00222893" w:rsidP="00EE5D5F">
      <w:pPr>
        <w:pStyle w:val="af0"/>
        <w:numPr>
          <w:ilvl w:val="0"/>
          <w:numId w:val="11"/>
        </w:numPr>
      </w:pPr>
      <w:r w:rsidRPr="00222893">
        <w:t xml:space="preserve">Είναι Ομάδες Παραγωγών, Οργανώσεις Παραγωγών, Ενώσεις Οργανώσεων Παραγωγών, Αγροτικοί Συνεταιρισμοί (ΑΣ), Αγροτικές Εταιρικές Συμπράξεις και Ανώνυμες Εταιρίες των οποίων η πλειοψηφία των μετοχών ανήκει σε </w:t>
      </w:r>
      <w:r w:rsidRPr="00222893">
        <w:lastRenderedPageBreak/>
        <w:t>Αγροτικούς Συνεταιρισμούς του ν. 4673/2020 «Αγροτικοί Συνεταιρισμοί και άλλες διατάξεις».</w:t>
      </w:r>
    </w:p>
    <w:p w14:paraId="059C2C20" w14:textId="77777777" w:rsidR="00222893" w:rsidRPr="00222893" w:rsidRDefault="00222893" w:rsidP="00222893">
      <w:pPr>
        <w:pStyle w:val="af0"/>
      </w:pPr>
    </w:p>
    <w:p w14:paraId="535569A4" w14:textId="77777777" w:rsidR="00222893" w:rsidRPr="00222893" w:rsidRDefault="00222893" w:rsidP="00EE5D5F">
      <w:pPr>
        <w:pStyle w:val="af0"/>
        <w:numPr>
          <w:ilvl w:val="0"/>
          <w:numId w:val="11"/>
        </w:numPr>
      </w:pPr>
      <w:r w:rsidRPr="00222893">
        <w:t xml:space="preserve">Είναι Κοινωνικές Συνεταιριστικές Επιχειρήσεις του ν. 4430/2016 και εταιρίες του εμπορικού δικαίου, εκτός αυτών της περίπτωσης α) πιο πάνω, εφόσον μεταποιούν ή/και εμπορεύονται γεωργικό προϊόν με παραγόμενο, τελικό, γεωργικό ή μη γεωργικό προϊόν, κατ’ ελάχιστον το 40% κατ’ έτος, της αξίας των Α’ υλών που χρησιμοποιούνται στην ενισχυόμενη επένδυση είναι γεωργικό προϊόν </w:t>
      </w:r>
      <w:proofErr w:type="spellStart"/>
      <w:r w:rsidRPr="00222893">
        <w:t>συμβολαιακής</w:t>
      </w:r>
      <w:proofErr w:type="spellEnd"/>
      <w:r w:rsidRPr="00222893">
        <w:t xml:space="preserve"> γεωργίας. Τα συμβόλαια συνάπτονται μεταξύ του δικαιούχου της ενίσχυσης και των παραγωγών του γεωργικού προϊόντος. Η υποχρέωση εφαρμογής της </w:t>
      </w:r>
      <w:proofErr w:type="spellStart"/>
      <w:r w:rsidRPr="00222893">
        <w:t>συμβολαιακής</w:t>
      </w:r>
      <w:proofErr w:type="spellEnd"/>
      <w:r w:rsidRPr="00222893">
        <w:t xml:space="preserve"> γεωργίας ξεκινάει από την ημερομηνία ολοκλήρωσης της υλοποίησης της επένδυσης και τα συμβόλαια είναι τουλάχιστον 3-ετούς διάρκειας. Με την πάροδο 3-ετίας από την ολοκλήρωση της υλοποίησης της επένδυσης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0EC2A441" w14:textId="77777777" w:rsidR="00222893" w:rsidRPr="00222893" w:rsidRDefault="00222893" w:rsidP="00222893">
      <w:pPr>
        <w:pStyle w:val="af0"/>
      </w:pPr>
    </w:p>
    <w:p w14:paraId="5C2405C3" w14:textId="77777777" w:rsidR="00222893" w:rsidRPr="00222893" w:rsidRDefault="00222893" w:rsidP="00EE5D5F">
      <w:pPr>
        <w:pStyle w:val="af0"/>
        <w:numPr>
          <w:ilvl w:val="0"/>
          <w:numId w:val="11"/>
        </w:numPr>
      </w:pPr>
      <w:r w:rsidRPr="00222893">
        <w:t xml:space="preserve">Είναι Κοινωνικές Συνεταιριστικές Επιχειρήσεις του ν. 4430/2016 και εταιρίες του εμπορικού δικαίου, εκτός αυτών της περίπτωσης α) πιο πάνω, οι οποίες εμφανίζουν βαθμό καθετοποίησης σε ποσοστό τουλάχιστον 40%, αξιοποιώντας </w:t>
      </w:r>
      <w:proofErr w:type="spellStart"/>
      <w:r w:rsidRPr="00222893">
        <w:t>ιδιοπαραγόμενα</w:t>
      </w:r>
      <w:proofErr w:type="spellEnd"/>
      <w:r w:rsidRPr="00222893">
        <w:t xml:space="preserve"> αγροτικά προϊόντα. Η υποχρέωση διατήρησης του ποσοστού καθετοποίησης ξεκινάει μετά την ολοκλήρωση της υλοποίησης της επένδυσης και είναι 3-ετής. Με την πάροδο της 3-τίας από την έναρξη της υποχρέωσης καθετοποίησης της παραγωγής και εντός προθεσμίας 2 μηνών, ο δικαιούχος υποχρεούται να προσκομίσει ενυπόγραφη βεβαίωση ορκωτού λογιστή, όπου θα τεκμηριώνονται τα ανωτέρω.</w:t>
      </w:r>
    </w:p>
    <w:p w14:paraId="6CFDF3DC" w14:textId="77777777" w:rsidR="00222893" w:rsidRPr="00222893" w:rsidRDefault="00222893" w:rsidP="00222893">
      <w:pPr>
        <w:pStyle w:val="af0"/>
      </w:pPr>
    </w:p>
    <w:p w14:paraId="65813FF2" w14:textId="77777777" w:rsidR="00222893" w:rsidRPr="00222893" w:rsidRDefault="00222893" w:rsidP="00EE5D5F">
      <w:pPr>
        <w:pStyle w:val="af0"/>
        <w:numPr>
          <w:ilvl w:val="0"/>
          <w:numId w:val="11"/>
        </w:numPr>
      </w:pPr>
      <w:r w:rsidRPr="00222893">
        <w:t>Υπό σύσταση νομικά πρόσωπα, με την προϋπόθεση να ολοκληρώσουν τις διαδικασίες σύστασης πριν την έκδοση της ατομικής τους εγκριτικής απόφασης ενίσχυσης.</w:t>
      </w:r>
    </w:p>
    <w:p w14:paraId="402A3FD8" w14:textId="77777777" w:rsidR="00222893" w:rsidRDefault="00222893" w:rsidP="00A75D0A">
      <w:pPr>
        <w:pStyle w:val="af0"/>
      </w:pPr>
    </w:p>
    <w:p w14:paraId="2FE017B6" w14:textId="77777777" w:rsidR="00222893" w:rsidRDefault="00222893" w:rsidP="00222893">
      <w:pPr>
        <w:pStyle w:val="af0"/>
        <w:rPr>
          <w:b/>
          <w:u w:val="single"/>
        </w:rPr>
      </w:pPr>
      <w:r w:rsidRPr="00222893">
        <w:rPr>
          <w:b/>
          <w:u w:val="single"/>
        </w:rPr>
        <w:t>ΠΡΟΥΠΟΛΟΓΙΣΜΟΣ ΔΡΑΣΗΣ</w:t>
      </w:r>
    </w:p>
    <w:p w14:paraId="48B446C8" w14:textId="77777777" w:rsidR="00222893" w:rsidRPr="00222893" w:rsidRDefault="00222893" w:rsidP="00222893">
      <w:pPr>
        <w:pStyle w:val="af0"/>
        <w:rPr>
          <w:b/>
          <w:u w:val="single"/>
        </w:rPr>
      </w:pPr>
    </w:p>
    <w:p w14:paraId="42FA7D94" w14:textId="77777777" w:rsidR="00222893" w:rsidRPr="00222893" w:rsidRDefault="00222893" w:rsidP="00222893">
      <w:pPr>
        <w:pStyle w:val="af0"/>
      </w:pPr>
      <w:r w:rsidRPr="00222893">
        <w:t xml:space="preserve">Η δημόσια ενίσχυση ανέρχεται σε </w:t>
      </w:r>
      <w:r w:rsidRPr="00222893">
        <w:rPr>
          <w:b/>
        </w:rPr>
        <w:t>65.000.000 €,</w:t>
      </w:r>
      <w:r w:rsidRPr="00222893">
        <w:t xml:space="preserve"> χρηματοδοτείται από το Ταμείο Ανάκαμψης και Ανθεκτικότητας για την περίοδο 2022-2025 </w:t>
      </w:r>
    </w:p>
    <w:p w14:paraId="3A4E533E" w14:textId="77777777" w:rsidR="00222893" w:rsidRDefault="00222893" w:rsidP="00222893">
      <w:pPr>
        <w:pStyle w:val="af0"/>
      </w:pPr>
    </w:p>
    <w:p w14:paraId="1B150C1C" w14:textId="77777777" w:rsidR="00222893" w:rsidRPr="00222893" w:rsidRDefault="00222893" w:rsidP="00222893">
      <w:pPr>
        <w:pStyle w:val="af0"/>
      </w:pPr>
    </w:p>
    <w:p w14:paraId="72B17268" w14:textId="77777777" w:rsidR="00222893" w:rsidRDefault="00222893" w:rsidP="00222893">
      <w:pPr>
        <w:pStyle w:val="af0"/>
        <w:rPr>
          <w:b/>
          <w:u w:val="single"/>
        </w:rPr>
      </w:pPr>
      <w:r w:rsidRPr="00222893">
        <w:rPr>
          <w:b/>
          <w:u w:val="single"/>
        </w:rPr>
        <w:lastRenderedPageBreak/>
        <w:t>ΔΙΑΡΚΕΙΑ ΥΛΟΠΟΙΗΣΗΣ</w:t>
      </w:r>
    </w:p>
    <w:p w14:paraId="3385A8C7" w14:textId="77777777" w:rsidR="00222893" w:rsidRPr="00222893" w:rsidRDefault="00222893" w:rsidP="00222893">
      <w:pPr>
        <w:pStyle w:val="af0"/>
        <w:rPr>
          <w:b/>
          <w:u w:val="single"/>
        </w:rPr>
      </w:pPr>
    </w:p>
    <w:p w14:paraId="1C7F017C" w14:textId="77777777" w:rsidR="00222893" w:rsidRPr="00222893" w:rsidRDefault="00222893" w:rsidP="00222893">
      <w:pPr>
        <w:pStyle w:val="af0"/>
      </w:pPr>
      <w:r w:rsidRPr="00222893">
        <w:t>Μέγιστη διάρκεια ολοκλήρωσης επένδυσης: 18 μήνες με δυνατότητα παράτασης 6 μηνών και το αργότερο έως την 31 Μαΐου 2025.</w:t>
      </w:r>
    </w:p>
    <w:p w14:paraId="4F68B5B5" w14:textId="77777777" w:rsidR="00222893" w:rsidRPr="00222893" w:rsidRDefault="00222893" w:rsidP="00222893">
      <w:pPr>
        <w:pStyle w:val="af0"/>
        <w:rPr>
          <w:b/>
          <w:u w:val="single"/>
        </w:rPr>
      </w:pPr>
    </w:p>
    <w:p w14:paraId="7F0FBB6A" w14:textId="77777777" w:rsidR="00222893" w:rsidRDefault="00222893" w:rsidP="00222893">
      <w:pPr>
        <w:pStyle w:val="af0"/>
        <w:rPr>
          <w:b/>
          <w:u w:val="single"/>
        </w:rPr>
      </w:pPr>
      <w:r w:rsidRPr="00222893">
        <w:rPr>
          <w:b/>
          <w:u w:val="single"/>
        </w:rPr>
        <w:t xml:space="preserve">ΧΡΟΝΟΣ ΥΠΟΒΟΛΗΣ </w:t>
      </w:r>
    </w:p>
    <w:p w14:paraId="0EF2BCA4" w14:textId="77777777" w:rsidR="00222893" w:rsidRPr="00222893" w:rsidRDefault="00222893" w:rsidP="00222893">
      <w:pPr>
        <w:pStyle w:val="af0"/>
        <w:rPr>
          <w:b/>
          <w:u w:val="single"/>
        </w:rPr>
      </w:pPr>
    </w:p>
    <w:p w14:paraId="1995C978" w14:textId="77777777" w:rsidR="00222893" w:rsidRPr="00222893" w:rsidRDefault="00222893" w:rsidP="00222893">
      <w:pPr>
        <w:pStyle w:val="af0"/>
      </w:pPr>
      <w:r w:rsidRPr="00222893">
        <w:t xml:space="preserve">Οι υποβολές πραγματοποιούνται από 12 Μαΐου, ώρα 12:00 έως </w:t>
      </w:r>
    </w:p>
    <w:p w14:paraId="225ED318" w14:textId="77777777" w:rsidR="00222893" w:rsidRPr="00222893" w:rsidRDefault="00222893" w:rsidP="00222893">
      <w:pPr>
        <w:pStyle w:val="af0"/>
      </w:pPr>
      <w:r w:rsidRPr="00222893">
        <w:t>12 Ιουλίου 2022, ώρα 12:00 και μέχρι εξαντλήσεως του προϋπολογισμού.</w:t>
      </w:r>
    </w:p>
    <w:p w14:paraId="2AD4F2AC" w14:textId="77777777" w:rsidR="00222893" w:rsidRPr="00222893" w:rsidRDefault="00222893" w:rsidP="00222893">
      <w:pPr>
        <w:pStyle w:val="af0"/>
      </w:pPr>
    </w:p>
    <w:p w14:paraId="466E77BE" w14:textId="77777777" w:rsidR="00222893" w:rsidRDefault="00222893" w:rsidP="00222893">
      <w:pPr>
        <w:pStyle w:val="af0"/>
        <w:rPr>
          <w:b/>
          <w:u w:val="single"/>
        </w:rPr>
      </w:pPr>
      <w:r w:rsidRPr="00222893">
        <w:rPr>
          <w:b/>
          <w:u w:val="single"/>
        </w:rPr>
        <w:t>ΔΙΑΔΙΚΑΣΙΑ ΑΞΙΟΛΟΓΗΣΗΣ</w:t>
      </w:r>
    </w:p>
    <w:p w14:paraId="1128A18C" w14:textId="77777777" w:rsidR="00222893" w:rsidRPr="00222893" w:rsidRDefault="00222893" w:rsidP="00222893">
      <w:pPr>
        <w:pStyle w:val="af0"/>
        <w:rPr>
          <w:b/>
          <w:u w:val="single"/>
        </w:rPr>
      </w:pPr>
    </w:p>
    <w:p w14:paraId="16F483E6" w14:textId="77777777" w:rsidR="00222893" w:rsidRPr="00222893" w:rsidRDefault="00222893" w:rsidP="00222893">
      <w:pPr>
        <w:pStyle w:val="af0"/>
      </w:pPr>
      <w:r w:rsidRPr="00222893">
        <w:t xml:space="preserve">Η αξιολόγηση των αιτήσεων χρηματοδότησης θα ξεκινήσει αμέσως μετά τη λήξη της προθεσμίας υποβολής των αιτήσεων. </w:t>
      </w:r>
    </w:p>
    <w:p w14:paraId="3D74DA28" w14:textId="77777777" w:rsidR="00222893" w:rsidRPr="00222893" w:rsidRDefault="00222893" w:rsidP="00222893">
      <w:pPr>
        <w:pStyle w:val="af0"/>
      </w:pPr>
      <w:r w:rsidRPr="00222893">
        <w:t xml:space="preserve">Η σειρά προτεραιότητας, για την αξιολόγηση των αιτήσεων, θα διαμορφωθεί λαμβάνοντας υπόψη τη διαφορά ανάμεσα στην αιτούμενη ένταση ενίσχυσης και την ένταση ενίσχυσης που προκύπτει από τον Πίνακα 2, της </w:t>
      </w:r>
      <w:proofErr w:type="spellStart"/>
      <w:r w:rsidRPr="00222893">
        <w:t>υποπαραγράφου</w:t>
      </w:r>
      <w:proofErr w:type="spellEnd"/>
      <w:r w:rsidRPr="00222893">
        <w:t xml:space="preserve"> 4.2, της παραγράφου 4, για τις περιφερειακές ενισχύσεις, κατά φθίνουσα σειρά. Σε περίπτωση ίδιας διαφοράς, προηγείται η αίτηση που υποβλήθηκε πρώτη, σύμφωνα με τον αριθμό πρωτοκόλλου που εκδίδεται από το Πληροφοριακό Σύστημα Υποβολής των Αιτήσεων (ΠΣ)..</w:t>
      </w:r>
    </w:p>
    <w:p w14:paraId="6AAFD9C5" w14:textId="77777777" w:rsidR="00222893" w:rsidRDefault="00222893" w:rsidP="00A75D0A">
      <w:pPr>
        <w:pStyle w:val="af0"/>
      </w:pPr>
    </w:p>
    <w:p w14:paraId="78199093" w14:textId="77777777" w:rsidR="00222893" w:rsidRDefault="00222893" w:rsidP="00222893">
      <w:pPr>
        <w:pStyle w:val="af0"/>
        <w:rPr>
          <w:b/>
          <w:u w:val="single"/>
        </w:rPr>
      </w:pPr>
      <w:r w:rsidRPr="00222893">
        <w:rPr>
          <w:b/>
          <w:u w:val="single"/>
        </w:rPr>
        <w:t xml:space="preserve">ΠΟΣΟΣΤΟ ΕΠΙΔΟΤΗΣΗΣ </w:t>
      </w:r>
    </w:p>
    <w:p w14:paraId="156A7B6B" w14:textId="77777777" w:rsidR="00222893" w:rsidRPr="00222893" w:rsidRDefault="00222893" w:rsidP="00222893">
      <w:pPr>
        <w:pStyle w:val="af0"/>
        <w:rPr>
          <w:b/>
          <w:u w:val="single"/>
        </w:rPr>
      </w:pPr>
    </w:p>
    <w:p w14:paraId="07CC60D3" w14:textId="77777777" w:rsidR="00222893" w:rsidRDefault="00222893" w:rsidP="00222893">
      <w:pPr>
        <w:pStyle w:val="af0"/>
      </w:pPr>
      <w:r w:rsidRPr="00222893">
        <w:t xml:space="preserve">Το ποσοστό Ενίσχυσης κυμαίνεται από </w:t>
      </w:r>
      <w:r w:rsidRPr="00222893">
        <w:rPr>
          <w:b/>
        </w:rPr>
        <w:t>15%</w:t>
      </w:r>
      <w:r w:rsidRPr="00222893">
        <w:t xml:space="preserve"> έως </w:t>
      </w:r>
      <w:r w:rsidRPr="00222893">
        <w:rPr>
          <w:b/>
        </w:rPr>
        <w:t>55%</w:t>
      </w:r>
      <w:r w:rsidRPr="00222893">
        <w:t xml:space="preserve">  </w:t>
      </w:r>
    </w:p>
    <w:p w14:paraId="6BB95D0B" w14:textId="77777777" w:rsidR="00222893" w:rsidRPr="00222893" w:rsidRDefault="00222893" w:rsidP="00222893">
      <w:pPr>
        <w:pStyle w:val="af0"/>
      </w:pPr>
    </w:p>
    <w:tbl>
      <w:tblPr>
        <w:tblStyle w:val="ab"/>
        <w:tblpPr w:leftFromText="180" w:rightFromText="180" w:vertAnchor="text" w:tblpXSpec="center" w:tblpY="1"/>
        <w:tblOverlap w:val="never"/>
        <w:tblW w:w="0" w:type="auto"/>
        <w:tblLook w:val="04A0" w:firstRow="1" w:lastRow="0" w:firstColumn="1" w:lastColumn="0" w:noHBand="0" w:noVBand="1"/>
      </w:tblPr>
      <w:tblGrid>
        <w:gridCol w:w="2547"/>
        <w:gridCol w:w="1985"/>
        <w:gridCol w:w="1985"/>
      </w:tblGrid>
      <w:tr w:rsidR="00222893" w:rsidRPr="00222893" w14:paraId="34274C09" w14:textId="77777777" w:rsidTr="00222893">
        <w:tc>
          <w:tcPr>
            <w:tcW w:w="2547" w:type="dxa"/>
          </w:tcPr>
          <w:p w14:paraId="46AB3739" w14:textId="77777777" w:rsidR="00222893" w:rsidRPr="00222893" w:rsidRDefault="00222893" w:rsidP="00222893">
            <w:pPr>
              <w:pStyle w:val="af0"/>
              <w:rPr>
                <w:b/>
              </w:rPr>
            </w:pPr>
            <w:r w:rsidRPr="00222893">
              <w:rPr>
                <w:b/>
              </w:rPr>
              <w:t>Μέγεθος επιχειρήσεων</w:t>
            </w:r>
          </w:p>
        </w:tc>
        <w:tc>
          <w:tcPr>
            <w:tcW w:w="1985" w:type="dxa"/>
          </w:tcPr>
          <w:p w14:paraId="317264DE" w14:textId="77777777" w:rsidR="00222893" w:rsidRPr="00222893" w:rsidRDefault="00222893" w:rsidP="00222893">
            <w:pPr>
              <w:pStyle w:val="af0"/>
              <w:rPr>
                <w:b/>
              </w:rPr>
            </w:pPr>
            <w:r w:rsidRPr="00222893">
              <w:rPr>
                <w:b/>
              </w:rPr>
              <w:t>Κατώτατος Προϋπολογισμός</w:t>
            </w:r>
          </w:p>
        </w:tc>
        <w:tc>
          <w:tcPr>
            <w:tcW w:w="1985" w:type="dxa"/>
          </w:tcPr>
          <w:p w14:paraId="0C94665A" w14:textId="77777777" w:rsidR="00222893" w:rsidRPr="00222893" w:rsidRDefault="00222893" w:rsidP="00222893">
            <w:pPr>
              <w:pStyle w:val="af0"/>
              <w:rPr>
                <w:b/>
              </w:rPr>
            </w:pPr>
            <w:r w:rsidRPr="00222893">
              <w:rPr>
                <w:b/>
              </w:rPr>
              <w:t>Ανώτατος Προϋπολογισμός</w:t>
            </w:r>
          </w:p>
        </w:tc>
      </w:tr>
      <w:tr w:rsidR="00222893" w:rsidRPr="00222893" w14:paraId="441D67E2" w14:textId="77777777" w:rsidTr="00222893">
        <w:tc>
          <w:tcPr>
            <w:tcW w:w="2547" w:type="dxa"/>
          </w:tcPr>
          <w:p w14:paraId="629CB7BB" w14:textId="42B74E23" w:rsidR="00222893" w:rsidRPr="00222893" w:rsidRDefault="00222893" w:rsidP="00222893">
            <w:pPr>
              <w:pStyle w:val="af0"/>
            </w:pPr>
            <w:r w:rsidRPr="00222893">
              <w:t>Πολύ μικρές</w:t>
            </w:r>
            <w:r>
              <w:t xml:space="preserve"> – </w:t>
            </w:r>
            <w:r w:rsidRPr="00222893">
              <w:t>Μικρές</w:t>
            </w:r>
            <w:r>
              <w:t xml:space="preserve"> </w:t>
            </w:r>
            <w:r w:rsidRPr="00222893">
              <w:t>-Μεσαίες</w:t>
            </w:r>
          </w:p>
        </w:tc>
        <w:tc>
          <w:tcPr>
            <w:tcW w:w="1985" w:type="dxa"/>
          </w:tcPr>
          <w:p w14:paraId="31415F32" w14:textId="77777777" w:rsidR="00222893" w:rsidRPr="00222893" w:rsidRDefault="00222893" w:rsidP="00222893">
            <w:pPr>
              <w:pStyle w:val="af0"/>
            </w:pPr>
            <w:r w:rsidRPr="00222893">
              <w:t>500.000,00€</w:t>
            </w:r>
          </w:p>
        </w:tc>
        <w:tc>
          <w:tcPr>
            <w:tcW w:w="1985" w:type="dxa"/>
          </w:tcPr>
          <w:p w14:paraId="33EDC7F9" w14:textId="77777777" w:rsidR="00222893" w:rsidRPr="00222893" w:rsidRDefault="00222893" w:rsidP="00222893">
            <w:pPr>
              <w:pStyle w:val="af0"/>
            </w:pPr>
            <w:r w:rsidRPr="00222893">
              <w:t>7.500.000,00€</w:t>
            </w:r>
          </w:p>
        </w:tc>
      </w:tr>
      <w:tr w:rsidR="00222893" w:rsidRPr="00222893" w14:paraId="639C0EC4" w14:textId="77777777" w:rsidTr="00222893">
        <w:tc>
          <w:tcPr>
            <w:tcW w:w="2547" w:type="dxa"/>
          </w:tcPr>
          <w:p w14:paraId="37272D6E" w14:textId="77777777" w:rsidR="00222893" w:rsidRPr="00222893" w:rsidRDefault="00222893" w:rsidP="00222893">
            <w:pPr>
              <w:pStyle w:val="af0"/>
            </w:pPr>
            <w:r w:rsidRPr="00222893">
              <w:t>Μεγάλες</w:t>
            </w:r>
          </w:p>
        </w:tc>
        <w:tc>
          <w:tcPr>
            <w:tcW w:w="1985" w:type="dxa"/>
          </w:tcPr>
          <w:p w14:paraId="7506B71D" w14:textId="77777777" w:rsidR="00222893" w:rsidRPr="00222893" w:rsidRDefault="00222893" w:rsidP="00222893">
            <w:pPr>
              <w:pStyle w:val="af0"/>
            </w:pPr>
            <w:r w:rsidRPr="00222893">
              <w:t>2.000.000,00€</w:t>
            </w:r>
          </w:p>
        </w:tc>
        <w:tc>
          <w:tcPr>
            <w:tcW w:w="1985" w:type="dxa"/>
          </w:tcPr>
          <w:p w14:paraId="1DABD1CB" w14:textId="77777777" w:rsidR="00222893" w:rsidRPr="00222893" w:rsidRDefault="00222893" w:rsidP="00222893">
            <w:pPr>
              <w:pStyle w:val="af0"/>
            </w:pPr>
            <w:r w:rsidRPr="00222893">
              <w:t>12.500.000,00€</w:t>
            </w:r>
          </w:p>
        </w:tc>
      </w:tr>
    </w:tbl>
    <w:p w14:paraId="74EF73FB" w14:textId="77777777" w:rsidR="00222893" w:rsidRPr="00222893" w:rsidRDefault="00222893" w:rsidP="00222893">
      <w:pPr>
        <w:pStyle w:val="af0"/>
      </w:pPr>
    </w:p>
    <w:tbl>
      <w:tblPr>
        <w:tblpPr w:leftFromText="180" w:rightFromText="180" w:vertAnchor="text" w:tblpXSpec="center" w:tblpY="1"/>
        <w:tblOverlap w:val="never"/>
        <w:tblW w:w="8500" w:type="dxa"/>
        <w:tblLayout w:type="fixed"/>
        <w:tblLook w:val="04A0" w:firstRow="1" w:lastRow="0" w:firstColumn="1" w:lastColumn="0" w:noHBand="0" w:noVBand="1"/>
      </w:tblPr>
      <w:tblGrid>
        <w:gridCol w:w="3681"/>
        <w:gridCol w:w="1842"/>
        <w:gridCol w:w="1560"/>
        <w:gridCol w:w="1417"/>
      </w:tblGrid>
      <w:tr w:rsidR="00222893" w:rsidRPr="00222893" w14:paraId="18A4B2A7" w14:textId="77777777" w:rsidTr="00222893">
        <w:trPr>
          <w:trHeight w:val="77"/>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4AEA" w14:textId="77777777" w:rsidR="00222893" w:rsidRPr="00222893" w:rsidRDefault="00222893" w:rsidP="00222893">
            <w:pPr>
              <w:pStyle w:val="af0"/>
              <w:rPr>
                <w:b/>
              </w:rPr>
            </w:pPr>
            <w:r w:rsidRPr="00222893">
              <w:rPr>
                <w:b/>
              </w:rPr>
              <w:lastRenderedPageBreak/>
              <w:t xml:space="preserve">ΠΕΡΙΦΕΡΕΙΕΣ </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60E3A7AE" w14:textId="77777777" w:rsidR="00222893" w:rsidRPr="00222893" w:rsidRDefault="00222893" w:rsidP="00222893">
            <w:pPr>
              <w:pStyle w:val="af0"/>
              <w:rPr>
                <w:b/>
              </w:rPr>
            </w:pPr>
            <w:r w:rsidRPr="00222893">
              <w:rPr>
                <w:b/>
              </w:rPr>
              <w:t xml:space="preserve">ΜΕΓΕΘΟΣ ΕΠΙΧΕΙΡΗΣΕΩΝ </w:t>
            </w:r>
          </w:p>
        </w:tc>
      </w:tr>
      <w:tr w:rsidR="00222893" w:rsidRPr="00222893" w14:paraId="1AC2D90B" w14:textId="77777777" w:rsidTr="00222893">
        <w:trPr>
          <w:trHeight w:val="77"/>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1666E7D" w14:textId="77777777" w:rsidR="00222893" w:rsidRPr="00222893" w:rsidRDefault="00222893" w:rsidP="00222893">
            <w:pPr>
              <w:pStyle w:val="af0"/>
              <w:rPr>
                <w:b/>
              </w:rPr>
            </w:pPr>
          </w:p>
        </w:tc>
        <w:tc>
          <w:tcPr>
            <w:tcW w:w="1842" w:type="dxa"/>
            <w:tcBorders>
              <w:top w:val="nil"/>
              <w:left w:val="nil"/>
              <w:bottom w:val="single" w:sz="4" w:space="0" w:color="auto"/>
              <w:right w:val="single" w:sz="4" w:space="0" w:color="auto"/>
            </w:tcBorders>
            <w:shd w:val="clear" w:color="auto" w:fill="auto"/>
            <w:noWrap/>
            <w:vAlign w:val="bottom"/>
            <w:hideMark/>
          </w:tcPr>
          <w:p w14:paraId="51A95F44" w14:textId="77777777" w:rsidR="00222893" w:rsidRPr="00222893" w:rsidRDefault="00222893" w:rsidP="00222893">
            <w:pPr>
              <w:pStyle w:val="af0"/>
              <w:rPr>
                <w:b/>
              </w:rPr>
            </w:pPr>
            <w:r w:rsidRPr="00222893">
              <w:rPr>
                <w:b/>
              </w:rPr>
              <w:t>ΜΕΓΑΛΕΣ</w:t>
            </w:r>
          </w:p>
        </w:tc>
        <w:tc>
          <w:tcPr>
            <w:tcW w:w="1560" w:type="dxa"/>
            <w:tcBorders>
              <w:top w:val="nil"/>
              <w:left w:val="nil"/>
              <w:bottom w:val="single" w:sz="4" w:space="0" w:color="auto"/>
              <w:right w:val="single" w:sz="4" w:space="0" w:color="auto"/>
            </w:tcBorders>
            <w:shd w:val="clear" w:color="auto" w:fill="auto"/>
            <w:noWrap/>
            <w:vAlign w:val="bottom"/>
            <w:hideMark/>
          </w:tcPr>
          <w:p w14:paraId="69B893D6" w14:textId="77777777" w:rsidR="00222893" w:rsidRPr="00222893" w:rsidRDefault="00222893" w:rsidP="00222893">
            <w:pPr>
              <w:pStyle w:val="af0"/>
              <w:rPr>
                <w:b/>
              </w:rPr>
            </w:pPr>
            <w:r w:rsidRPr="00222893">
              <w:rPr>
                <w:b/>
              </w:rPr>
              <w:t>ΜΕΣΑΙΕΣ</w:t>
            </w:r>
          </w:p>
        </w:tc>
        <w:tc>
          <w:tcPr>
            <w:tcW w:w="1417" w:type="dxa"/>
            <w:tcBorders>
              <w:top w:val="nil"/>
              <w:left w:val="nil"/>
              <w:bottom w:val="single" w:sz="4" w:space="0" w:color="auto"/>
              <w:right w:val="single" w:sz="4" w:space="0" w:color="auto"/>
            </w:tcBorders>
            <w:shd w:val="clear" w:color="auto" w:fill="auto"/>
            <w:noWrap/>
            <w:vAlign w:val="bottom"/>
            <w:hideMark/>
          </w:tcPr>
          <w:p w14:paraId="690C5FC4" w14:textId="77777777" w:rsidR="00222893" w:rsidRPr="00222893" w:rsidRDefault="00222893" w:rsidP="00222893">
            <w:pPr>
              <w:pStyle w:val="af0"/>
              <w:rPr>
                <w:b/>
              </w:rPr>
            </w:pPr>
            <w:r w:rsidRPr="00222893">
              <w:rPr>
                <w:b/>
              </w:rPr>
              <w:t>ΜΙΚΡΕΣ</w:t>
            </w:r>
          </w:p>
        </w:tc>
      </w:tr>
      <w:tr w:rsidR="00222893" w:rsidRPr="00222893" w14:paraId="32CD4422" w14:textId="77777777" w:rsidTr="00222893">
        <w:trPr>
          <w:trHeight w:val="54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0D319F" w14:textId="77777777" w:rsidR="00222893" w:rsidRPr="00222893" w:rsidRDefault="00222893" w:rsidP="00222893">
            <w:pPr>
              <w:pStyle w:val="af0"/>
              <w:rPr>
                <w:b/>
              </w:rPr>
            </w:pPr>
            <w:r w:rsidRPr="00222893">
              <w:t>Βόρειο Αιγαίο</w:t>
            </w:r>
            <w:r w:rsidRPr="00222893">
              <w:rPr>
                <w:b/>
              </w:rPr>
              <w:t xml:space="preserve"> </w:t>
            </w:r>
            <w:r w:rsidRPr="00222893">
              <w:t>/Ανατολική Μακεδονία-Θράκη</w:t>
            </w:r>
            <w:r w:rsidRPr="00222893">
              <w:rPr>
                <w:b/>
              </w:rPr>
              <w:t xml:space="preserve"> </w:t>
            </w:r>
            <w:r w:rsidRPr="00222893">
              <w:t>/Κεντρική Μακεδονία</w:t>
            </w:r>
            <w:r w:rsidRPr="00222893">
              <w:rPr>
                <w:b/>
              </w:rPr>
              <w:t xml:space="preserve"> </w:t>
            </w:r>
            <w:r w:rsidRPr="00222893">
              <w:t>/Ήπειρος/Θεσσαλία</w:t>
            </w:r>
            <w:r w:rsidRPr="00222893">
              <w:rPr>
                <w:b/>
              </w:rPr>
              <w:t xml:space="preserve"> </w:t>
            </w:r>
            <w:r w:rsidRPr="00222893">
              <w:t>/Δυτική Ελλάδα</w:t>
            </w:r>
            <w:r w:rsidRPr="00222893">
              <w:rPr>
                <w:b/>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55356432" w14:textId="77777777" w:rsidR="00222893" w:rsidRPr="00222893" w:rsidRDefault="00222893" w:rsidP="00222893">
            <w:pPr>
              <w:pStyle w:val="af0"/>
            </w:pPr>
            <w:r w:rsidRPr="00222893">
              <w:t>45%</w:t>
            </w:r>
          </w:p>
        </w:tc>
        <w:tc>
          <w:tcPr>
            <w:tcW w:w="1560" w:type="dxa"/>
            <w:tcBorders>
              <w:top w:val="nil"/>
              <w:left w:val="nil"/>
              <w:bottom w:val="single" w:sz="4" w:space="0" w:color="auto"/>
              <w:right w:val="single" w:sz="4" w:space="0" w:color="auto"/>
            </w:tcBorders>
            <w:shd w:val="clear" w:color="auto" w:fill="auto"/>
            <w:noWrap/>
            <w:vAlign w:val="center"/>
            <w:hideMark/>
          </w:tcPr>
          <w:p w14:paraId="7C51BE48" w14:textId="77777777" w:rsidR="00222893" w:rsidRPr="00222893" w:rsidRDefault="00222893" w:rsidP="00222893">
            <w:pPr>
              <w:pStyle w:val="af0"/>
            </w:pPr>
            <w:r w:rsidRPr="00222893">
              <w:t>55%</w:t>
            </w:r>
          </w:p>
        </w:tc>
        <w:tc>
          <w:tcPr>
            <w:tcW w:w="1417" w:type="dxa"/>
            <w:tcBorders>
              <w:top w:val="nil"/>
              <w:left w:val="nil"/>
              <w:bottom w:val="single" w:sz="4" w:space="0" w:color="auto"/>
              <w:right w:val="single" w:sz="4" w:space="0" w:color="auto"/>
            </w:tcBorders>
            <w:shd w:val="clear" w:color="auto" w:fill="auto"/>
            <w:noWrap/>
            <w:vAlign w:val="center"/>
            <w:hideMark/>
          </w:tcPr>
          <w:p w14:paraId="66FDD47A" w14:textId="77777777" w:rsidR="00222893" w:rsidRPr="00222893" w:rsidRDefault="00222893" w:rsidP="00222893">
            <w:pPr>
              <w:pStyle w:val="af0"/>
            </w:pPr>
            <w:r w:rsidRPr="00222893">
              <w:t>55%</w:t>
            </w:r>
          </w:p>
        </w:tc>
      </w:tr>
      <w:tr w:rsidR="00222893" w:rsidRPr="00222893" w14:paraId="05F4EF8B" w14:textId="77777777" w:rsidTr="00222893">
        <w:trPr>
          <w:trHeight w:val="389"/>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07BB90D7" w14:textId="77777777" w:rsidR="00222893" w:rsidRPr="00222893" w:rsidRDefault="00222893" w:rsidP="00222893">
            <w:pPr>
              <w:pStyle w:val="af0"/>
              <w:rPr>
                <w:b/>
              </w:rPr>
            </w:pPr>
            <w:r w:rsidRPr="00222893">
              <w:t>Κρήτη</w:t>
            </w:r>
            <w:r w:rsidRPr="00222893">
              <w:rPr>
                <w:b/>
              </w:rPr>
              <w:t xml:space="preserve"> </w:t>
            </w:r>
            <w:r w:rsidRPr="00222893">
              <w:t>/Δυτική Μακεδονία /Ιόνια Νησιά /Στερεά Ελλάδα /Πελοπόννησο</w:t>
            </w:r>
            <w:r w:rsidRPr="00222893">
              <w:rPr>
                <w:b/>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41B03C55" w14:textId="77777777" w:rsidR="00222893" w:rsidRPr="00222893" w:rsidRDefault="00222893" w:rsidP="00222893">
            <w:pPr>
              <w:pStyle w:val="af0"/>
            </w:pPr>
            <w:r w:rsidRPr="00222893">
              <w:t>40%</w:t>
            </w:r>
          </w:p>
        </w:tc>
        <w:tc>
          <w:tcPr>
            <w:tcW w:w="1560" w:type="dxa"/>
            <w:tcBorders>
              <w:top w:val="nil"/>
              <w:left w:val="nil"/>
              <w:bottom w:val="single" w:sz="4" w:space="0" w:color="auto"/>
              <w:right w:val="single" w:sz="4" w:space="0" w:color="auto"/>
            </w:tcBorders>
            <w:shd w:val="clear" w:color="auto" w:fill="auto"/>
            <w:noWrap/>
            <w:vAlign w:val="center"/>
            <w:hideMark/>
          </w:tcPr>
          <w:p w14:paraId="21075382" w14:textId="77777777" w:rsidR="00222893" w:rsidRPr="00222893" w:rsidRDefault="00222893" w:rsidP="00222893">
            <w:pPr>
              <w:pStyle w:val="af0"/>
            </w:pPr>
            <w:r w:rsidRPr="00222893">
              <w:t>50%</w:t>
            </w:r>
          </w:p>
        </w:tc>
        <w:tc>
          <w:tcPr>
            <w:tcW w:w="1417" w:type="dxa"/>
            <w:tcBorders>
              <w:top w:val="nil"/>
              <w:left w:val="nil"/>
              <w:bottom w:val="single" w:sz="4" w:space="0" w:color="auto"/>
              <w:right w:val="single" w:sz="4" w:space="0" w:color="auto"/>
            </w:tcBorders>
            <w:shd w:val="clear" w:color="auto" w:fill="auto"/>
            <w:noWrap/>
            <w:vAlign w:val="center"/>
            <w:hideMark/>
          </w:tcPr>
          <w:p w14:paraId="311B78C5" w14:textId="77777777" w:rsidR="00222893" w:rsidRPr="00222893" w:rsidRDefault="00222893" w:rsidP="00222893">
            <w:pPr>
              <w:pStyle w:val="af0"/>
            </w:pPr>
            <w:r w:rsidRPr="00222893">
              <w:t>55%</w:t>
            </w:r>
          </w:p>
        </w:tc>
      </w:tr>
      <w:tr w:rsidR="00222893" w:rsidRPr="00222893" w14:paraId="2593EF1D" w14:textId="77777777" w:rsidTr="00222893">
        <w:trPr>
          <w:trHeight w:val="151"/>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0965009" w14:textId="77777777" w:rsidR="00222893" w:rsidRPr="00222893" w:rsidRDefault="00222893" w:rsidP="00222893">
            <w:pPr>
              <w:pStyle w:val="af0"/>
            </w:pPr>
            <w:r w:rsidRPr="00222893">
              <w:t xml:space="preserve">Νότιο Αιγαίο </w:t>
            </w:r>
          </w:p>
        </w:tc>
        <w:tc>
          <w:tcPr>
            <w:tcW w:w="1842" w:type="dxa"/>
            <w:tcBorders>
              <w:top w:val="nil"/>
              <w:left w:val="nil"/>
              <w:bottom w:val="single" w:sz="4" w:space="0" w:color="auto"/>
              <w:right w:val="single" w:sz="4" w:space="0" w:color="auto"/>
            </w:tcBorders>
            <w:shd w:val="clear" w:color="auto" w:fill="auto"/>
            <w:noWrap/>
            <w:vAlign w:val="center"/>
            <w:hideMark/>
          </w:tcPr>
          <w:p w14:paraId="41892703" w14:textId="77777777" w:rsidR="00222893" w:rsidRPr="00222893" w:rsidRDefault="00222893" w:rsidP="00222893">
            <w:pPr>
              <w:pStyle w:val="af0"/>
            </w:pPr>
            <w:r w:rsidRPr="00222893">
              <w:t>30%</w:t>
            </w:r>
          </w:p>
        </w:tc>
        <w:tc>
          <w:tcPr>
            <w:tcW w:w="1560" w:type="dxa"/>
            <w:tcBorders>
              <w:top w:val="nil"/>
              <w:left w:val="nil"/>
              <w:bottom w:val="single" w:sz="4" w:space="0" w:color="auto"/>
              <w:right w:val="single" w:sz="4" w:space="0" w:color="auto"/>
            </w:tcBorders>
            <w:shd w:val="clear" w:color="auto" w:fill="auto"/>
            <w:noWrap/>
            <w:vAlign w:val="center"/>
            <w:hideMark/>
          </w:tcPr>
          <w:p w14:paraId="45AA6B57" w14:textId="77777777" w:rsidR="00222893" w:rsidRPr="00222893" w:rsidRDefault="00222893" w:rsidP="00222893">
            <w:pPr>
              <w:pStyle w:val="af0"/>
            </w:pPr>
            <w:r w:rsidRPr="00222893">
              <w:t>40%</w:t>
            </w:r>
          </w:p>
        </w:tc>
        <w:tc>
          <w:tcPr>
            <w:tcW w:w="1417" w:type="dxa"/>
            <w:tcBorders>
              <w:top w:val="nil"/>
              <w:left w:val="nil"/>
              <w:bottom w:val="single" w:sz="4" w:space="0" w:color="auto"/>
              <w:right w:val="single" w:sz="4" w:space="0" w:color="auto"/>
            </w:tcBorders>
            <w:shd w:val="clear" w:color="auto" w:fill="auto"/>
            <w:noWrap/>
            <w:vAlign w:val="center"/>
            <w:hideMark/>
          </w:tcPr>
          <w:p w14:paraId="35E4CCDC" w14:textId="77777777" w:rsidR="00222893" w:rsidRPr="00222893" w:rsidRDefault="00222893" w:rsidP="00222893">
            <w:pPr>
              <w:pStyle w:val="af0"/>
            </w:pPr>
            <w:r w:rsidRPr="00222893">
              <w:t>50%</w:t>
            </w:r>
          </w:p>
        </w:tc>
      </w:tr>
      <w:tr w:rsidR="00222893" w:rsidRPr="00222893" w14:paraId="7EA511D9" w14:textId="77777777" w:rsidTr="00222893">
        <w:trPr>
          <w:trHeight w:val="7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748E12F" w14:textId="77777777" w:rsidR="00222893" w:rsidRPr="00222893" w:rsidRDefault="00222893" w:rsidP="00222893">
            <w:pPr>
              <w:pStyle w:val="af0"/>
            </w:pPr>
            <w:r w:rsidRPr="00222893">
              <w:t xml:space="preserve">Ανατολική Αττική / Δυτική Αττική / Πειραιάς και νήσοι </w:t>
            </w:r>
          </w:p>
        </w:tc>
        <w:tc>
          <w:tcPr>
            <w:tcW w:w="1842" w:type="dxa"/>
            <w:tcBorders>
              <w:top w:val="nil"/>
              <w:left w:val="nil"/>
              <w:bottom w:val="single" w:sz="4" w:space="0" w:color="auto"/>
              <w:right w:val="single" w:sz="4" w:space="0" w:color="auto"/>
            </w:tcBorders>
            <w:shd w:val="clear" w:color="auto" w:fill="auto"/>
            <w:noWrap/>
            <w:vAlign w:val="center"/>
            <w:hideMark/>
          </w:tcPr>
          <w:p w14:paraId="01F3A404" w14:textId="77777777" w:rsidR="00222893" w:rsidRPr="00222893" w:rsidRDefault="00222893" w:rsidP="00222893">
            <w:pPr>
              <w:pStyle w:val="af0"/>
            </w:pPr>
            <w:r w:rsidRPr="00222893">
              <w:t>25%</w:t>
            </w:r>
          </w:p>
        </w:tc>
        <w:tc>
          <w:tcPr>
            <w:tcW w:w="1560" w:type="dxa"/>
            <w:tcBorders>
              <w:top w:val="nil"/>
              <w:left w:val="nil"/>
              <w:bottom w:val="single" w:sz="4" w:space="0" w:color="auto"/>
              <w:right w:val="single" w:sz="4" w:space="0" w:color="auto"/>
            </w:tcBorders>
            <w:shd w:val="clear" w:color="auto" w:fill="auto"/>
            <w:noWrap/>
            <w:vAlign w:val="center"/>
            <w:hideMark/>
          </w:tcPr>
          <w:p w14:paraId="7AE7DC0E" w14:textId="77777777" w:rsidR="00222893" w:rsidRPr="00222893" w:rsidRDefault="00222893" w:rsidP="00222893">
            <w:pPr>
              <w:pStyle w:val="af0"/>
            </w:pPr>
            <w:r w:rsidRPr="00222893">
              <w:t>35%</w:t>
            </w:r>
          </w:p>
        </w:tc>
        <w:tc>
          <w:tcPr>
            <w:tcW w:w="1417" w:type="dxa"/>
            <w:tcBorders>
              <w:top w:val="nil"/>
              <w:left w:val="nil"/>
              <w:bottom w:val="single" w:sz="4" w:space="0" w:color="auto"/>
              <w:right w:val="single" w:sz="4" w:space="0" w:color="auto"/>
            </w:tcBorders>
            <w:shd w:val="clear" w:color="auto" w:fill="auto"/>
            <w:noWrap/>
            <w:vAlign w:val="center"/>
            <w:hideMark/>
          </w:tcPr>
          <w:p w14:paraId="2BF2048B" w14:textId="77777777" w:rsidR="00222893" w:rsidRPr="00222893" w:rsidRDefault="00222893" w:rsidP="00222893">
            <w:pPr>
              <w:pStyle w:val="af0"/>
            </w:pPr>
            <w:r w:rsidRPr="00222893">
              <w:t>45%</w:t>
            </w:r>
          </w:p>
        </w:tc>
      </w:tr>
      <w:tr w:rsidR="00222893" w:rsidRPr="00222893" w14:paraId="5C9F079C" w14:textId="77777777" w:rsidTr="00222893">
        <w:trPr>
          <w:trHeight w:val="7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DAAAB5E" w14:textId="77777777" w:rsidR="00222893" w:rsidRPr="00222893" w:rsidRDefault="00222893" w:rsidP="00222893">
            <w:pPr>
              <w:pStyle w:val="af0"/>
            </w:pPr>
            <w:r w:rsidRPr="00222893">
              <w:t xml:space="preserve">Δυτικός τομέας Αθηνών </w:t>
            </w:r>
          </w:p>
        </w:tc>
        <w:tc>
          <w:tcPr>
            <w:tcW w:w="1842" w:type="dxa"/>
            <w:tcBorders>
              <w:top w:val="nil"/>
              <w:left w:val="nil"/>
              <w:bottom w:val="single" w:sz="4" w:space="0" w:color="auto"/>
              <w:right w:val="single" w:sz="4" w:space="0" w:color="auto"/>
            </w:tcBorders>
            <w:shd w:val="clear" w:color="auto" w:fill="auto"/>
            <w:noWrap/>
            <w:vAlign w:val="center"/>
            <w:hideMark/>
          </w:tcPr>
          <w:p w14:paraId="377D009A" w14:textId="77777777" w:rsidR="00222893" w:rsidRPr="00222893" w:rsidRDefault="00222893" w:rsidP="00222893">
            <w:pPr>
              <w:pStyle w:val="af0"/>
            </w:pPr>
            <w:r w:rsidRPr="00222893">
              <w:t>15%</w:t>
            </w:r>
          </w:p>
        </w:tc>
        <w:tc>
          <w:tcPr>
            <w:tcW w:w="1560" w:type="dxa"/>
            <w:tcBorders>
              <w:top w:val="nil"/>
              <w:left w:val="nil"/>
              <w:bottom w:val="single" w:sz="4" w:space="0" w:color="auto"/>
              <w:right w:val="single" w:sz="4" w:space="0" w:color="auto"/>
            </w:tcBorders>
            <w:shd w:val="clear" w:color="auto" w:fill="auto"/>
            <w:noWrap/>
            <w:vAlign w:val="center"/>
            <w:hideMark/>
          </w:tcPr>
          <w:p w14:paraId="518CEA69" w14:textId="77777777" w:rsidR="00222893" w:rsidRPr="00222893" w:rsidRDefault="00222893" w:rsidP="00222893">
            <w:pPr>
              <w:pStyle w:val="af0"/>
            </w:pPr>
            <w:r w:rsidRPr="00222893">
              <w:t>25%</w:t>
            </w:r>
          </w:p>
        </w:tc>
        <w:tc>
          <w:tcPr>
            <w:tcW w:w="1417" w:type="dxa"/>
            <w:tcBorders>
              <w:top w:val="nil"/>
              <w:left w:val="nil"/>
              <w:bottom w:val="single" w:sz="4" w:space="0" w:color="auto"/>
              <w:right w:val="single" w:sz="4" w:space="0" w:color="auto"/>
            </w:tcBorders>
            <w:shd w:val="clear" w:color="auto" w:fill="auto"/>
            <w:noWrap/>
            <w:vAlign w:val="center"/>
            <w:hideMark/>
          </w:tcPr>
          <w:p w14:paraId="2609AF83" w14:textId="77777777" w:rsidR="00222893" w:rsidRPr="00222893" w:rsidRDefault="00222893" w:rsidP="00222893">
            <w:pPr>
              <w:pStyle w:val="af0"/>
            </w:pPr>
            <w:r w:rsidRPr="00222893">
              <w:t>35%</w:t>
            </w:r>
          </w:p>
        </w:tc>
      </w:tr>
    </w:tbl>
    <w:p w14:paraId="7245665B" w14:textId="77777777" w:rsidR="00222893" w:rsidRDefault="00222893" w:rsidP="00A75D0A">
      <w:pPr>
        <w:pStyle w:val="af0"/>
      </w:pPr>
    </w:p>
    <w:p w14:paraId="660BF915" w14:textId="77777777" w:rsidR="00222893" w:rsidRDefault="00222893" w:rsidP="00A75D0A">
      <w:pPr>
        <w:pStyle w:val="af0"/>
      </w:pPr>
    </w:p>
    <w:p w14:paraId="3E98E1AE" w14:textId="77777777" w:rsidR="00222893" w:rsidRDefault="00222893" w:rsidP="00222893">
      <w:pPr>
        <w:pStyle w:val="af0"/>
        <w:rPr>
          <w:b/>
          <w:u w:val="single"/>
        </w:rPr>
      </w:pPr>
      <w:r w:rsidRPr="00222893">
        <w:rPr>
          <w:b/>
          <w:u w:val="single"/>
        </w:rPr>
        <w:t>ΕΠΙΛΕΞΙΜΕΣ ΔΑΠΑΝΕΣ</w:t>
      </w:r>
    </w:p>
    <w:p w14:paraId="5E1A8F10" w14:textId="77777777" w:rsidR="00222893" w:rsidRPr="00222893" w:rsidRDefault="00222893" w:rsidP="00222893">
      <w:pPr>
        <w:pStyle w:val="af0"/>
        <w:rPr>
          <w:b/>
          <w:u w:val="single"/>
        </w:rPr>
      </w:pPr>
    </w:p>
    <w:p w14:paraId="0A169D2A" w14:textId="77777777" w:rsidR="00222893" w:rsidRPr="00222893" w:rsidRDefault="00222893" w:rsidP="00EE5D5F">
      <w:pPr>
        <w:pStyle w:val="af0"/>
        <w:numPr>
          <w:ilvl w:val="0"/>
          <w:numId w:val="12"/>
        </w:numPr>
      </w:pPr>
      <w:r w:rsidRPr="00222893">
        <w:t>Αγορά γης, κατασκευή ή εκσυγχρονισμός ακινήτων.</w:t>
      </w:r>
    </w:p>
    <w:p w14:paraId="20981CA4" w14:textId="77777777" w:rsidR="00222893" w:rsidRPr="00222893" w:rsidRDefault="00222893" w:rsidP="00EE5D5F">
      <w:pPr>
        <w:pStyle w:val="af0"/>
        <w:numPr>
          <w:ilvl w:val="0"/>
          <w:numId w:val="12"/>
        </w:numPr>
      </w:pPr>
      <w:r w:rsidRPr="00222893">
        <w:t>Διαμόρφωση περιβάλλοντος χώρου προκειμένου να εξυπηρετούνται οι ανάγκες της μονάδας.</w:t>
      </w:r>
    </w:p>
    <w:p w14:paraId="068F84E4" w14:textId="77777777" w:rsidR="00222893" w:rsidRPr="00222893" w:rsidRDefault="00222893" w:rsidP="00EE5D5F">
      <w:pPr>
        <w:pStyle w:val="af0"/>
        <w:numPr>
          <w:ilvl w:val="0"/>
          <w:numId w:val="12"/>
        </w:numPr>
      </w:pPr>
      <w:r w:rsidRPr="00222893">
        <w:t xml:space="preserve">Οχήματα με τα οποία η επιχείρηση διενεργεί μεταφορές Α΄ υλών και προϊόντων (έτοιμων και </w:t>
      </w:r>
      <w:proofErr w:type="spellStart"/>
      <w:r w:rsidRPr="00222893">
        <w:t>ημι</w:t>
      </w:r>
      <w:proofErr w:type="spellEnd"/>
      <w:r w:rsidRPr="00222893">
        <w:t>-έτοιμων), εντός του χώρου της μονάδας. Επιλέξιμα είναι τα ηλεκτρικά οχήματα, τα οχήματα μηδενικών εκπομπών CO2 και τα οχήματα που εκπέμπουν CO2 μικρότερο των 50g/</w:t>
      </w:r>
      <w:proofErr w:type="spellStart"/>
      <w:r w:rsidRPr="00222893">
        <w:t>Km</w:t>
      </w:r>
      <w:proofErr w:type="spellEnd"/>
      <w:r w:rsidRPr="00222893">
        <w:t>.</w:t>
      </w:r>
    </w:p>
    <w:p w14:paraId="4AE9D2FA" w14:textId="77777777" w:rsidR="00222893" w:rsidRPr="00222893" w:rsidRDefault="00222893" w:rsidP="00EE5D5F">
      <w:pPr>
        <w:pStyle w:val="af0"/>
        <w:numPr>
          <w:ilvl w:val="0"/>
          <w:numId w:val="12"/>
        </w:numPr>
      </w:pPr>
      <w:r w:rsidRPr="00222893">
        <w:t>Αγορά, μεταφορά και εγκατάσταση εξοπλισμού, συμπεριλαμβανομένου και του εξοπλισμού εργαστηρίων στο βαθμό που εξυπηρετεί την λειτουργία της μονάδας.</w:t>
      </w:r>
    </w:p>
    <w:p w14:paraId="074FAAD9" w14:textId="77777777" w:rsidR="00222893" w:rsidRPr="00222893" w:rsidRDefault="00222893" w:rsidP="00EE5D5F">
      <w:pPr>
        <w:pStyle w:val="af0"/>
        <w:numPr>
          <w:ilvl w:val="0"/>
          <w:numId w:val="12"/>
        </w:numPr>
      </w:pPr>
      <w:r w:rsidRPr="00222893">
        <w:t xml:space="preserve">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w:t>
      </w:r>
      <w:proofErr w:type="spellStart"/>
      <w:r w:rsidRPr="00222893">
        <w:t>τηλε</w:t>
      </w:r>
      <w:proofErr w:type="spellEnd"/>
      <w:r w:rsidRPr="00222893">
        <w:t>-ελέγχου καθώς και κάθε άλλη επένδυση η οποία οδηγεί σε ψηφιακή αναβάθμιση των επιχειρήσεων.</w:t>
      </w:r>
    </w:p>
    <w:p w14:paraId="1659FB23" w14:textId="77777777" w:rsidR="00222893" w:rsidRPr="00222893" w:rsidRDefault="00222893" w:rsidP="00EE5D5F">
      <w:pPr>
        <w:pStyle w:val="af0"/>
        <w:numPr>
          <w:ilvl w:val="0"/>
          <w:numId w:val="12"/>
        </w:numPr>
      </w:pPr>
      <w:r w:rsidRPr="00222893">
        <w:t>Δαπάνες για τη διασφάλιση της προσβασιμότητας στα άτομα με αναπηρία.</w:t>
      </w:r>
    </w:p>
    <w:p w14:paraId="150418F4" w14:textId="77777777" w:rsidR="00222893" w:rsidRPr="00222893" w:rsidRDefault="00222893" w:rsidP="00EE5D5F">
      <w:pPr>
        <w:pStyle w:val="af0"/>
        <w:numPr>
          <w:ilvl w:val="0"/>
          <w:numId w:val="12"/>
        </w:numPr>
      </w:pPr>
      <w:r w:rsidRPr="00222893">
        <w:t>Ίδρυση και εκσυγχρονισμό των δικτύων διανομής (</w:t>
      </w:r>
      <w:proofErr w:type="spellStart"/>
      <w:r w:rsidRPr="00222893">
        <w:t>logistic</w:t>
      </w:r>
      <w:proofErr w:type="spellEnd"/>
      <w:r w:rsidRPr="00222893">
        <w:t>).</w:t>
      </w:r>
    </w:p>
    <w:p w14:paraId="593DF4B2" w14:textId="77777777" w:rsidR="00222893" w:rsidRPr="00222893" w:rsidRDefault="00222893" w:rsidP="00EE5D5F">
      <w:pPr>
        <w:pStyle w:val="af0"/>
        <w:numPr>
          <w:ilvl w:val="0"/>
          <w:numId w:val="12"/>
        </w:numPr>
      </w:pPr>
      <w:r w:rsidRPr="00222893">
        <w:t xml:space="preserve">Άυλες δαπάνες όπως απόκτηση λογισμικού και αποκτήσεις διπλωμάτων ευρεσιτεχνίας, αδειών εκμετάλλευσης δικαιωμάτων διανοητικής ιδιοκτησίας, </w:t>
      </w:r>
      <w:r w:rsidRPr="00222893">
        <w:lastRenderedPageBreak/>
        <w:t xml:space="preserve">εμπορικών σημάτων Τεχνικές προδιαγραφές και σχεδιασμός προϊόντων / Έρευνες αγοράς / Εταιρική ταυτότητα &amp; </w:t>
      </w:r>
      <w:proofErr w:type="spellStart"/>
      <w:r w:rsidRPr="00222893">
        <w:t>branding</w:t>
      </w:r>
      <w:proofErr w:type="spellEnd"/>
      <w:r w:rsidRPr="00222893">
        <w:t>, πιστοποιητικά διασφάλισης ποιότητας.</w:t>
      </w:r>
    </w:p>
    <w:p w14:paraId="38E14960" w14:textId="77777777" w:rsidR="00222893" w:rsidRPr="00222893" w:rsidRDefault="00222893" w:rsidP="00EE5D5F">
      <w:pPr>
        <w:pStyle w:val="af0"/>
        <w:numPr>
          <w:ilvl w:val="0"/>
          <w:numId w:val="12"/>
        </w:numPr>
        <w:rPr>
          <w:b/>
          <w:u w:val="single"/>
        </w:rPr>
      </w:pPr>
      <w:r w:rsidRPr="00222893">
        <w:t xml:space="preserve">Άυλα στοιχεία ενεργητικού εφόσον χρησιμοποιούνται αποκλειστικά στην επιχειρηματική εγκατάσταση που λαμβάνει την ενίσχυση, είναι </w:t>
      </w:r>
      <w:proofErr w:type="spellStart"/>
      <w:r w:rsidRPr="00222893">
        <w:t>αποσβεστέα</w:t>
      </w:r>
      <w:proofErr w:type="spellEnd"/>
      <w:r w:rsidRPr="00222893">
        <w:t>, αγοράζονται σύμφωνα με τους όρους της αγοράς και περιλαμβάνονται στα στοιχεία ενεργητικού της επιχείρησης.</w:t>
      </w:r>
    </w:p>
    <w:p w14:paraId="35C8B341" w14:textId="77777777" w:rsidR="00222893" w:rsidRPr="00222893" w:rsidRDefault="00222893" w:rsidP="00EE5D5F">
      <w:pPr>
        <w:pStyle w:val="af0"/>
        <w:numPr>
          <w:ilvl w:val="0"/>
          <w:numId w:val="12"/>
        </w:numPr>
        <w:rPr>
          <w:b/>
          <w:u w:val="single"/>
        </w:rPr>
      </w:pPr>
      <w:r w:rsidRPr="00222893">
        <w:t>Απόκτηση του συνόλου στοιχείων ενεργητικού, που ανήκουν σε επιχειρηματική εγκατάσταση που έχει κλείσει υπό τις προϋποθέσεις.</w:t>
      </w:r>
    </w:p>
    <w:p w14:paraId="6F91941C" w14:textId="77777777" w:rsidR="00222893" w:rsidRPr="00222893" w:rsidRDefault="00222893" w:rsidP="00EE5D5F">
      <w:pPr>
        <w:pStyle w:val="af0"/>
        <w:numPr>
          <w:ilvl w:val="0"/>
          <w:numId w:val="12"/>
        </w:numPr>
      </w:pPr>
      <w:r w:rsidRPr="00222893">
        <w:t>Ενισχύσεις για συμβουλευτικές υπηρεσίες σε ΜΜΕ (έως 300.000€).</w:t>
      </w:r>
    </w:p>
    <w:p w14:paraId="3EEBEBA9" w14:textId="77777777" w:rsidR="00222893" w:rsidRPr="00222893" w:rsidRDefault="00222893" w:rsidP="00EE5D5F">
      <w:pPr>
        <w:pStyle w:val="af0"/>
        <w:numPr>
          <w:ilvl w:val="0"/>
          <w:numId w:val="12"/>
        </w:numPr>
      </w:pPr>
      <w:r w:rsidRPr="00222893">
        <w:t>Ενισχύσεις για συμμετοχή ΜΜΕ σε εμπορικές εκθέσεις (έως 500.000€).</w:t>
      </w:r>
    </w:p>
    <w:p w14:paraId="7BBC850A" w14:textId="77777777" w:rsidR="00222893" w:rsidRPr="00222893" w:rsidRDefault="00222893" w:rsidP="00EE5D5F">
      <w:pPr>
        <w:pStyle w:val="af0"/>
        <w:numPr>
          <w:ilvl w:val="0"/>
          <w:numId w:val="12"/>
        </w:numPr>
      </w:pPr>
      <w:r w:rsidRPr="00222893">
        <w:t>Ενισχύσεις καινοτομίας για ΜΜΕ (έως 500.000€).</w:t>
      </w:r>
    </w:p>
    <w:p w14:paraId="0A48B7E3" w14:textId="77777777" w:rsidR="00222893" w:rsidRPr="00222893" w:rsidRDefault="00222893" w:rsidP="00EE5D5F">
      <w:pPr>
        <w:pStyle w:val="af0"/>
        <w:numPr>
          <w:ilvl w:val="0"/>
          <w:numId w:val="12"/>
        </w:numPr>
      </w:pPr>
      <w:r w:rsidRPr="00222893">
        <w:t xml:space="preserve">Επενδυτικές ενισχύσεις προς επιχειρήσεις για την υπέρβαση </w:t>
      </w:r>
      <w:proofErr w:type="spellStart"/>
      <w:r w:rsidRPr="00222893">
        <w:t>ενωσιακών</w:t>
      </w:r>
      <w:proofErr w:type="spellEnd"/>
      <w:r w:rsidRPr="00222893">
        <w:t xml:space="preserve"> προτύπων ή για την αύξηση της προστασίας του περιβάλλοντος ελλείψει </w:t>
      </w:r>
      <w:proofErr w:type="spellStart"/>
      <w:r w:rsidRPr="00222893">
        <w:t>ενωσιακών</w:t>
      </w:r>
      <w:proofErr w:type="spellEnd"/>
      <w:r w:rsidRPr="00222893">
        <w:t xml:space="preserve"> προτύπων (έως 2.000.000€).</w:t>
      </w:r>
    </w:p>
    <w:p w14:paraId="22C33EA2" w14:textId="77777777" w:rsidR="00222893" w:rsidRPr="00222893" w:rsidRDefault="00222893" w:rsidP="00EE5D5F">
      <w:pPr>
        <w:pStyle w:val="af0"/>
        <w:numPr>
          <w:ilvl w:val="0"/>
          <w:numId w:val="12"/>
        </w:numPr>
      </w:pPr>
      <w:r w:rsidRPr="00222893">
        <w:t xml:space="preserve">Επιλέξιμες είναι οι δαπάνες για την αγορά καινούργιων οχημάτων για οδικές μεταφορές αγαθών και προϊόντων, με σκοπό τη συμμόρφωση σε </w:t>
      </w:r>
      <w:proofErr w:type="spellStart"/>
      <w:r w:rsidRPr="00222893">
        <w:t>εκδοθέντα</w:t>
      </w:r>
      <w:proofErr w:type="spellEnd"/>
      <w:r w:rsidRPr="00222893">
        <w:t xml:space="preserve"> </w:t>
      </w:r>
      <w:proofErr w:type="spellStart"/>
      <w:r w:rsidRPr="00222893">
        <w:t>ενωσιακά</w:t>
      </w:r>
      <w:proofErr w:type="spellEnd"/>
      <w:r w:rsidRPr="00222893">
        <w:t xml:space="preserve"> πρότυπα (έως 30% του προϋπολογισμού).</w:t>
      </w:r>
    </w:p>
    <w:p w14:paraId="3746850C" w14:textId="77777777" w:rsidR="00222893" w:rsidRPr="00222893" w:rsidRDefault="00222893" w:rsidP="00EE5D5F">
      <w:pPr>
        <w:pStyle w:val="af0"/>
        <w:numPr>
          <w:ilvl w:val="0"/>
          <w:numId w:val="12"/>
        </w:numPr>
      </w:pPr>
      <w:r w:rsidRPr="00222893">
        <w:t>Επενδυτικές ενισχύσεις για την προώθηση της παραγωγής ενέργειας από ανανεώσιμες πηγές (έως 1.000.000€ έως το 30% του προϋπολογισμού).</w:t>
      </w:r>
    </w:p>
    <w:p w14:paraId="75F8BF12" w14:textId="1A2400F5" w:rsidR="00AB7176" w:rsidRDefault="00AB7176" w:rsidP="00A75D0A">
      <w:pPr>
        <w:pStyle w:val="af0"/>
      </w:pPr>
      <w:r>
        <w:br w:type="page"/>
      </w:r>
    </w:p>
    <w:p w14:paraId="5F88E397" w14:textId="556FA293" w:rsidR="00A75D0A" w:rsidRPr="00A75D0A" w:rsidRDefault="008855F3" w:rsidP="00A75D0A">
      <w:pPr>
        <w:pStyle w:val="10"/>
        <w:numPr>
          <w:ilvl w:val="8"/>
          <w:numId w:val="9"/>
        </w:numPr>
        <w:shd w:val="clear" w:color="auto" w:fill="D9E2F3" w:themeFill="accent1" w:themeFillTint="33"/>
        <w:spacing w:before="240" w:after="120" w:line="288" w:lineRule="auto"/>
        <w:ind w:left="0" w:right="43" w:firstLine="0"/>
        <w:jc w:val="center"/>
      </w:pPr>
      <w:bookmarkStart w:id="5" w:name="_Toc134449084"/>
      <w:r w:rsidRPr="00957288">
        <w:lastRenderedPageBreak/>
        <w:t xml:space="preserve">ΘΕΜΑΤΑ </w:t>
      </w:r>
      <w:r w:rsidR="00A75D0A">
        <w:t>ΔΙΟΙΚΗΣΗΣ, ΟΡΓΑΝΩΣΗΣ ΚΑΙ ΑΝΑΠΤΥΞΗΣ ΕΠΙΧΕΙΡΗΣΕΩΝ ΚΑΙ ΦΟΡΕΩΝ, ΕΣΩΤΕΡΙΚΟΣ ΕΛΕΓΧΟΣ ΣΕ ΙΔΙΩΤΙΚΟ ΚΑΙ ΔΗΜΟΣΙΟ ΤΟΜΕΑ</w:t>
      </w:r>
      <w:bookmarkEnd w:id="5"/>
    </w:p>
    <w:p w14:paraId="08B53621" w14:textId="0F9F781B" w:rsidR="007E35F2" w:rsidRDefault="007E35F2" w:rsidP="007F001B">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6" w:name="_Toc127284523"/>
      <w:bookmarkStart w:id="7" w:name="_Toc134449085"/>
      <w:r w:rsidRPr="00957288">
        <w:rPr>
          <w:rFonts w:ascii="Times New Roman" w:hAnsi="Times New Roman" w:cs="Times New Roman"/>
          <w:b/>
          <w:bCs/>
          <w:color w:val="auto"/>
          <w:sz w:val="24"/>
          <w:szCs w:val="24"/>
        </w:rPr>
        <w:t xml:space="preserve">Α. </w:t>
      </w:r>
      <w:bookmarkEnd w:id="6"/>
      <w:r w:rsidR="00A75D0A" w:rsidRPr="00A75D0A">
        <w:rPr>
          <w:rFonts w:ascii="Times New Roman" w:hAnsi="Times New Roman" w:cs="Times New Roman"/>
          <w:b/>
          <w:bCs/>
          <w:color w:val="auto"/>
          <w:sz w:val="24"/>
          <w:szCs w:val="24"/>
        </w:rPr>
        <w:t>Οι εξελίξεις στον Κυβερνοχώρο και η αναγκαιότητα της εφαρμογής του Εσωτερικού Ελέγχου στους Δημόσιους Οργανισμούς</w:t>
      </w:r>
      <w:bookmarkEnd w:id="7"/>
    </w:p>
    <w:p w14:paraId="418152F2" w14:textId="77777777" w:rsidR="00AB7176" w:rsidRPr="00492458" w:rsidRDefault="00AB7176" w:rsidP="00AB7176">
      <w:pPr>
        <w:pStyle w:val="af0"/>
        <w:rPr>
          <w:lang w:val="en-US"/>
        </w:rPr>
      </w:pPr>
      <w:r w:rsidRPr="00AB7176">
        <w:t xml:space="preserve">Τα τελευταία χρόνια, ο Κυβερνοχώρος αποτελεί μια έννοια που εμφανίζεται συνεχώς σε πολλές εκφάνσεις της καθημερινότητας. Ένας απλός και περιεκτικός ορισμός του Κυβερνοχώρου είναι ότι συνιστά ένα εικονικό περιβάλλον μέσα στο οποίο τα υπολογιστικά συστήματα λειτουργούν και επικοινωνούν μεταξύ τους. Από την μία πλευρά, ο Κυβερνοχώρος είναι ένα πολύτιμο εργαλείο που επιτρέπει την αμεσότητα στην επικοινωνία και την διακίνηση πληροφοριών. Από την άλλη, η πολυπλοκότητα και η συνεχής ανάπτυξη του, καθώς και οι κίνδυνοι που απορρέουν από αυτή τη κατάσταση, προϋποθέτουν την ύπαρξη </w:t>
      </w:r>
      <w:proofErr w:type="spellStart"/>
      <w:r w:rsidRPr="00AB7176">
        <w:t>επικαιροποιημένων</w:t>
      </w:r>
      <w:proofErr w:type="spellEnd"/>
      <w:r w:rsidRPr="00AB7176">
        <w:t xml:space="preserve"> μηχανισμών διαχείρισης του.</w:t>
      </w:r>
    </w:p>
    <w:p w14:paraId="1957EA4E" w14:textId="77777777" w:rsidR="00AB7176" w:rsidRPr="00AB7176" w:rsidRDefault="00AB7176" w:rsidP="00AB7176">
      <w:pPr>
        <w:pStyle w:val="af0"/>
        <w:rPr>
          <w:b/>
        </w:rPr>
      </w:pPr>
      <w:r w:rsidRPr="00AB7176">
        <w:rPr>
          <w:b/>
        </w:rPr>
        <w:t xml:space="preserve">Το Ζήτημα </w:t>
      </w:r>
    </w:p>
    <w:p w14:paraId="5CC46463" w14:textId="77777777" w:rsidR="00AB7176" w:rsidRPr="00AB7176" w:rsidRDefault="00AB7176" w:rsidP="00AB7176">
      <w:pPr>
        <w:pStyle w:val="af0"/>
      </w:pPr>
      <w:r w:rsidRPr="00AB7176">
        <w:t xml:space="preserve">Δεν νοείται στην σύγχρονη εποχή λειτουργία Δημόσιων Φορέων η οποία δεν εξαρτάται σε κάποιον βαθμό από την ύπαρξη του Κυβερνοχώρου. Και αυτό γιατί η πλειοψηφία των επικοινωνιών, της διακίνησης αρχείων καθώς και των πάσης φύσεως συναλλαγών διενεργούνται μέσω δικτύων υπολογιστικών συστημάτων. </w:t>
      </w:r>
    </w:p>
    <w:p w14:paraId="754C10B0" w14:textId="77777777" w:rsidR="00AB7176" w:rsidRPr="00AB7176" w:rsidRDefault="00AB7176" w:rsidP="00AB7176">
      <w:pPr>
        <w:pStyle w:val="af0"/>
      </w:pPr>
      <w:r w:rsidRPr="00AB7176">
        <w:t xml:space="preserve">Αυτή η έκθεση σε ένα τόσο πολύπλοκο, για τον μέσο χρήστη, περιβάλλον, οδηγεί σε υψηλό κίνδυνο για την ασφάλεια των επικοινωνιών και των δεδομένων, δηλαδή σε υψηλό κίνδυνο στον τομέα της </w:t>
      </w:r>
      <w:proofErr w:type="spellStart"/>
      <w:r w:rsidRPr="00AB7176">
        <w:t>κυβερνοασφάλειας</w:t>
      </w:r>
      <w:proofErr w:type="spellEnd"/>
      <w:r w:rsidRPr="00AB7176">
        <w:t xml:space="preserve">.   </w:t>
      </w:r>
    </w:p>
    <w:p w14:paraId="02293145" w14:textId="77777777" w:rsidR="00AB7176" w:rsidRPr="00AB7176" w:rsidRDefault="00AB7176" w:rsidP="00AB7176">
      <w:pPr>
        <w:pStyle w:val="af0"/>
        <w:rPr>
          <w:b/>
        </w:rPr>
      </w:pPr>
      <w:r w:rsidRPr="00AB7176">
        <w:rPr>
          <w:b/>
        </w:rPr>
        <w:t>Η Τάση</w:t>
      </w:r>
    </w:p>
    <w:p w14:paraId="0153C4F7" w14:textId="77777777" w:rsidR="00AB7176" w:rsidRPr="00AB7176" w:rsidRDefault="00AB7176" w:rsidP="00AB7176">
      <w:pPr>
        <w:pStyle w:val="af0"/>
      </w:pPr>
      <w:r w:rsidRPr="00AB7176">
        <w:t xml:space="preserve">Τα αποτελέσματα της έρευνας </w:t>
      </w:r>
      <w:r w:rsidRPr="00AB7176">
        <w:rPr>
          <w:lang w:val="en-US"/>
        </w:rPr>
        <w:t>Risk</w:t>
      </w:r>
      <w:r w:rsidRPr="00AB7176">
        <w:t xml:space="preserve"> </w:t>
      </w:r>
      <w:r w:rsidRPr="00AB7176">
        <w:rPr>
          <w:lang w:val="en-US"/>
        </w:rPr>
        <w:t>in</w:t>
      </w:r>
      <w:r w:rsidRPr="00AB7176">
        <w:t xml:space="preserve"> </w:t>
      </w:r>
      <w:r w:rsidRPr="00AB7176">
        <w:rPr>
          <w:lang w:val="en-US"/>
        </w:rPr>
        <w:t>Focus</w:t>
      </w:r>
      <w:r w:rsidRPr="00AB7176">
        <w:t xml:space="preserve"> 2023, η οποία διεξήχθη από την Ευρωπαϊκή Συνομοσπονδία Ινστιτούτων Εσωτερικών Ελεγκτών (</w:t>
      </w:r>
      <w:r w:rsidRPr="00AB7176">
        <w:rPr>
          <w:lang w:val="en-US"/>
        </w:rPr>
        <w:t>ECIIA</w:t>
      </w:r>
      <w:r w:rsidRPr="00AB7176">
        <w:t xml:space="preserve">), καταδεικνύουν την τρέχουσα τάση που επικρατεί στη προετοιμασία πλάνων ελέγχου των Εσωτερικών Ελεγκτών σε σχέση με τον Κυβερνοχώρο. Στην έρευνα συμμετείχαν Επικεφαλής Τμημάτων Εσωτερικού Ελέγχου από 15 χώρες, καλύπτοντας όλους τους τομείς της οικονομίας. </w:t>
      </w:r>
    </w:p>
    <w:p w14:paraId="05B7E13F" w14:textId="77777777" w:rsidR="00AB7176" w:rsidRPr="00AB7176" w:rsidRDefault="00AB7176" w:rsidP="00AB7176">
      <w:pPr>
        <w:pStyle w:val="af0"/>
      </w:pPr>
      <w:r w:rsidRPr="00AB7176">
        <w:t xml:space="preserve">Το 82% των συμμετεχόντων θεωρούν πως η </w:t>
      </w:r>
      <w:proofErr w:type="spellStart"/>
      <w:r w:rsidRPr="00AB7176">
        <w:t>κυβερνοασφάλεια</w:t>
      </w:r>
      <w:proofErr w:type="spellEnd"/>
      <w:r w:rsidRPr="00AB7176">
        <w:t xml:space="preserve"> και η προστασία δεδομένων περιλαμβάνεται στην ομάδα με τους 5 μεγαλύτερους κινδύνους που θα κληθούν οι οργανισμοί να διαχειριστούν το 2023. Επιπροσθέτως, το 77% των συμμετεχόντων θεωρεί πως αυτός ο κίνδυνος θα εξακολουθεί να περιλαμβάνεται στην ομάδα με τους 5 μεγαλύτερους κινδύνους, ακόμη και το έτος 2026. Οι αμέσως επόμενοι κίνδυνοι στη σχετική λίστα, δηλαδή η διαχείριση ανθρωπίνου δυναμικού και η γεωπολιτική αβεβαιότητα, συγκέντρωσαν σημαντικά χαμηλότερα ποσοστά σε σχέση με την </w:t>
      </w:r>
      <w:proofErr w:type="spellStart"/>
      <w:r w:rsidRPr="00AB7176">
        <w:t>κυβερνοασφάλεια</w:t>
      </w:r>
      <w:proofErr w:type="spellEnd"/>
      <w:r w:rsidRPr="00AB7176">
        <w:t xml:space="preserve"> και την προστασία δεδομένων.</w:t>
      </w:r>
    </w:p>
    <w:p w14:paraId="7A48EA1F" w14:textId="77777777" w:rsidR="00AB7176" w:rsidRPr="00AB7176" w:rsidRDefault="00AB7176" w:rsidP="00AB7176">
      <w:pPr>
        <w:pStyle w:val="af0"/>
        <w:rPr>
          <w:b/>
        </w:rPr>
      </w:pPr>
      <w:r w:rsidRPr="00AB7176">
        <w:rPr>
          <w:b/>
        </w:rPr>
        <w:t>Οι Κίνδυνοι</w:t>
      </w:r>
    </w:p>
    <w:p w14:paraId="5A4A95D6" w14:textId="77777777" w:rsidR="00AB7176" w:rsidRPr="00AB7176" w:rsidRDefault="00AB7176" w:rsidP="00AB7176">
      <w:pPr>
        <w:pStyle w:val="af0"/>
      </w:pPr>
      <w:r w:rsidRPr="00AB7176">
        <w:lastRenderedPageBreak/>
        <w:t xml:space="preserve">Ο σημαντικότερος κίνδυνος που αντιμετωπίζουν οι Δημόσιοι Φορείς μέσα στο πολύπλοκο πλαίσιο του Κυβερνοχώρου είναι η προστασία των δεδομένων τους. </w:t>
      </w:r>
    </w:p>
    <w:p w14:paraId="7A63186B" w14:textId="77777777" w:rsidR="00AB7176" w:rsidRPr="00AB7176" w:rsidRDefault="00AB7176" w:rsidP="00AB7176">
      <w:pPr>
        <w:pStyle w:val="af0"/>
      </w:pPr>
      <w:r w:rsidRPr="00AB7176">
        <w:t>Ειδικότερα, η διαρροή ευαίσθητων πληροφοριών σε τρίτους, π.χ. προσωπικά δεδομένα υπαλλήλων, η κλοπή δεδομένων, η απώλεια δεδομένων από λάθος υπαλλήλου, π.χ. κατά λάθος διαγραφή αρχείου, καθώς και η εκούσια ή ακούσια μη αιτιολογημένη/μη εγκεκριμένη μεταβολή δεδομένων, π.χ. αδικαιολόγητες αλλαγές σε βάσεις δεδομένων, αποτελούν τις συνιστώσες του προβλήματος οι οποίες πρέπει να ληφθούν σοβαρά υπόψη από τους Οργανισμούς, προκειμένου οι τελευταίοι να αναπτύξουν μηχανισμούς, με στόχο να διαφυλάξουν τα δεδομένα τους.</w:t>
      </w:r>
    </w:p>
    <w:p w14:paraId="46ACAD5E" w14:textId="77777777" w:rsidR="00AB7176" w:rsidRPr="00AB7176" w:rsidRDefault="00AB7176" w:rsidP="00AB7176">
      <w:pPr>
        <w:pStyle w:val="af0"/>
        <w:rPr>
          <w:b/>
        </w:rPr>
      </w:pPr>
      <w:r w:rsidRPr="00AB7176">
        <w:rPr>
          <w:b/>
        </w:rPr>
        <w:t>Η Διαχείριση</w:t>
      </w:r>
    </w:p>
    <w:p w14:paraId="6983C996" w14:textId="77777777" w:rsidR="00AB7176" w:rsidRPr="00AB7176" w:rsidRDefault="00AB7176" w:rsidP="00AB7176">
      <w:pPr>
        <w:pStyle w:val="af0"/>
      </w:pPr>
      <w:r w:rsidRPr="00AB7176">
        <w:t xml:space="preserve">Σε αυτό το πλαίσιο, οι Μονάδες Εσωτερικού Ελέγχου καλούνται να διαδραματίσουν ένα σημαντικό ρόλο. </w:t>
      </w:r>
    </w:p>
    <w:p w14:paraId="7FD9628B" w14:textId="77777777" w:rsidR="00AB7176" w:rsidRPr="00AB7176" w:rsidRDefault="00AB7176" w:rsidP="00AB7176">
      <w:pPr>
        <w:pStyle w:val="af0"/>
      </w:pPr>
      <w:r w:rsidRPr="00AB7176">
        <w:t xml:space="preserve">Στην πράξη, ο Εσωτερικός Ελεγκτής θα πρέπει αρχικά να διαπιστώσει την ύπαρξη σχετικών εσωτερικών πολιτικών και διαδικασιών. Ενδεικτικές τέτοιες πολιτικές είναι η ύπαρξη λογαριασμών χρηστών με ισχυρή διαδικασία ταυτοποίησης, η  πρόσβαση στα συστήματα μόνο σε εξουσιοδοτημένους χρήστες, δικαιώματα ανάγνωσης/μεταβολής αρχείων ανάλογα με την θέση του υπαλλήλου, διαγραφή λογαριασμών υπαλλήλων που έχουν αποχωρήσει από την υπηρεσία, δημιουργία αντιγράφων ασφαλείας σε ασφαλή μέσα αποθήκευσης, χρήση ενημερωμένων προγραμμάτων εντοπισμού κακόβουλου λογισμικού κ.α.. </w:t>
      </w:r>
    </w:p>
    <w:p w14:paraId="51A673A5" w14:textId="77777777" w:rsidR="00AB7176" w:rsidRPr="00AB7176" w:rsidRDefault="00AB7176" w:rsidP="00AB7176">
      <w:pPr>
        <w:pStyle w:val="af0"/>
      </w:pPr>
      <w:r w:rsidRPr="00AB7176">
        <w:t>Στην περίπτωση που δεν υπάρχουν τέτοιες πολιτικές και διαδικασίες, ο Εσωτερικός Ελεγκτής θα πρέπει άμεσα να συζητήσει με την Διοίκηση και από κοινού να αξιολογήσουν τους κινδύνους του Κυβερνοχώρου σε σχέση με την δραστηριότητα του Οργανισμού, προκειμένου η Διοίκηση να τις θεσπίσει.</w:t>
      </w:r>
    </w:p>
    <w:p w14:paraId="79AF523C" w14:textId="77777777" w:rsidR="00AB7176" w:rsidRPr="00AB7176" w:rsidRDefault="00AB7176" w:rsidP="00AB7176">
      <w:pPr>
        <w:pStyle w:val="af0"/>
      </w:pPr>
      <w:r w:rsidRPr="00AB7176">
        <w:t>Στην συνέχεια, ο Εσωτερικός Ελεγκτής θα πρέπει να εξετάσει εάν οι εργαζόμενοι ακολουθούν τις συγκεκριμένες διαδικασίες καθώς και την αποτελεσματικότητα των μηχανισμών διαχείρισης των κινδύνων που περιγράφονται σε αυτές.</w:t>
      </w:r>
    </w:p>
    <w:p w14:paraId="55F2CB12" w14:textId="77777777" w:rsidR="00AB7176" w:rsidRPr="00AB7176" w:rsidRDefault="00AB7176" w:rsidP="00AB7176">
      <w:pPr>
        <w:pStyle w:val="af0"/>
        <w:rPr>
          <w:b/>
        </w:rPr>
      </w:pPr>
      <w:r w:rsidRPr="00AB7176">
        <w:rPr>
          <w:b/>
        </w:rPr>
        <w:t>Οι Προϋποθέσεις</w:t>
      </w:r>
    </w:p>
    <w:p w14:paraId="5E65545E" w14:textId="77777777" w:rsidR="00AB7176" w:rsidRPr="00AB7176" w:rsidRDefault="00AB7176" w:rsidP="00AB7176">
      <w:pPr>
        <w:pStyle w:val="af0"/>
      </w:pPr>
      <w:r w:rsidRPr="00AB7176">
        <w:t>Ο Κυβερνοχώρος αποτελεί ένα πολύπλοκο περιβάλλον το οποίο εξελίσσεται συνεχώς.  Ο Εσωτερικός Ελεγκτής, που θα αναλάβει σχετικούς ελέγχους, οφείλει συνεπώς να έχει την ανάλογη κατάρτιση, ώστε να ανταπεξέλθει στον ρόλο του.</w:t>
      </w:r>
    </w:p>
    <w:p w14:paraId="70628A63" w14:textId="77777777" w:rsidR="00AB7176" w:rsidRPr="00AB7176" w:rsidRDefault="00AB7176" w:rsidP="00AB7176">
      <w:pPr>
        <w:pStyle w:val="af0"/>
      </w:pPr>
      <w:r w:rsidRPr="00AB7176">
        <w:t xml:space="preserve">Για να επιτευχθεί αυτό, είναι εξαιρετικά σημαντικό ο Εσωτερικός Ελεγκτής να μεριμνά ώστε να βρίσκεται σε συνεχή στενή συνεργασία με την ομάδα πληροφορικής του Οργανισμού. Με αυτόν τον τρόπο θα αποκτήσει πολύτιμη γνώση του αντικειμένου και θα ενημερώνεται για τις εξελίξεις στον Κυβερνοχώρο που τρέχουν μέρα με την μέρα, ενώ ταυτόχρονα θα έχει την δυνατότητα να αξιολογήσει με μια περισσότερο ολοκληρωμένη προσέγγιση τους κινδύνους που απειλούν τον Οργανισμό. </w:t>
      </w:r>
    </w:p>
    <w:p w14:paraId="0F63FBEB" w14:textId="77777777" w:rsidR="00AB7176" w:rsidRPr="00AB7176" w:rsidRDefault="00AB7176" w:rsidP="00AB7176">
      <w:pPr>
        <w:pStyle w:val="af0"/>
      </w:pPr>
      <w:r w:rsidRPr="00AB7176">
        <w:lastRenderedPageBreak/>
        <w:t>Πολύ σημαντική είναι και η τακτική παρακολούθηση ανάλογων σεμιναρίων, καθώς και η απόκτηση σχετικών πιστοποιήσεων που θα βοηθήσουν τον Εσωτερικό Ελεγκτή να εξειδικευτεί σε θέματα ελέγχων πληροφοριακών συστημάτων.</w:t>
      </w:r>
    </w:p>
    <w:p w14:paraId="09C414E8" w14:textId="77777777" w:rsidR="00AB7176" w:rsidRPr="00AB7176" w:rsidRDefault="00AB7176" w:rsidP="00AB7176">
      <w:pPr>
        <w:pStyle w:val="af0"/>
        <w:rPr>
          <w:b/>
        </w:rPr>
      </w:pPr>
      <w:r w:rsidRPr="00AB7176">
        <w:rPr>
          <w:b/>
        </w:rPr>
        <w:t>Επίλογος</w:t>
      </w:r>
    </w:p>
    <w:p w14:paraId="4262B40A" w14:textId="77777777" w:rsidR="00AB7176" w:rsidRPr="00AB7176" w:rsidRDefault="00AB7176" w:rsidP="00AB7176">
      <w:pPr>
        <w:pStyle w:val="af0"/>
      </w:pPr>
      <w:r w:rsidRPr="00AB7176">
        <w:t xml:space="preserve">Ο Κυβερνοχώρος έχει εισχωρήσει σε μεγάλο βαθμό στην καθημερινή λειτουργία Δημόσιων Οργανισμών. Όμως, χαρακτηρίζεται από πολυπλοκότητα και συνεχή εξέλιξη, όποτε ο έλεγχός του, που αποτελεί επιτακτική ανάγκη, είναι ταυτόχρονα και απαιτητικός. Προκείμενου οι Μονάδες Εσωτερικού Ελέγχου να καταφέρουν να ανταποκριθούν στα καθήκοντα τους,  οφείλουν να είναι επαρκώς καταρτισμένες και να </w:t>
      </w:r>
      <w:proofErr w:type="spellStart"/>
      <w:r w:rsidRPr="00AB7176">
        <w:t>επικαιροποιούν</w:t>
      </w:r>
      <w:proofErr w:type="spellEnd"/>
      <w:r w:rsidRPr="00AB7176">
        <w:t xml:space="preserve"> συνεχώς τις γνώσεις τους. Με το τρόπο αυτό θα είναι ικανές να συνεισφέρουν στην θωράκιση των Οργανισμών τους από τους κινδύνους του Κυβερνοχώρου.</w:t>
      </w:r>
    </w:p>
    <w:p w14:paraId="018D6985" w14:textId="77777777" w:rsidR="00A75D0A" w:rsidRPr="00A75D0A" w:rsidRDefault="00A75D0A" w:rsidP="00AB7176">
      <w:pPr>
        <w:pStyle w:val="af0"/>
      </w:pPr>
    </w:p>
    <w:p w14:paraId="46802739" w14:textId="43D96464" w:rsidR="00AB7176" w:rsidRDefault="00AB7176" w:rsidP="00A75D0A">
      <w:r>
        <w:br w:type="page"/>
      </w:r>
    </w:p>
    <w:p w14:paraId="1F8FC29B" w14:textId="4D083917" w:rsidR="008043E8" w:rsidRPr="00957288" w:rsidRDefault="008043E8" w:rsidP="00957288">
      <w:pPr>
        <w:pStyle w:val="10"/>
        <w:numPr>
          <w:ilvl w:val="8"/>
          <w:numId w:val="9"/>
        </w:numPr>
        <w:shd w:val="clear" w:color="auto" w:fill="D9E2F3" w:themeFill="accent1" w:themeFillTint="33"/>
        <w:spacing w:before="240" w:after="120" w:line="288" w:lineRule="auto"/>
        <w:ind w:left="0" w:right="43" w:firstLine="0"/>
        <w:jc w:val="center"/>
      </w:pPr>
      <w:bookmarkStart w:id="8" w:name="_Toc134449086"/>
      <w:r w:rsidRPr="00957288">
        <w:lastRenderedPageBreak/>
        <w:t xml:space="preserve">ΘΕΜΑΤΑ ΧΩΡΟΤΑΞΙΑΣ </w:t>
      </w:r>
      <w:r w:rsidR="00F57DE5" w:rsidRPr="00957288">
        <w:t>/</w:t>
      </w:r>
      <w:r w:rsidRPr="00957288">
        <w:t>ΠΟΛΕΟΔΟΜΙ</w:t>
      </w:r>
      <w:r w:rsidR="00F57DE5" w:rsidRPr="00957288">
        <w:t>ΚΑ ΘΕΜΑΤΑ</w:t>
      </w:r>
      <w:bookmarkEnd w:id="8"/>
    </w:p>
    <w:p w14:paraId="6D16A1BF" w14:textId="4314160A" w:rsidR="005F3A9A" w:rsidRDefault="008043E8" w:rsidP="00957288">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9" w:name="_Toc134449087"/>
      <w:r w:rsidRPr="00957288">
        <w:rPr>
          <w:rFonts w:ascii="Times New Roman" w:hAnsi="Times New Roman" w:cs="Times New Roman"/>
          <w:b/>
          <w:bCs/>
          <w:color w:val="auto"/>
          <w:sz w:val="24"/>
          <w:szCs w:val="24"/>
        </w:rPr>
        <w:t xml:space="preserve">Α. </w:t>
      </w:r>
      <w:r w:rsidR="005619C0" w:rsidRPr="00957288">
        <w:rPr>
          <w:rFonts w:ascii="Times New Roman" w:hAnsi="Times New Roman" w:cs="Times New Roman"/>
          <w:b/>
          <w:bCs/>
          <w:color w:val="auto"/>
          <w:sz w:val="24"/>
          <w:szCs w:val="24"/>
        </w:rPr>
        <w:t xml:space="preserve"> </w:t>
      </w:r>
      <w:r w:rsidR="00A75D0A" w:rsidRPr="00A75D0A">
        <w:rPr>
          <w:rFonts w:ascii="Times New Roman" w:hAnsi="Times New Roman" w:cs="Times New Roman"/>
          <w:b/>
          <w:bCs/>
          <w:color w:val="auto"/>
          <w:sz w:val="24"/>
          <w:szCs w:val="24"/>
        </w:rPr>
        <w:t>ΑΜΕΑ - Παράταση Υποχρέωσης Προσβασιμότητας έως 31/03/2024</w:t>
      </w:r>
      <w:bookmarkEnd w:id="9"/>
    </w:p>
    <w:p w14:paraId="4C648391" w14:textId="77777777" w:rsidR="00A75D0A" w:rsidRPr="00A75D0A" w:rsidRDefault="00A75D0A" w:rsidP="00A75D0A">
      <w:pPr>
        <w:pStyle w:val="af0"/>
      </w:pPr>
      <w:r w:rsidRPr="00A75D0A">
        <w:t>Παρατείνεται η υποχρεωτική εφαρμογή των κανόνων προσβασιμότητας για υφιστάμενα δημόσια και ιδιωτικά κτίρια.</w:t>
      </w:r>
    </w:p>
    <w:p w14:paraId="47183C99" w14:textId="77777777" w:rsidR="00A75D0A" w:rsidRPr="00A75D0A" w:rsidRDefault="00A75D0A" w:rsidP="00A75D0A">
      <w:pPr>
        <w:pStyle w:val="af0"/>
      </w:pPr>
      <w:r w:rsidRPr="00A75D0A">
        <w:t xml:space="preserve">Με την υπ’ </w:t>
      </w:r>
      <w:proofErr w:type="spellStart"/>
      <w:r w:rsidRPr="00A75D0A">
        <w:t>αριθμ</w:t>
      </w:r>
      <w:proofErr w:type="spellEnd"/>
      <w:r w:rsidRPr="00A75D0A">
        <w:t xml:space="preserve">. οικ. ΥΠΕΝ/Δ ΕΣΕΔ Π/34068/570 (ΦΕΚ 2018Β/30-03-2023) Απόφαση του Υφυπουργού ΥΠΕΝ Νίκου </w:t>
      </w:r>
      <w:proofErr w:type="spellStart"/>
      <w:r w:rsidRPr="00A75D0A">
        <w:t>Ταγαρά</w:t>
      </w:r>
      <w:proofErr w:type="spellEnd"/>
      <w:r w:rsidRPr="00A75D0A">
        <w:t xml:space="preserve">, τροποποιήθηκε η υπ’ </w:t>
      </w:r>
      <w:proofErr w:type="spellStart"/>
      <w:r w:rsidRPr="00A75D0A">
        <w:t>αριθμ</w:t>
      </w:r>
      <w:proofErr w:type="spellEnd"/>
      <w:r w:rsidRPr="00A75D0A">
        <w:t>.  οικ. ΥΠΕΝ/ΔΕΣΕΔΠ/139606/1662/30.12.2022 απόφαση για την  «Παράταση των προθεσμιών των παρ. 4 και 10 του άρθρου 26 “</w:t>
      </w:r>
      <w:r w:rsidRPr="00A75D0A">
        <w:rPr>
          <w:i/>
          <w:iCs/>
        </w:rPr>
        <w:t>Προσβασιμότητα χωρίς φραγμούς για τα άτομα με αναπηρία και τα εμποδιζόμενα άτομα” του Ν. 4067/2012 “Νέος Οικοδομικός Κανονισμός</w:t>
      </w:r>
      <w:r w:rsidRPr="00A75D0A">
        <w:t>”»</w:t>
      </w:r>
    </w:p>
    <w:p w14:paraId="07D99B24" w14:textId="77777777" w:rsidR="00A75D0A" w:rsidRPr="00A75D0A" w:rsidRDefault="00A75D0A" w:rsidP="00A75D0A">
      <w:pPr>
        <w:pStyle w:val="af0"/>
      </w:pPr>
      <w:r w:rsidRPr="00A75D0A">
        <w:t>Σύμφωνα με την απόφαση :</w:t>
      </w:r>
    </w:p>
    <w:p w14:paraId="42217A96" w14:textId="77777777" w:rsidR="00A75D0A" w:rsidRPr="00A75D0A" w:rsidRDefault="00A75D0A" w:rsidP="00A75D0A">
      <w:pPr>
        <w:pStyle w:val="af0"/>
      </w:pPr>
      <w:r w:rsidRPr="00A75D0A">
        <w:t xml:space="preserve">Α) Παρατείνεται η προθεσμία του δεύτερου εδαφίου της παρ. 4 του άρθρου 26 του Ν. 4067/2012 για την υποχρεωτική εφαρμογή των κανόνων προσβασιμότητας για υφιστάμενα δημόσια και ιδιωτικά κτίρια, από τη λήξη της έως και την </w:t>
      </w:r>
      <w:r w:rsidRPr="00A75D0A">
        <w:rPr>
          <w:b/>
        </w:rPr>
        <w:t>31/03/2024.</w:t>
      </w:r>
    </w:p>
    <w:p w14:paraId="1968A369" w14:textId="77777777" w:rsidR="00A75D0A" w:rsidRPr="00A75D0A" w:rsidRDefault="00A75D0A" w:rsidP="00A75D0A">
      <w:pPr>
        <w:pStyle w:val="af0"/>
      </w:pPr>
      <w:r w:rsidRPr="00A75D0A">
        <w:t>Η απόφαση προβλέπει παράταση της προθεσμίας για την υλοποίηση των απαραίτητων διαμορφώσεων, ώστε οι λειτουργικοί χώροι των υφιστάμενων κτιρίων να είναι προσπελάσιμοι από άτομα με αναπηρία ή εμποδιζόμενα άτομα.</w:t>
      </w:r>
    </w:p>
    <w:p w14:paraId="5E51C198" w14:textId="77777777" w:rsidR="00A75D0A" w:rsidRPr="00A75D0A" w:rsidRDefault="00A75D0A" w:rsidP="00A75D0A">
      <w:pPr>
        <w:pStyle w:val="af0"/>
      </w:pPr>
      <w:r w:rsidRPr="00A75D0A">
        <w:t>Αφορά τα δημόσια και ιδιωτικά κτίρια που στεγάζονται φορείς της παρ.1 του άρθρου 14 του ν.4270/2014 (Α143) ή έχουν χρήσεις συνάθροισης κοινού, όπως χώροι συνεδρίων, εκθέσεων, μουσείων, συναυλιών, αθλητικών ή πολιτιστικών συγκεντρώσεων, ναοί, θέατρα,  κινηματογράφοι, εστιατόρια, ζαχαροπλαστεία,  καφενεία,  κέντρα διασκέδασης, αίθουσες πολλαπλών χρήσεων, αίθουσες αναμονής επιβατών, τράπεζες,  ανταλλακτήρια, χώροι προσωρινής διαμονής, εκπαίδευσης, υγείας και κοινωνικής πρόνοιας, δικαιοσύνης και σωφρονισμού, γραφείων και εμπορίου, βιομηχανίας και βιοτεχνίας, χώρους στάθμευσης αυτοκινήτων και πρατηρίων καυσίμων.</w:t>
      </w:r>
    </w:p>
    <w:p w14:paraId="017CC4E1" w14:textId="77777777" w:rsidR="00A75D0A" w:rsidRPr="00A75D0A" w:rsidRDefault="00A75D0A" w:rsidP="00A75D0A">
      <w:pPr>
        <w:pStyle w:val="af0"/>
      </w:pPr>
      <w:r w:rsidRPr="00A75D0A">
        <w:t xml:space="preserve">β) Παρατείνεται από τη λήξη της έως και την </w:t>
      </w:r>
      <w:r w:rsidRPr="00A75D0A">
        <w:rPr>
          <w:b/>
        </w:rPr>
        <w:t>31.03.2024</w:t>
      </w:r>
      <w:r w:rsidRPr="00A75D0A">
        <w:t>, η καταληκτική προθεσμία αναστολής κυρώσεων για την ολοκλήρωση των απαραίτητων διαμορφώσεων των κτιρίων, την καταχώριση τους στην ηλεκτρονική πλατφόρμα καταγραφής προσβασιμότητας και την συμπλήρωση της Ηλεκτρονικής Ταυτότητας Κτιρίου.</w:t>
      </w:r>
    </w:p>
    <w:p w14:paraId="2A99AB5B" w14:textId="77777777" w:rsidR="00A75D0A" w:rsidRPr="00A75D0A" w:rsidRDefault="00A75D0A" w:rsidP="00A75D0A">
      <w:pPr>
        <w:pStyle w:val="af0"/>
      </w:pPr>
      <w:r w:rsidRPr="00A75D0A">
        <w:t>Συγκεκριμένα η νέα απόφαση αναφέρει ότι :</w:t>
      </w:r>
    </w:p>
    <w:p w14:paraId="2A20AF4B" w14:textId="644F7DB3" w:rsidR="00A75D0A" w:rsidRDefault="00A75D0A" w:rsidP="00A75D0A">
      <w:pPr>
        <w:pStyle w:val="af0"/>
      </w:pPr>
      <w:r w:rsidRPr="00A75D0A">
        <w:t xml:space="preserve">«Παρατείνεται από τη λήξη της έως και την </w:t>
      </w:r>
      <w:r w:rsidRPr="00A75D0A">
        <w:rPr>
          <w:b/>
        </w:rPr>
        <w:t>31.03.2024</w:t>
      </w:r>
      <w:r w:rsidRPr="00A75D0A">
        <w:t xml:space="preserve"> η προθεσμία του δεύτερου εδαφίου της παρ. 4 του άρθρου 26 του ν. 4067/2012. Για το ίδιο διάστημα παρατείνεται η αναστολή κυρώσεων για τα ανωτέρω αναφερόμενα κτίρια». «Παρατείνεται από τη λήξη της έως και την </w:t>
      </w:r>
      <w:r w:rsidRPr="00A75D0A">
        <w:rPr>
          <w:b/>
        </w:rPr>
        <w:t>31.03.2024</w:t>
      </w:r>
      <w:r w:rsidRPr="00A75D0A">
        <w:t xml:space="preserve"> η καταληκτική προθεσμία αναστολής κυρώσεων του τέταρτου εδαφίου της περ. (α) της παρ. 10 του άρθρου 26 του ν. 4067/2012 και, αντιστοίχως, η προθεσμία ολοκλήρωσης των απαραίτητων διαμορφώσεων του πέμπτου εδαφίου της ίδιας περίπτωσης και η καταληκτική ημερομηνία αναστολής του έκτου </w:t>
      </w:r>
      <w:r w:rsidRPr="00A75D0A">
        <w:lastRenderedPageBreak/>
        <w:t>εδαφίου, που αφορά στην υποχρέωση της παρ. 3 του άρθρου 59 του ν. 4495/2017(Α’ 167)».</w:t>
      </w:r>
    </w:p>
    <w:p w14:paraId="603DDA19" w14:textId="77777777" w:rsidR="000E1E19" w:rsidRDefault="000E1E19" w:rsidP="00A75D0A">
      <w:pPr>
        <w:pStyle w:val="af0"/>
      </w:pPr>
    </w:p>
    <w:p w14:paraId="3FE4CED1" w14:textId="4E48871A" w:rsidR="000E1E19" w:rsidRDefault="000E1E19" w:rsidP="000E1E19">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0" w:name="_Toc134449088"/>
      <w:r>
        <w:rPr>
          <w:rFonts w:ascii="Times New Roman" w:hAnsi="Times New Roman" w:cs="Times New Roman"/>
          <w:b/>
          <w:bCs/>
          <w:color w:val="auto"/>
          <w:sz w:val="24"/>
          <w:szCs w:val="24"/>
        </w:rPr>
        <w:t>Β</w:t>
      </w:r>
      <w:r w:rsidRPr="00957288">
        <w:rPr>
          <w:rFonts w:ascii="Times New Roman" w:hAnsi="Times New Roman" w:cs="Times New Roman"/>
          <w:b/>
          <w:bCs/>
          <w:color w:val="auto"/>
          <w:sz w:val="24"/>
          <w:szCs w:val="24"/>
        </w:rPr>
        <w:t xml:space="preserve">.  </w:t>
      </w:r>
      <w:r w:rsidRPr="000E1E19">
        <w:rPr>
          <w:rFonts w:ascii="Times New Roman" w:hAnsi="Times New Roman" w:cs="Times New Roman"/>
          <w:b/>
          <w:bCs/>
          <w:color w:val="auto"/>
          <w:sz w:val="24"/>
          <w:szCs w:val="24"/>
        </w:rPr>
        <w:t>Π</w:t>
      </w:r>
      <w:r>
        <w:rPr>
          <w:rFonts w:ascii="Times New Roman" w:hAnsi="Times New Roman" w:cs="Times New Roman"/>
          <w:b/>
          <w:bCs/>
          <w:color w:val="auto"/>
          <w:sz w:val="24"/>
          <w:szCs w:val="24"/>
        </w:rPr>
        <w:t>ροσδιορισμός και διαδικασία κοινόχρηστων οδών</w:t>
      </w:r>
      <w:bookmarkEnd w:id="10"/>
    </w:p>
    <w:p w14:paraId="4DAF4E64" w14:textId="77777777" w:rsidR="000E1E19" w:rsidRPr="000E1E19" w:rsidRDefault="000E1E19" w:rsidP="000E1E19">
      <w:pPr>
        <w:pStyle w:val="af0"/>
      </w:pPr>
      <w:r w:rsidRPr="000E1E19">
        <w:t xml:space="preserve">Τα ΕΠΣ εναρμονίζονται με τις κατευθύνσεις των Περιφερειακών και των Ειδικών Χωροταξικών Πλαισίων και περιέχουν τις αναγκαίες ρυθμίσεις για την επίτευξη των σκοπών τους, εντός της περιοχής επέμβασης. Εκτός της περιοχής επέμβασης είναι </w:t>
      </w:r>
      <w:proofErr w:type="spellStart"/>
      <w:r w:rsidRPr="000E1E19">
        <w:t>κατ</w:t>
      </w:r>
      <w:proofErr w:type="spellEnd"/>
      <w:r w:rsidRPr="000E1E19">
        <w:t xml:space="preserve">΄ εξαίρεση επιτρεπτό τα ΕΠΣ να προσδιορίζουν υποδομές, μέτρα και όρους που είναι αναγκαίοι για την οργανική ενσωμάτωση της περιοχής επέμβασης στην ευρύτερη περιοχή που την περιβάλλει. Σύμφωνα με το νέο νόμο </w:t>
      </w:r>
      <w:r w:rsidRPr="000E1E19">
        <w:rPr>
          <w:b/>
        </w:rPr>
        <w:t>Ν.5037/23 με ΦΕΚ-78/Α/28-3-23</w:t>
      </w:r>
      <w:r w:rsidRPr="000E1E19">
        <w:t xml:space="preserve"> </w:t>
      </w:r>
      <w:r w:rsidRPr="000E1E19">
        <w:rPr>
          <w:b/>
        </w:rPr>
        <w:t>θα δύναται να προσδιορίζεται κοινόχρηστη οδός και μέσω μελέτης Ειδικού Πολεοδομικού Σχεδίου (ΕΠΣ). Στην περίπτωση που με το ΕΠΣ προσδιορίζεται κοινόχρηστη οδός, με την οποία επιτυγχάνεται η οργανική ενσωμάτωση της περιοχής επέμβασης στη ζώνη άμεσης επιρροής ή και στην ευρύτερη περιοχή και ειδικότερα η κυκλοφοριακή σύνδεση με το υφιστάμενο κοινόχρηστο οδικό δίκτυο</w:t>
      </w:r>
      <w:r w:rsidRPr="000E1E19">
        <w:t>, ισχύουν τα εξής:</w:t>
      </w:r>
    </w:p>
    <w:p w14:paraId="595F2F8A" w14:textId="77777777" w:rsidR="000E1E19" w:rsidRPr="000E1E19" w:rsidRDefault="000E1E19" w:rsidP="00492458">
      <w:pPr>
        <w:pStyle w:val="af0"/>
        <w:ind w:left="284" w:hanging="284"/>
      </w:pPr>
      <w:r w:rsidRPr="000E1E19">
        <w:t xml:space="preserve">α) </w:t>
      </w:r>
      <w:r w:rsidRPr="000E1E19">
        <w:rPr>
          <w:b/>
        </w:rPr>
        <w:t>Η προσδιοριζόμενη κοινόχρηστη οδός αξιολογείται στο πλαίσιο της Στρατηγικής Μελέτης Περιβαλλοντικών Επιπτώσεω</w:t>
      </w:r>
      <w:r w:rsidRPr="000E1E19">
        <w:t>ν των προτεινομένων από την κύρια μελέτη ρυθμίσεων και κατευθύνσεων του ΕΠΣ.</w:t>
      </w:r>
    </w:p>
    <w:p w14:paraId="33AFB07A" w14:textId="77777777" w:rsidR="000E1E19" w:rsidRPr="000E1E19" w:rsidRDefault="000E1E19" w:rsidP="00492458">
      <w:pPr>
        <w:pStyle w:val="af0"/>
        <w:ind w:left="284" w:hanging="284"/>
        <w:rPr>
          <w:b/>
        </w:rPr>
      </w:pPr>
      <w:r w:rsidRPr="000E1E19">
        <w:t xml:space="preserve">β) </w:t>
      </w:r>
      <w:r w:rsidRPr="000E1E19">
        <w:rPr>
          <w:b/>
        </w:rPr>
        <w:t xml:space="preserve">Επιτρέπεται η αναγκαστική απαλλοτρίωση ακινήτων για τη διάνοιξη της νέας οδού ή τη βελτίωση της χάραξης και των λοιπών τεχνικών χαρακτηριστικών υφισταμένης οδού, ή η σύσταση εμπραγμάτων δικαιωμάτων </w:t>
      </w:r>
      <w:proofErr w:type="spellStart"/>
      <w:r w:rsidRPr="000E1E19">
        <w:rPr>
          <w:b/>
        </w:rPr>
        <w:t>επ</w:t>
      </w:r>
      <w:proofErr w:type="spellEnd"/>
      <w:r w:rsidRPr="000E1E19">
        <w:rPr>
          <w:b/>
        </w:rPr>
        <w:t>΄ αυτών, ώστε να καταστεί η περιοχή επέμβασης κατάλληλη, είτε για τη δημιουργία οργανωμένων υποδοχέων δραστηριοτήτων, είτε για την πραγματοποίηση των προγραμμάτων και παρεμβάσεων της παρ.1.</w:t>
      </w:r>
    </w:p>
    <w:p w14:paraId="76120F02" w14:textId="77777777" w:rsidR="000E1E19" w:rsidRPr="000E1E19" w:rsidRDefault="000E1E19" w:rsidP="00492458">
      <w:pPr>
        <w:pStyle w:val="af0"/>
        <w:ind w:left="284" w:hanging="284"/>
        <w:rPr>
          <w:b/>
        </w:rPr>
      </w:pPr>
      <w:r w:rsidRPr="000E1E19">
        <w:t xml:space="preserve">γ) </w:t>
      </w:r>
      <w:r w:rsidRPr="000E1E19">
        <w:rPr>
          <w:b/>
        </w:rPr>
        <w:t xml:space="preserve">Η απαλλοτρίωση κηρύσσεται με κοινή απόφαση των αρμοδίων οργάνων των Υπουργείων Ανάπτυξης και Επενδύσεων, Οικονομικών, Περιβάλλοντος και Ενέργειας, Υποδομών και Μεταφορών και Πολιτισμού και Αθλητισμού στην περίπτωση που η ζώνη απαλλοτρίωσης εμπίπτει σε περιοχή ελεγχόμενη βάσει του Ν-4858/21(ΦΕΚ-220/Α/21), υπέρ του Ελληνικού Δημοσίου ή νομικών προσώπων δημοσίου δικαίου ή φορέων Γενικής Κυβέρνησης της </w:t>
      </w:r>
      <w:proofErr w:type="spellStart"/>
      <w:r w:rsidRPr="000E1E19">
        <w:rPr>
          <w:b/>
        </w:rPr>
        <w:t>περιπτ</w:t>
      </w:r>
      <w:proofErr w:type="spellEnd"/>
      <w:r w:rsidRPr="000E1E19">
        <w:rPr>
          <w:b/>
        </w:rPr>
        <w:t xml:space="preserve">.(β) της παρ.1 του Αρθ-14 του Ν-4270/14 (ΦΕΚ-143/Α/14) ή φυσικών προσώπων και με δαπάνη του </w:t>
      </w:r>
      <w:proofErr w:type="spellStart"/>
      <w:r w:rsidRPr="000E1E19">
        <w:rPr>
          <w:b/>
        </w:rPr>
        <w:t>υπερ</w:t>
      </w:r>
      <w:proofErr w:type="spellEnd"/>
      <w:r w:rsidRPr="000E1E19">
        <w:rPr>
          <w:b/>
        </w:rPr>
        <w:t xml:space="preserve"> </w:t>
      </w:r>
      <w:proofErr w:type="spellStart"/>
      <w:r w:rsidRPr="000E1E19">
        <w:rPr>
          <w:b/>
        </w:rPr>
        <w:t>ού</w:t>
      </w:r>
      <w:proofErr w:type="spellEnd"/>
      <w:r w:rsidRPr="000E1E19">
        <w:rPr>
          <w:b/>
        </w:rPr>
        <w:t xml:space="preserve"> η απαλλοτρίωση ή άλλου προσώπου, που ορίζεται με την πράξη κήρυξής της. Κατά τα λοιπά εφαρμόζεται ο Κώδικας Αναγκαστικών Απαλλοτριώσεων Ακινήτων (Ν-2882/01, ΦΕΚ-17/Α/01). Η προσδιοριζόμενη αποζημίωση βαρύνει τον φορέα υλοποίησης του ΕΠΣ.</w:t>
      </w:r>
    </w:p>
    <w:p w14:paraId="40091049" w14:textId="2DD6C600" w:rsidR="00AB7176" w:rsidRPr="000E1E19" w:rsidRDefault="000E1E19" w:rsidP="00492458">
      <w:pPr>
        <w:pStyle w:val="af0"/>
        <w:ind w:left="284" w:hanging="284"/>
      </w:pPr>
      <w:r w:rsidRPr="000E1E19">
        <w:t xml:space="preserve">δ) Τα παρόδια στην κατά τα ανωτέρω προσδιοριζόμενη και υλοποιούμενη κοινόχρηστη οδό γήπεδα, </w:t>
      </w:r>
      <w:r w:rsidRPr="000E1E19">
        <w:rPr>
          <w:b/>
        </w:rPr>
        <w:t xml:space="preserve">δεν αποκτούν </w:t>
      </w:r>
      <w:proofErr w:type="spellStart"/>
      <w:r w:rsidRPr="000E1E19">
        <w:rPr>
          <w:b/>
        </w:rPr>
        <w:t>οικοδομησιμότητα</w:t>
      </w:r>
      <w:proofErr w:type="spellEnd"/>
      <w:r w:rsidRPr="000E1E19">
        <w:rPr>
          <w:b/>
        </w:rPr>
        <w:t xml:space="preserve">, σύμφωνα με τις προϋποθέσεις </w:t>
      </w:r>
      <w:r w:rsidRPr="000E1E19">
        <w:rPr>
          <w:b/>
        </w:rPr>
        <w:lastRenderedPageBreak/>
        <w:t>δόμησης που θέτουν τα ΠΔ/24-5-85 (ΦΕΚ-270/Δ/85)και ΠΔ/6-10-78 (ΦΕΚ-538/Δ/78) ή άλλες ανάλογες διατάξεις.</w:t>
      </w:r>
      <w:r w:rsidRPr="000E1E19">
        <w:t xml:space="preserve"> </w:t>
      </w:r>
      <w:r w:rsidRPr="000E1E19">
        <w:rPr>
          <w:b/>
          <w:u w:val="single"/>
        </w:rPr>
        <w:t>Η δυνατότητα και οι προϋποθέσεις δόμησης των εν λόγω γηπέδων καθορίζονται στο πλαίσιο του προεδρικού διατάγματος έγκρισης ή αναθεώρησης του Τοπικού Πολεοδομικού Σχεδίου της Δημοτικής Ενότητας στην οποία εμπίπτουν</w:t>
      </w:r>
      <w:r w:rsidRPr="000E1E19">
        <w:t>.</w:t>
      </w:r>
    </w:p>
    <w:p w14:paraId="496E2D39" w14:textId="74AD07D3" w:rsidR="00FB4DC8" w:rsidRDefault="00FB4DC8" w:rsidP="000E1E19">
      <w:pPr>
        <w:pStyle w:val="af0"/>
      </w:pPr>
      <w:r>
        <w:br w:type="page"/>
      </w:r>
    </w:p>
    <w:p w14:paraId="43D20D5D" w14:textId="75D352F8" w:rsidR="002B1806" w:rsidRPr="00957288" w:rsidRDefault="002B1806" w:rsidP="00AB7176">
      <w:pPr>
        <w:pStyle w:val="10"/>
        <w:numPr>
          <w:ilvl w:val="8"/>
          <w:numId w:val="9"/>
        </w:numPr>
        <w:shd w:val="clear" w:color="auto" w:fill="D9E2F3" w:themeFill="accent1" w:themeFillTint="33"/>
        <w:spacing w:before="240" w:line="288" w:lineRule="auto"/>
        <w:ind w:left="0" w:right="43" w:firstLine="0"/>
        <w:jc w:val="center"/>
      </w:pPr>
      <w:bookmarkStart w:id="11" w:name="_Toc97293135"/>
      <w:bookmarkStart w:id="12" w:name="_Toc134449089"/>
      <w:r w:rsidRPr="00957288">
        <w:lastRenderedPageBreak/>
        <w:t>ΘΕΜΑΤΑ ΕΠΙΧΕΙΡΗΜΑΤΙΚΩΝ ΠΑΡΚΩΝ (ΕΠ) / ΟΡΓΑΝΩΜΕΝΩΝ ΥΠΟΔΟΧΕΩΝ ΜΕΤΑΠΟΙΗΤΙΚΩΝ &amp; ΕΠΙΧΕΙΡΗΜΑΤΙΚΩΝ ΔΡΑΣΤΗΡΙΟΤΗΤΩΝ (ΟΥΜΕΔ)</w:t>
      </w:r>
      <w:bookmarkEnd w:id="11"/>
      <w:bookmarkEnd w:id="12"/>
    </w:p>
    <w:p w14:paraId="6C578F96" w14:textId="77777777" w:rsidR="002B1806" w:rsidRPr="00957288" w:rsidRDefault="002B1806" w:rsidP="002B1806">
      <w:pPr>
        <w:pStyle w:val="110"/>
        <w:shd w:val="clear" w:color="auto" w:fill="FFFFFF" w:themeFill="background1"/>
        <w:tabs>
          <w:tab w:val="left" w:pos="284"/>
        </w:tabs>
        <w:spacing w:after="0" w:line="240" w:lineRule="auto"/>
        <w:ind w:left="284" w:right="266"/>
        <w:contextualSpacing w:val="0"/>
        <w:jc w:val="both"/>
        <w:rPr>
          <w:rFonts w:ascii="Times New Roman" w:hAnsi="Times New Roman"/>
          <w:b/>
          <w:i/>
          <w:iCs/>
          <w:sz w:val="4"/>
          <w:szCs w:val="4"/>
          <w:highlight w:val="yellow"/>
        </w:rPr>
      </w:pPr>
    </w:p>
    <w:p w14:paraId="23E35E70" w14:textId="5C2F55BA" w:rsidR="007F001B" w:rsidRPr="00957288" w:rsidRDefault="007F001B" w:rsidP="00957288">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3" w:name="_Toc119053815"/>
      <w:bookmarkStart w:id="14" w:name="_Toc134449090"/>
      <w:r w:rsidRPr="00957288">
        <w:rPr>
          <w:rFonts w:ascii="Times New Roman" w:hAnsi="Times New Roman" w:cs="Times New Roman"/>
          <w:b/>
          <w:bCs/>
          <w:color w:val="auto"/>
          <w:sz w:val="24"/>
          <w:szCs w:val="24"/>
        </w:rPr>
        <w:t xml:space="preserve">Α. </w:t>
      </w:r>
      <w:bookmarkEnd w:id="13"/>
      <w:r w:rsidR="00A75D0A" w:rsidRPr="00A75D0A">
        <w:rPr>
          <w:rFonts w:ascii="Times New Roman" w:hAnsi="Times New Roman" w:cs="Times New Roman"/>
          <w:b/>
          <w:bCs/>
          <w:color w:val="auto"/>
          <w:sz w:val="24"/>
          <w:szCs w:val="24"/>
        </w:rPr>
        <w:t xml:space="preserve">Πρόσκληση υποβολής πρότασης προς τη δικαιούχο «THESS INTEC Α.Ε.» για το πρόγραμμα κρατικής ενίσχυσης «Τεχνολογικό Πάρκο </w:t>
      </w:r>
      <w:proofErr w:type="spellStart"/>
      <w:r w:rsidR="00A75D0A" w:rsidRPr="00A75D0A">
        <w:rPr>
          <w:rFonts w:ascii="Times New Roman" w:hAnsi="Times New Roman" w:cs="Times New Roman"/>
          <w:b/>
          <w:bCs/>
          <w:color w:val="auto"/>
          <w:sz w:val="24"/>
          <w:szCs w:val="24"/>
        </w:rPr>
        <w:t>ThessINTEC</w:t>
      </w:r>
      <w:proofErr w:type="spellEnd"/>
      <w:r w:rsidR="00A75D0A" w:rsidRPr="00A75D0A">
        <w:rPr>
          <w:rFonts w:ascii="Times New Roman" w:hAnsi="Times New Roman" w:cs="Times New Roman"/>
          <w:b/>
          <w:bCs/>
          <w:color w:val="auto"/>
          <w:sz w:val="24"/>
          <w:szCs w:val="24"/>
        </w:rPr>
        <w:t>» και Οδηγός εφαρμογής, που περιλαμβάνεται στο Εθνικό Σχέδιο Ανάκαμψης και Ανθεκτικότητας «Ελλάδα 2.0»</w:t>
      </w:r>
      <w:bookmarkEnd w:id="14"/>
    </w:p>
    <w:p w14:paraId="67D7B705" w14:textId="736DFFB1" w:rsidR="00F567A9" w:rsidRDefault="000216B0" w:rsidP="000216B0">
      <w:pPr>
        <w:pStyle w:val="af0"/>
      </w:pPr>
      <w:r>
        <w:t xml:space="preserve">Με τη με Αριθ. </w:t>
      </w:r>
      <w:proofErr w:type="spellStart"/>
      <w:r>
        <w:t>Πρωτ</w:t>
      </w:r>
      <w:proofErr w:type="spellEnd"/>
      <w:r>
        <w:t xml:space="preserve">. </w:t>
      </w:r>
      <w:r w:rsidRPr="000216B0">
        <w:t>35809 - 13-04-2023</w:t>
      </w:r>
      <w:r>
        <w:t xml:space="preserve"> απόφαση του Υπουργού Ανάπτυξης και Επενδύσεων, εγκρίθηκε η πρόσκληση υποβολής πρότασης προς τη δικαιούχο «Εταιρεία Ανάπτυξης Επιχειρηματικού Πάρκου THESS INTEC Α.Ε.» για το πρόγραμμα κρατικής ενίσχυσης </w:t>
      </w:r>
      <w:bookmarkStart w:id="15" w:name="_Hlk134195195"/>
      <w:r>
        <w:t xml:space="preserve">«Τεχνολογικό Πάρκο </w:t>
      </w:r>
      <w:proofErr w:type="spellStart"/>
      <w:r>
        <w:t>Thess</w:t>
      </w:r>
      <w:proofErr w:type="spellEnd"/>
      <w:r>
        <w:t xml:space="preserve"> INTEC»</w:t>
      </w:r>
      <w:bookmarkEnd w:id="15"/>
      <w:r>
        <w:t xml:space="preserve">, που περιλαμβάνεται στη Δράση «ΝΕΑ ΒΙΟΜΗΧΑΝΙΑ ΠΑΡΚΑ» του Εθνικού Σχεδίου Ανάκαμψης και Ανθεκτικότητας «Ελλάδα 2.0», με τη χρηματοδότηση της Ευρωπαϊκής Ένωσης - </w:t>
      </w:r>
      <w:proofErr w:type="spellStart"/>
      <w:r>
        <w:t>NextGenerationEU</w:t>
      </w:r>
      <w:proofErr w:type="spellEnd"/>
      <w:r>
        <w:t xml:space="preserve"> και ο Οδηγός εφαρμογής του Έργου. </w:t>
      </w:r>
    </w:p>
    <w:p w14:paraId="6B3FCB5E" w14:textId="0A46AD50" w:rsidR="000216B0" w:rsidRDefault="000216B0" w:rsidP="000216B0">
      <w:pPr>
        <w:pStyle w:val="af0"/>
      </w:pPr>
      <w:r>
        <w:t xml:space="preserve">Ειδικότερα, για την υποστήριξη του έργου ανάπτυξης του </w:t>
      </w:r>
      <w:r w:rsidRPr="000216B0">
        <w:t>«Τεχνολογικ</w:t>
      </w:r>
      <w:r>
        <w:t>ού</w:t>
      </w:r>
      <w:r w:rsidRPr="000216B0">
        <w:t xml:space="preserve"> Πάρκ</w:t>
      </w:r>
      <w:r>
        <w:t>ου</w:t>
      </w:r>
      <w:r w:rsidRPr="000216B0">
        <w:t xml:space="preserve"> </w:t>
      </w:r>
      <w:proofErr w:type="spellStart"/>
      <w:r w:rsidRPr="000216B0">
        <w:t>Thess</w:t>
      </w:r>
      <w:proofErr w:type="spellEnd"/>
      <w:r w:rsidRPr="000216B0">
        <w:t xml:space="preserve"> INTEC»</w:t>
      </w:r>
      <w:r>
        <w:t xml:space="preserve"> προβλέφθηκε κονδύλι της δράσης «ΝΕΑ ΒΙΟΜΗΧΑΝΙΑ ΠΑΡΚΑ» το οποίο μπορεί να χρησιμοποιηθεί αποκλειστικά για αυτόν τον σκοπό </w:t>
      </w:r>
      <w:r w:rsidR="00704476">
        <w:t xml:space="preserve">ύψους </w:t>
      </w:r>
      <w:r w:rsidR="00704476" w:rsidRPr="00704476">
        <w:rPr>
          <w:b/>
          <w:bCs w:val="0"/>
        </w:rPr>
        <w:t>35.000.000 € κατά μέγιστο</w:t>
      </w:r>
      <w:r w:rsidR="00704476">
        <w:t xml:space="preserve">. </w:t>
      </w:r>
    </w:p>
    <w:p w14:paraId="723C049A" w14:textId="2E096C92" w:rsidR="00704476" w:rsidRPr="000216B0" w:rsidRDefault="00704476" w:rsidP="00704476">
      <w:pPr>
        <w:pStyle w:val="af0"/>
      </w:pPr>
      <w:r>
        <w:t xml:space="preserve">Το </w:t>
      </w:r>
      <w:r w:rsidRPr="00704476">
        <w:t xml:space="preserve">«Τεχνολογικό Πάρκο </w:t>
      </w:r>
      <w:proofErr w:type="spellStart"/>
      <w:r w:rsidRPr="00704476">
        <w:t>Thess</w:t>
      </w:r>
      <w:proofErr w:type="spellEnd"/>
      <w:r w:rsidRPr="00704476">
        <w:t xml:space="preserve"> INTEC»</w:t>
      </w:r>
      <w:r>
        <w:t xml:space="preserve"> εμπίπτει στην κατηγορία του Επιχειρηματικού Πάρκου της περ. ε) της παρ. 1 του άρθρου 4 του Ν. 4982/2022 και ειδικότερα στην υποκατηγορία των </w:t>
      </w:r>
      <w:proofErr w:type="spellStart"/>
      <w:r>
        <w:t>Τεχνοπόλεων</w:t>
      </w:r>
      <w:proofErr w:type="spellEnd"/>
      <w:r>
        <w:t>, δηλαδή χώρων όπου εγκαθίστανται επιχειρηματικές δραστηριότητες νέας και υψηλής τεχνολογίας, ερευνητικές και εκπαιδευτικές δραστηριότητες, επιχειρήσεις παροχής υπηρεσιών και οι οποίοι χαρακτηρίζονται από υψηλή ποιότητα περιβάλλοντος. Το Πάρκο θα αποτελείται από σύγχρονες υποδομές, οι οποίες πρόκειται να ανταποκριθούν στις απαιτήσεις διεθνώς αναγνωρισμένων ακαδημαϊκών και ερευνητικών ιδρυμάτων, καθώς και επιχειρήσεων με σημαντικές προοπτικές εξωστρεφούς και εξαγωγικής δραστηριότητας. Το εν θέματι Έργο, το οποίο θα υλοποιηθεί στη Θεσσαλονίκη, αναμένεται να έχει καθοριστική συμβολή στην οικονομική και κοινωνική ανάπτυξη της περιφέρειας Κεντρικής Μακεδονίας.</w:t>
      </w:r>
    </w:p>
    <w:p w14:paraId="491D018B" w14:textId="77777777" w:rsidR="000216B0" w:rsidRPr="000216B0" w:rsidRDefault="000216B0" w:rsidP="00F567A9">
      <w:pPr>
        <w:spacing w:after="120" w:line="288" w:lineRule="auto"/>
        <w:ind w:left="284" w:right="323"/>
        <w:jc w:val="both"/>
        <w:rPr>
          <w:rFonts w:ascii="Times New Roman" w:hAnsi="Times New Roman" w:cs="Times New Roman"/>
        </w:rPr>
      </w:pPr>
    </w:p>
    <w:p w14:paraId="59952E81" w14:textId="2762D1F6" w:rsidR="00F567A9" w:rsidRPr="00957288" w:rsidRDefault="00F567A9" w:rsidP="00957288">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16" w:name="_Toc129083794"/>
      <w:bookmarkStart w:id="17" w:name="_Toc134449091"/>
      <w:r w:rsidRPr="00957288">
        <w:rPr>
          <w:rFonts w:ascii="Times New Roman" w:hAnsi="Times New Roman" w:cs="Times New Roman"/>
          <w:b/>
          <w:bCs/>
          <w:color w:val="auto"/>
          <w:sz w:val="24"/>
          <w:szCs w:val="24"/>
        </w:rPr>
        <w:t xml:space="preserve">Β. </w:t>
      </w:r>
      <w:bookmarkEnd w:id="16"/>
      <w:r w:rsidR="008765B2">
        <w:rPr>
          <w:rFonts w:ascii="Times New Roman" w:hAnsi="Times New Roman" w:cs="Times New Roman"/>
          <w:b/>
          <w:bCs/>
          <w:color w:val="auto"/>
          <w:sz w:val="24"/>
          <w:szCs w:val="24"/>
        </w:rPr>
        <w:t xml:space="preserve">Ολοκλήρωση της περιόδου υποβολής </w:t>
      </w:r>
      <w:bookmarkStart w:id="18" w:name="_Hlk134196509"/>
      <w:r w:rsidR="00542A98">
        <w:rPr>
          <w:rFonts w:ascii="Times New Roman" w:hAnsi="Times New Roman" w:cs="Times New Roman"/>
          <w:b/>
          <w:bCs/>
          <w:color w:val="auto"/>
          <w:sz w:val="24"/>
          <w:szCs w:val="24"/>
        </w:rPr>
        <w:t>προτάσεων</w:t>
      </w:r>
      <w:r w:rsidR="008765B2">
        <w:rPr>
          <w:rFonts w:ascii="Times New Roman" w:hAnsi="Times New Roman" w:cs="Times New Roman"/>
          <w:b/>
          <w:bCs/>
          <w:color w:val="auto"/>
          <w:sz w:val="24"/>
          <w:szCs w:val="24"/>
        </w:rPr>
        <w:t xml:space="preserve"> για ένταξη σ</w:t>
      </w:r>
      <w:r w:rsidRPr="00957288">
        <w:rPr>
          <w:rFonts w:ascii="Times New Roman" w:hAnsi="Times New Roman" w:cs="Times New Roman"/>
          <w:b/>
          <w:bCs/>
          <w:color w:val="auto"/>
          <w:sz w:val="24"/>
          <w:szCs w:val="24"/>
        </w:rPr>
        <w:t xml:space="preserve">το </w:t>
      </w:r>
      <w:bookmarkStart w:id="19" w:name="_Hlk131425847"/>
      <w:r w:rsidRPr="00957288">
        <w:rPr>
          <w:rFonts w:ascii="Times New Roman" w:hAnsi="Times New Roman" w:cs="Times New Roman"/>
          <w:b/>
          <w:bCs/>
          <w:color w:val="auto"/>
          <w:sz w:val="24"/>
          <w:szCs w:val="24"/>
        </w:rPr>
        <w:t>πρόγραμμα κρατικής ενίσχυσης «ΝΕΑ ΒΙΟΜΗΧΑΝΙΚΑ ΠΑΡΚΑ»</w:t>
      </w:r>
      <w:bookmarkEnd w:id="19"/>
      <w:bookmarkEnd w:id="18"/>
      <w:bookmarkEnd w:id="17"/>
    </w:p>
    <w:p w14:paraId="7BB6DC51" w14:textId="100C024E" w:rsidR="00957288" w:rsidRDefault="00542A98" w:rsidP="000D6C92">
      <w:pPr>
        <w:pStyle w:val="af0"/>
      </w:pPr>
      <w:r>
        <w:t xml:space="preserve">Ολοκληρώθηκε στις 21 Απριλίου 2023 η περίοδος υποβολής αιτήσεων/προτάσεων </w:t>
      </w:r>
      <w:r w:rsidRPr="00542A98">
        <w:t xml:space="preserve">για ένταξη στο </w:t>
      </w:r>
      <w:r w:rsidR="000D6C92">
        <w:t>Τμήμα Ι του προγράμματος</w:t>
      </w:r>
      <w:r w:rsidRPr="00542A98">
        <w:t xml:space="preserve"> κρατικής ενίσχυσης «ΝΕΑ ΒΙΟΜΗΧΑΝΙΚΑ ΠΑΡΚΑ»</w:t>
      </w:r>
      <w:r w:rsidR="000D6C92">
        <w:t>. Οι υποβληθείσες προτάσεις βρίσκονται πλέον σε διαδικασία αξιολόγησης, η οποία συνίσταται στα κάτωθι</w:t>
      </w:r>
      <w:r w:rsidR="00D04BE0">
        <w:t xml:space="preserve"> στάδια</w:t>
      </w:r>
      <w:r w:rsidR="000D6C92">
        <w:t>:</w:t>
      </w:r>
    </w:p>
    <w:p w14:paraId="1C2E4987" w14:textId="50A6AB36" w:rsidR="000D6C92" w:rsidRPr="000D6C92" w:rsidRDefault="000D6C92" w:rsidP="00EE5D5F">
      <w:pPr>
        <w:pStyle w:val="af0"/>
        <w:numPr>
          <w:ilvl w:val="0"/>
          <w:numId w:val="14"/>
        </w:numPr>
        <w:rPr>
          <w:b/>
          <w:bCs w:val="0"/>
        </w:rPr>
      </w:pPr>
      <w:r w:rsidRPr="000D6C92">
        <w:rPr>
          <w:b/>
          <w:bCs w:val="0"/>
        </w:rPr>
        <w:t>Έλεγχος πληρότητας δικαιολογητικών</w:t>
      </w:r>
    </w:p>
    <w:p w14:paraId="18D112A8" w14:textId="36501A43" w:rsidR="000D6C92" w:rsidRPr="000D6C92" w:rsidRDefault="000D6C92" w:rsidP="000D6C92">
      <w:pPr>
        <w:pStyle w:val="af0"/>
      </w:pPr>
      <w:r>
        <w:lastRenderedPageBreak/>
        <w:t xml:space="preserve">Στο στάδιο αυτό </w:t>
      </w:r>
      <w:r w:rsidRPr="000D6C92">
        <w:t>ελέγχε</w:t>
      </w:r>
      <w:r>
        <w:t>ται</w:t>
      </w:r>
      <w:r w:rsidRPr="000D6C92">
        <w:t xml:space="preserve"> η πληρότητα του Φακέλου Χρηματοδότησης προκειμένου να</w:t>
      </w:r>
    </w:p>
    <w:p w14:paraId="27C58063" w14:textId="77777777" w:rsidR="000D6C92" w:rsidRPr="000D6C92" w:rsidRDefault="000D6C92" w:rsidP="000D6C92">
      <w:pPr>
        <w:pStyle w:val="af0"/>
      </w:pPr>
      <w:r w:rsidRPr="000D6C92">
        <w:t>διασφαλίζεται:</w:t>
      </w:r>
    </w:p>
    <w:p w14:paraId="2DE9DF9D" w14:textId="77777777" w:rsidR="000D6C92" w:rsidRDefault="000D6C92" w:rsidP="00EE5D5F">
      <w:pPr>
        <w:pStyle w:val="af0"/>
        <w:numPr>
          <w:ilvl w:val="0"/>
          <w:numId w:val="13"/>
        </w:numPr>
      </w:pPr>
      <w:r w:rsidRPr="000D6C92">
        <w:t>η προσήκουσα συμπλήρωση / σύνταξη και υποβολή της Αίτησης Χρηματοδότησης,</w:t>
      </w:r>
    </w:p>
    <w:p w14:paraId="42CD2E06" w14:textId="77777777" w:rsidR="000D6C92" w:rsidRDefault="000D6C92" w:rsidP="00EE5D5F">
      <w:pPr>
        <w:pStyle w:val="af0"/>
        <w:numPr>
          <w:ilvl w:val="0"/>
          <w:numId w:val="13"/>
        </w:numPr>
      </w:pPr>
      <w:r w:rsidRPr="000D6C92">
        <w:t>ότι έχουν υποβληθεί / καταχωρ</w:t>
      </w:r>
      <w:r>
        <w:t>ιστεί</w:t>
      </w:r>
      <w:r w:rsidRPr="000D6C92">
        <w:t xml:space="preserve"> όλα τα στοιχεία, έγγραφα και τυπικά δικαιολογητικά που έχουν</w:t>
      </w:r>
      <w:r>
        <w:t xml:space="preserve"> </w:t>
      </w:r>
      <w:r w:rsidRPr="000D6C92">
        <w:t>προσδιοριστεί στον Οδηγό Εφαρμογής της Δράσης και</w:t>
      </w:r>
    </w:p>
    <w:p w14:paraId="7C7758D1" w14:textId="3A113FE6" w:rsidR="000D6C92" w:rsidRDefault="000D6C92" w:rsidP="00EE5D5F">
      <w:pPr>
        <w:pStyle w:val="af0"/>
        <w:numPr>
          <w:ilvl w:val="0"/>
          <w:numId w:val="13"/>
        </w:numPr>
      </w:pPr>
      <w:r w:rsidRPr="000D6C92">
        <w:t>ότι η αίτηση και τα συνοδευτικά έγγραφα είναι, όπου απαιτείται, κατάλληλα υπογεγραμμένα και</w:t>
      </w:r>
      <w:r>
        <w:t xml:space="preserve"> </w:t>
      </w:r>
      <w:r w:rsidRPr="000D6C92">
        <w:t>νομίμως επικυρωμένα.</w:t>
      </w:r>
      <w:r w:rsidRPr="000D6C92">
        <w:cr/>
      </w:r>
    </w:p>
    <w:p w14:paraId="07EE73A7" w14:textId="4C29A5D5" w:rsidR="00D04BE0" w:rsidRDefault="00D04BE0" w:rsidP="00EE5D5F">
      <w:pPr>
        <w:pStyle w:val="af0"/>
        <w:numPr>
          <w:ilvl w:val="0"/>
          <w:numId w:val="14"/>
        </w:numPr>
        <w:rPr>
          <w:b/>
          <w:bCs w:val="0"/>
        </w:rPr>
      </w:pPr>
      <w:r w:rsidRPr="00D04BE0">
        <w:rPr>
          <w:b/>
          <w:bCs w:val="0"/>
        </w:rPr>
        <w:t xml:space="preserve">Αξιολόγηση </w:t>
      </w:r>
      <w:proofErr w:type="spellStart"/>
      <w:r w:rsidRPr="00D04BE0">
        <w:rPr>
          <w:b/>
          <w:bCs w:val="0"/>
        </w:rPr>
        <w:t>επιλεξιμότητας</w:t>
      </w:r>
      <w:proofErr w:type="spellEnd"/>
      <w:r w:rsidRPr="00D04BE0">
        <w:rPr>
          <w:b/>
          <w:bCs w:val="0"/>
        </w:rPr>
        <w:t xml:space="preserve"> ΕΣ και καθορισμός επιλέξιμων δαπανών</w:t>
      </w:r>
    </w:p>
    <w:p w14:paraId="48CD83A0" w14:textId="77777777" w:rsidR="002C128D" w:rsidRDefault="00D04BE0" w:rsidP="00D04BE0">
      <w:pPr>
        <w:pStyle w:val="af0"/>
      </w:pPr>
      <w:r w:rsidRPr="00D04BE0">
        <w:t xml:space="preserve">Σε συνέχεια του ελέγχου πληρότητας </w:t>
      </w:r>
      <w:r>
        <w:t xml:space="preserve">ακολουθεί η </w:t>
      </w:r>
      <w:r w:rsidRPr="00D04BE0">
        <w:t>αξιολόγηση των προτάσεων</w:t>
      </w:r>
      <w:r>
        <w:t xml:space="preserve">, στάδιο στο οποίο </w:t>
      </w:r>
      <w:r w:rsidRPr="00D04BE0">
        <w:t xml:space="preserve">εξετάζεται η </w:t>
      </w:r>
      <w:proofErr w:type="spellStart"/>
      <w:r w:rsidRPr="00D04BE0">
        <w:t>επιλεξιμότητα</w:t>
      </w:r>
      <w:proofErr w:type="spellEnd"/>
      <w:r w:rsidRPr="00D04BE0">
        <w:t xml:space="preserve"> </w:t>
      </w:r>
      <w:r w:rsidR="002C128D">
        <w:t xml:space="preserve">εκάστης πρότασης, </w:t>
      </w:r>
      <w:r w:rsidRPr="00D04BE0">
        <w:t xml:space="preserve">δηλαδή εάν </w:t>
      </w:r>
      <w:r w:rsidR="002C128D">
        <w:t>κάθε</w:t>
      </w:r>
      <w:r w:rsidRPr="00D04BE0">
        <w:t xml:space="preserve"> πρόταση είναι σύμφωνη με το</w:t>
      </w:r>
      <w:r w:rsidR="002C128D">
        <w:t xml:space="preserve"> </w:t>
      </w:r>
      <w:r w:rsidRPr="00D04BE0">
        <w:t>ισχύον θεσμικό πλαίσιο, ενώ η αξιολόγηση συνεχίζεται μόνο για τις προτάσεις που θα κριθούν ως</w:t>
      </w:r>
      <w:r w:rsidR="002C128D">
        <w:t xml:space="preserve"> </w:t>
      </w:r>
      <w:r w:rsidRPr="00D04BE0">
        <w:t xml:space="preserve">επιλέξιμες. </w:t>
      </w:r>
    </w:p>
    <w:p w14:paraId="5FCFB6E9" w14:textId="3FA68FE4" w:rsidR="00D04BE0" w:rsidRPr="00D04BE0" w:rsidRDefault="002C128D" w:rsidP="00D04BE0">
      <w:pPr>
        <w:pStyle w:val="af0"/>
      </w:pPr>
      <w:r>
        <w:t>Για τις προτάσεις που προκρίνονται</w:t>
      </w:r>
      <w:r w:rsidR="00D04BE0" w:rsidRPr="00D04BE0">
        <w:t xml:space="preserve"> εξετάζεται</w:t>
      </w:r>
      <w:r>
        <w:t xml:space="preserve"> </w:t>
      </w:r>
      <w:r w:rsidR="00D04BE0" w:rsidRPr="00D04BE0">
        <w:t>η σωρευτική τήρηση των ακόλουθων:</w:t>
      </w:r>
    </w:p>
    <w:p w14:paraId="3EA8F285" w14:textId="21D73E4E" w:rsidR="00D04BE0" w:rsidRPr="00D04BE0" w:rsidRDefault="00D04BE0" w:rsidP="00EE5D5F">
      <w:pPr>
        <w:pStyle w:val="af0"/>
        <w:numPr>
          <w:ilvl w:val="0"/>
          <w:numId w:val="13"/>
        </w:numPr>
      </w:pPr>
      <w:r w:rsidRPr="00D04BE0">
        <w:t xml:space="preserve">Έλεγχος </w:t>
      </w:r>
      <w:proofErr w:type="spellStart"/>
      <w:r w:rsidRPr="00D04BE0">
        <w:t>επιλεξιμότητας</w:t>
      </w:r>
      <w:proofErr w:type="spellEnd"/>
      <w:r w:rsidRPr="00D04BE0">
        <w:t xml:space="preserve"> Δικαιούχου / προτάσεων</w:t>
      </w:r>
    </w:p>
    <w:p w14:paraId="33BBAC8C" w14:textId="77777777" w:rsidR="002C128D" w:rsidRDefault="00D04BE0" w:rsidP="00EE5D5F">
      <w:pPr>
        <w:pStyle w:val="af0"/>
        <w:numPr>
          <w:ilvl w:val="0"/>
          <w:numId w:val="13"/>
        </w:numPr>
      </w:pPr>
      <w:r w:rsidRPr="00D04BE0">
        <w:t>Καθορισμός επιλέξιμων δαπανών</w:t>
      </w:r>
    </w:p>
    <w:p w14:paraId="5F88A9B7" w14:textId="77777777" w:rsidR="002C128D" w:rsidRDefault="00D04BE0" w:rsidP="00EE5D5F">
      <w:pPr>
        <w:pStyle w:val="af0"/>
        <w:numPr>
          <w:ilvl w:val="0"/>
          <w:numId w:val="13"/>
        </w:numPr>
      </w:pPr>
      <w:r w:rsidRPr="00D04BE0">
        <w:t>Έλεγχος δυνατότητας καταβολής της Ιδίας Συμμετοχής</w:t>
      </w:r>
    </w:p>
    <w:p w14:paraId="5849C14E" w14:textId="77777777" w:rsidR="002C128D" w:rsidRDefault="00D04BE0" w:rsidP="00EE5D5F">
      <w:pPr>
        <w:pStyle w:val="af0"/>
        <w:numPr>
          <w:ilvl w:val="0"/>
          <w:numId w:val="13"/>
        </w:numPr>
      </w:pPr>
      <w:r w:rsidRPr="00D04BE0">
        <w:t>Έλεγχος συμβατότητας με το πλαίσιο Κρατικών Ενισχύσεων και τήρηση των προβλεπόμενων</w:t>
      </w:r>
      <w:r w:rsidR="002C128D">
        <w:t xml:space="preserve"> </w:t>
      </w:r>
      <w:r w:rsidRPr="00D04BE0">
        <w:t>ανώτατων ορίων (κατά περίπτωση για τα άρθρα 38, 41 και 45 του ΓΑΚ ή / και για τον Κανονισμό De</w:t>
      </w:r>
      <w:r w:rsidR="002C128D">
        <w:t xml:space="preserve"> </w:t>
      </w:r>
      <w:proofErr w:type="spellStart"/>
      <w:r w:rsidRPr="00D04BE0">
        <w:t>Minimis</w:t>
      </w:r>
      <w:proofErr w:type="spellEnd"/>
      <w:r w:rsidRPr="00D04BE0">
        <w:t>)</w:t>
      </w:r>
    </w:p>
    <w:p w14:paraId="2E644C5C" w14:textId="7E2B9412" w:rsidR="007235D9" w:rsidRDefault="00D04BE0" w:rsidP="00EE5D5F">
      <w:pPr>
        <w:pStyle w:val="af0"/>
        <w:numPr>
          <w:ilvl w:val="0"/>
          <w:numId w:val="13"/>
        </w:numPr>
      </w:pPr>
      <w:r w:rsidRPr="00D04BE0">
        <w:t xml:space="preserve">Έλεγχος της </w:t>
      </w:r>
      <w:proofErr w:type="spellStart"/>
      <w:r w:rsidRPr="00D04BE0">
        <w:t>ρεαλιστικότητας</w:t>
      </w:r>
      <w:proofErr w:type="spellEnd"/>
      <w:r w:rsidRPr="00D04BE0">
        <w:t xml:space="preserve"> της χρηματοοικονομικής ανάλυσης και του υπολογισμού του</w:t>
      </w:r>
      <w:r w:rsidR="002C128D">
        <w:t xml:space="preserve"> </w:t>
      </w:r>
      <w:r w:rsidRPr="00D04BE0">
        <w:t>ελλείματος χρηματοδότησης / χρηματοδοτικού κενού (σε περίπτωση που η ενίσχυση χορηγείται</w:t>
      </w:r>
      <w:r w:rsidR="002C128D">
        <w:t xml:space="preserve"> </w:t>
      </w:r>
      <w:r w:rsidRPr="00D04BE0">
        <w:t>υπό το άρθρο 56 του ΓΑΚ).</w:t>
      </w:r>
    </w:p>
    <w:p w14:paraId="6B76B7C5" w14:textId="77777777" w:rsidR="007235D9" w:rsidRDefault="007235D9" w:rsidP="007235D9">
      <w:pPr>
        <w:pStyle w:val="af0"/>
      </w:pPr>
    </w:p>
    <w:p w14:paraId="5C5D48C9" w14:textId="11292E9D" w:rsidR="007235D9" w:rsidRDefault="007235D9" w:rsidP="00EE5D5F">
      <w:pPr>
        <w:pStyle w:val="af0"/>
        <w:numPr>
          <w:ilvl w:val="0"/>
          <w:numId w:val="14"/>
        </w:numPr>
        <w:rPr>
          <w:b/>
          <w:bCs w:val="0"/>
        </w:rPr>
      </w:pPr>
      <w:r w:rsidRPr="007235D9">
        <w:rPr>
          <w:b/>
          <w:bCs w:val="0"/>
        </w:rPr>
        <w:t>Καθορισμός ποσού επιχορήγησης – Αξιολόγηση και βαθμολόγηση προτάσεων</w:t>
      </w:r>
    </w:p>
    <w:p w14:paraId="28635BD6" w14:textId="24EFC1C5" w:rsidR="007235D9" w:rsidRDefault="007235D9" w:rsidP="007235D9">
      <w:pPr>
        <w:pStyle w:val="af0"/>
      </w:pPr>
      <w:r>
        <w:t>Στο τρίτο στάδιο της αξιολόγησης, πραγματοποιούνται οι ακόλουθες ενέργειες για τις προτάσεις οι οποίες τηρούν τα κριτήρια του προηγούμενου σταδίου:</w:t>
      </w:r>
    </w:p>
    <w:p w14:paraId="52F3341A" w14:textId="07E3CF51" w:rsidR="007235D9" w:rsidRDefault="007235D9" w:rsidP="00EE5D5F">
      <w:pPr>
        <w:pStyle w:val="af0"/>
        <w:numPr>
          <w:ilvl w:val="0"/>
          <w:numId w:val="15"/>
        </w:numPr>
      </w:pPr>
      <w:r w:rsidRPr="00EE5D5F">
        <w:rPr>
          <w:b/>
          <w:bCs w:val="0"/>
          <w:i/>
          <w:iCs/>
        </w:rPr>
        <w:t>Καθορισμός ποσού επιχορήγησης:</w:t>
      </w:r>
      <w:r w:rsidRPr="007235D9">
        <w:t xml:space="preserve"> Το ποσό επιχορήγησης θα καθοριστεί με βάση τα οριζόμενα </w:t>
      </w:r>
      <w:r w:rsidR="00EE5D5F">
        <w:t>στον</w:t>
      </w:r>
      <w:r w:rsidRPr="007235D9">
        <w:t xml:space="preserve"> Οδηγ</w:t>
      </w:r>
      <w:r w:rsidR="00EE5D5F">
        <w:t>ό</w:t>
      </w:r>
      <w:r w:rsidRPr="007235D9">
        <w:t xml:space="preserve"> Εφαρμογής της Δράσης λαμβάνοντας υπόψη το ύψος των επιλέξιμων προς χρηματοδότηση δαπανών</w:t>
      </w:r>
      <w:r w:rsidR="00EE5D5F">
        <w:t>,</w:t>
      </w:r>
      <w:r w:rsidRPr="007235D9">
        <w:t xml:space="preserve"> όπως αυτές προέκυψαν από </w:t>
      </w:r>
      <w:r w:rsidR="00EE5D5F">
        <w:t>το προηγούμενο στάδιο</w:t>
      </w:r>
      <w:r w:rsidRPr="007235D9">
        <w:t xml:space="preserve">. Το ποσό επιχορήγησης δεν δύναται να ξεπερνά ποσοστό πενήντα τοις εκατό (50%) του ύψους του ΕΣ, ενώ ελέγχεται ταυτοχρόνως ότι το ποσό δεν υπερβαίνει το χρηματοδοτικό έλλειμα ή το μέγιστο ύψος έντασης </w:t>
      </w:r>
      <w:r w:rsidRPr="007235D9">
        <w:lastRenderedPageBreak/>
        <w:t xml:space="preserve">ενίσχυσης, καθώς επίσης και το ανώτατο όριο ποσού χρηματοδότησης (όριο κοινοποίησης) ή του κανονισμού de </w:t>
      </w:r>
      <w:proofErr w:type="spellStart"/>
      <w:r w:rsidRPr="007235D9">
        <w:t>minimis</w:t>
      </w:r>
      <w:proofErr w:type="spellEnd"/>
      <w:r w:rsidRPr="007235D9">
        <w:t xml:space="preserve"> (ενισχύσεις ήσσονος σημασίας), κατά περίπτωση</w:t>
      </w:r>
    </w:p>
    <w:p w14:paraId="4233248E" w14:textId="70C866F1" w:rsidR="007235D9" w:rsidRDefault="007235D9" w:rsidP="00EE5D5F">
      <w:pPr>
        <w:pStyle w:val="af0"/>
        <w:numPr>
          <w:ilvl w:val="0"/>
          <w:numId w:val="15"/>
        </w:numPr>
      </w:pPr>
      <w:r w:rsidRPr="00EE5D5F">
        <w:rPr>
          <w:b/>
          <w:bCs w:val="0"/>
          <w:i/>
          <w:iCs/>
        </w:rPr>
        <w:t>Αξιολόγηση προτάσεων:</w:t>
      </w:r>
      <w:r w:rsidRPr="007235D9">
        <w:t xml:space="preserve"> </w:t>
      </w:r>
      <w:r w:rsidR="00EE5D5F">
        <w:t>Οι υποβληθείσες προτάσεις</w:t>
      </w:r>
      <w:r w:rsidRPr="007235D9">
        <w:t xml:space="preserve"> θα αξιολογηθούν με τη συγκριτική μέθοδο. Η βαθμολόγηση των προτάσεων προκύπτει από το άθροισμα των σταθμισμένων εντάσεων ενίσχυσης του επενδυτικού σχεδίου, όπως αυτές υπολογίζονται για τις επιλέξιμες δαπάνες ανά άρθρο του Γενικού Απαλλακτικού Κανονισμού ή του κανονισμού de </w:t>
      </w:r>
      <w:proofErr w:type="spellStart"/>
      <w:r w:rsidRPr="007235D9">
        <w:t>minimis</w:t>
      </w:r>
      <w:proofErr w:type="spellEnd"/>
      <w:r w:rsidRPr="007235D9">
        <w:t xml:space="preserve"> (ενισχύσεις ήσσονος σημασίας) </w:t>
      </w:r>
    </w:p>
    <w:p w14:paraId="5DB3C25D" w14:textId="77777777" w:rsidR="00EE5D5F" w:rsidRDefault="00EE5D5F" w:rsidP="00EE5D5F">
      <w:pPr>
        <w:pStyle w:val="af0"/>
      </w:pPr>
    </w:p>
    <w:p w14:paraId="44B5E29A" w14:textId="149B9678" w:rsidR="007235D9" w:rsidRPr="007235D9" w:rsidRDefault="007235D9" w:rsidP="00EE5D5F">
      <w:pPr>
        <w:pStyle w:val="af0"/>
        <w:numPr>
          <w:ilvl w:val="0"/>
          <w:numId w:val="14"/>
        </w:numPr>
        <w:rPr>
          <w:b/>
          <w:bCs w:val="0"/>
        </w:rPr>
      </w:pPr>
      <w:r w:rsidRPr="007235D9">
        <w:rPr>
          <w:b/>
          <w:bCs w:val="0"/>
        </w:rPr>
        <w:t>Γνωμοδότηση για την έγκριση / απόρριψη των Αιτήσεων</w:t>
      </w:r>
    </w:p>
    <w:p w14:paraId="47D6F4B4" w14:textId="728B2856" w:rsidR="006549B6" w:rsidRDefault="006549B6" w:rsidP="006549B6">
      <w:pPr>
        <w:pStyle w:val="af0"/>
      </w:pPr>
      <w:r>
        <w:t>Στο τελευταίο στάδιο, ολοκληρών</w:t>
      </w:r>
      <w:r w:rsidR="00D96E6B">
        <w:t>ονται</w:t>
      </w:r>
      <w:r>
        <w:t xml:space="preserve"> και κατα</w:t>
      </w:r>
      <w:r w:rsidR="00D96E6B">
        <w:t>τί</w:t>
      </w:r>
      <w:r>
        <w:t>θ</w:t>
      </w:r>
      <w:r w:rsidR="00D96E6B">
        <w:t xml:space="preserve">ενται </w:t>
      </w:r>
      <w:r>
        <w:t>τα πρακτικά αξιολόγησ</w:t>
      </w:r>
      <w:r w:rsidR="00D96E6B">
        <w:t xml:space="preserve">ης των προτάσεων </w:t>
      </w:r>
      <w:r>
        <w:t>προς τη Γενική Γραμματεία Βιομηχανίας. Τα πρακτικά αξιολόγησης</w:t>
      </w:r>
      <w:r w:rsidR="00D96E6B">
        <w:t xml:space="preserve"> </w:t>
      </w:r>
      <w:r>
        <w:t>περιλαμβάνουν τα κάτωθι:</w:t>
      </w:r>
    </w:p>
    <w:p w14:paraId="08BA8501" w14:textId="768D3E05" w:rsidR="00D96E6B" w:rsidRDefault="006549B6" w:rsidP="006549B6">
      <w:pPr>
        <w:pStyle w:val="af0"/>
        <w:numPr>
          <w:ilvl w:val="0"/>
          <w:numId w:val="16"/>
        </w:numPr>
      </w:pPr>
      <w:r>
        <w:t xml:space="preserve">Την κατάταξη και βαθμολογία των προτάσεων </w:t>
      </w:r>
    </w:p>
    <w:p w14:paraId="13D19ED9" w14:textId="77777777" w:rsidR="00D96E6B" w:rsidRDefault="006549B6" w:rsidP="006549B6">
      <w:pPr>
        <w:pStyle w:val="af0"/>
        <w:numPr>
          <w:ilvl w:val="0"/>
          <w:numId w:val="16"/>
        </w:numPr>
      </w:pPr>
      <w:r>
        <w:t>Τον προϋπολογισμό (επιλέξιμο και συνολικό)</w:t>
      </w:r>
      <w:r w:rsidR="00D96E6B">
        <w:t>,</w:t>
      </w:r>
      <w:r>
        <w:t xml:space="preserve"> καθώς και την αναλογούσα δημόσια δαπάνη για </w:t>
      </w:r>
      <w:r w:rsidR="00D96E6B">
        <w:t xml:space="preserve">τις </w:t>
      </w:r>
      <w:r>
        <w:t>προτάσεις</w:t>
      </w:r>
    </w:p>
    <w:p w14:paraId="449EFCC9" w14:textId="2D4038D9" w:rsidR="006549B6" w:rsidRDefault="006549B6" w:rsidP="006549B6">
      <w:pPr>
        <w:pStyle w:val="af0"/>
        <w:numPr>
          <w:ilvl w:val="0"/>
          <w:numId w:val="16"/>
        </w:numPr>
      </w:pPr>
      <w:r>
        <w:t>Τη σχετική τεκμηρίωση σε περίπτωση μη επιλέξιμης πρότασης ή δαπάνης.</w:t>
      </w:r>
    </w:p>
    <w:p w14:paraId="2493ACA7" w14:textId="77777777" w:rsidR="00701E57" w:rsidRDefault="00701E57" w:rsidP="006549B6">
      <w:pPr>
        <w:pStyle w:val="af0"/>
      </w:pPr>
    </w:p>
    <w:p w14:paraId="11D6B560" w14:textId="17AB6022" w:rsidR="006549B6" w:rsidRDefault="006549B6" w:rsidP="006549B6">
      <w:pPr>
        <w:pStyle w:val="af0"/>
      </w:pPr>
      <w:r>
        <w:t>Η Επιτροπή Αξιολόγησης εισηγείται την οριστικοποίηση του τελικού διαμορφωμένου προϋπολογισμού</w:t>
      </w:r>
      <w:r w:rsidR="00D96E6B">
        <w:t xml:space="preserve"> </w:t>
      </w:r>
      <w:r>
        <w:t xml:space="preserve">και του αντίστοιχου φυσικού αντικειμένου της </w:t>
      </w:r>
      <w:r w:rsidR="00D96E6B">
        <w:t>κάθε πρότασης</w:t>
      </w:r>
      <w:r>
        <w:t xml:space="preserve"> αιτιολογώντας με σχετική</w:t>
      </w:r>
      <w:r w:rsidR="00D96E6B">
        <w:t xml:space="preserve"> </w:t>
      </w:r>
      <w:r>
        <w:t xml:space="preserve">τεκμηρίωση τις τυχόν περικοπές σε σχέση με τον </w:t>
      </w:r>
      <w:proofErr w:type="spellStart"/>
      <w:r>
        <w:t>προταθέντα</w:t>
      </w:r>
      <w:proofErr w:type="spellEnd"/>
      <w:r>
        <w:t xml:space="preserve"> προϋπολογισμό. Τα αποτελέσματα καταγράφονται σε πρακτικά και στους Τελικούς Πίνακες αποτελεσμάτων</w:t>
      </w:r>
      <w:r w:rsidR="00D96E6B">
        <w:t xml:space="preserve"> </w:t>
      </w:r>
      <w:r>
        <w:t>αξιολόγησης των προτάσεων που προσδιορίζονται ανά περίπτωση</w:t>
      </w:r>
      <w:r w:rsidR="00D96E6B">
        <w:t xml:space="preserve"> </w:t>
      </w:r>
      <w:r>
        <w:t>χρηματοδότησης και περιλαμβάνουν τις επιλέξιμες και μη επιλέξιμες προς χρηματοδότηση προτάσεις</w:t>
      </w:r>
      <w:r w:rsidR="00D96E6B">
        <w:t xml:space="preserve"> </w:t>
      </w:r>
      <w:r>
        <w:t>και υποβάλλονται προς τη ΓΓΒ για την έκδοση Απόφασης Ένταξης.</w:t>
      </w:r>
    </w:p>
    <w:p w14:paraId="3B9B1878" w14:textId="04B66F8A" w:rsidR="000D6C92" w:rsidRDefault="00701E57" w:rsidP="00701E57">
      <w:pPr>
        <w:pStyle w:val="af0"/>
        <w:rPr>
          <w:b/>
          <w:bCs w:val="0"/>
        </w:rPr>
      </w:pPr>
      <w:r w:rsidRPr="00701E57">
        <w:rPr>
          <w:b/>
          <w:bCs w:val="0"/>
        </w:rPr>
        <w:t xml:space="preserve">Οι αποφάσεις ένταξης και απόρριψης, δημοσιεύονται από τη ΓΓΒ στον διαδικτυακό τόπο «Διαύγεια». Εντός τριάντα (30) ημερολογιακών ημερών από την επομένη της ενημέρωσης των υποψηφίων για την έκδοση της απόφασης ένταξης / απόρριψης, οι τελευταίοι δύνανται να υποβάλλουν ένσταση, ήτοι </w:t>
      </w:r>
      <w:proofErr w:type="spellStart"/>
      <w:r w:rsidRPr="00701E57">
        <w:rPr>
          <w:b/>
          <w:bCs w:val="0"/>
        </w:rPr>
        <w:t>ενδικοφανή</w:t>
      </w:r>
      <w:proofErr w:type="spellEnd"/>
      <w:r w:rsidRPr="00701E57">
        <w:rPr>
          <w:b/>
          <w:bCs w:val="0"/>
        </w:rPr>
        <w:t xml:space="preserve"> προσφυγή με την έννοια του άρθρου 25 του Ν. 2690/1999, κατά της απόφασης ένταξης / απόρριψης. Αποφάσεις επί των ενστάσεων εκδίδονται από τον Υπουργό Ανάπτυξης και Επενδύσεων, μέσα σε τρεις (3) μήνες από την καταληκτική ημερομηνία υποβολής της ένστασης, ειδάλλως θεωρούνται σιωπηρώς απορριφθείσες.</w:t>
      </w:r>
    </w:p>
    <w:p w14:paraId="1DDDA1BA" w14:textId="77777777" w:rsidR="00701E57" w:rsidRDefault="00701E57" w:rsidP="00701E57">
      <w:pPr>
        <w:pStyle w:val="af0"/>
        <w:rPr>
          <w:b/>
          <w:bCs w:val="0"/>
        </w:rPr>
      </w:pPr>
    </w:p>
    <w:p w14:paraId="330810CE" w14:textId="055E1AB3" w:rsidR="00701E57" w:rsidRPr="00701E57" w:rsidRDefault="00701E57" w:rsidP="00701E57">
      <w:pPr>
        <w:pStyle w:val="af0"/>
        <w:rPr>
          <w:b/>
          <w:bCs w:val="0"/>
          <w:u w:val="single"/>
        </w:rPr>
      </w:pPr>
      <w:r w:rsidRPr="00701E57">
        <w:rPr>
          <w:b/>
          <w:bCs w:val="0"/>
          <w:u w:val="single"/>
        </w:rPr>
        <w:t>Σημειώνεται ότι, η υποβολή αίτησης χρηματοδότησης για το Τμήμα ΙΙ της Δράσης έχει καταληκτική ημερομηνία την 4</w:t>
      </w:r>
      <w:r w:rsidRPr="00701E57">
        <w:rPr>
          <w:b/>
          <w:bCs w:val="0"/>
          <w:u w:val="single"/>
          <w:vertAlign w:val="superscript"/>
        </w:rPr>
        <w:t>η</w:t>
      </w:r>
      <w:r w:rsidRPr="00701E57">
        <w:rPr>
          <w:b/>
          <w:bCs w:val="0"/>
          <w:u w:val="single"/>
        </w:rPr>
        <w:t xml:space="preserve"> Μαΐου 2023.</w:t>
      </w:r>
    </w:p>
    <w:p w14:paraId="6F7B06B9" w14:textId="02DEFB5F" w:rsidR="004C61CD" w:rsidRDefault="004C61CD" w:rsidP="001F63B8">
      <w:pPr>
        <w:pStyle w:val="10"/>
        <w:numPr>
          <w:ilvl w:val="8"/>
          <w:numId w:val="9"/>
        </w:numPr>
        <w:shd w:val="clear" w:color="auto" w:fill="D9E2F3" w:themeFill="accent1" w:themeFillTint="33"/>
        <w:spacing w:before="240" w:after="120" w:line="288" w:lineRule="auto"/>
        <w:ind w:left="0" w:right="43" w:firstLine="0"/>
        <w:jc w:val="both"/>
      </w:pPr>
      <w:bookmarkStart w:id="20" w:name="_Toc134449092"/>
      <w:r w:rsidRPr="00957288">
        <w:lastRenderedPageBreak/>
        <w:t xml:space="preserve">ΘΕΜΑΤΑ </w:t>
      </w:r>
      <w:r w:rsidRPr="004C61CD">
        <w:t>ΥΓΕΙΑΣ &amp; ΑΣΦΑΛΕΙΑΣ ΣΤΗΝ ΕΡΓΑΣΙΑ</w:t>
      </w:r>
      <w:bookmarkEnd w:id="20"/>
    </w:p>
    <w:p w14:paraId="777EAAFA" w14:textId="3EAF78CD" w:rsidR="004C61CD" w:rsidRPr="00957288" w:rsidRDefault="004C61CD" w:rsidP="004C61CD">
      <w:pPr>
        <w:pStyle w:val="20"/>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21" w:name="_Toc134449093"/>
      <w:r>
        <w:rPr>
          <w:rFonts w:ascii="Times New Roman" w:hAnsi="Times New Roman" w:cs="Times New Roman"/>
          <w:b/>
          <w:bCs/>
          <w:color w:val="auto"/>
          <w:sz w:val="24"/>
          <w:szCs w:val="24"/>
        </w:rPr>
        <w:t xml:space="preserve">Α. </w:t>
      </w:r>
      <w:r w:rsidR="00B821C5">
        <w:rPr>
          <w:rFonts w:ascii="Times New Roman" w:hAnsi="Times New Roman" w:cs="Times New Roman"/>
          <w:b/>
          <w:bCs/>
          <w:color w:val="auto"/>
          <w:sz w:val="24"/>
          <w:szCs w:val="24"/>
        </w:rPr>
        <w:t>Εργασία σε περιορισμένους χώρους</w:t>
      </w:r>
      <w:bookmarkEnd w:id="21"/>
    </w:p>
    <w:p w14:paraId="07540022" w14:textId="77777777" w:rsidR="004C61CD" w:rsidRDefault="004C61CD" w:rsidP="004C61CD">
      <w:pPr>
        <w:pStyle w:val="af0"/>
        <w:rPr>
          <w:lang w:eastAsia="el-GR"/>
        </w:rPr>
      </w:pPr>
      <w:r w:rsidRPr="004C61CD">
        <w:rPr>
          <w:lang w:eastAsia="el-GR"/>
        </w:rPr>
        <w:t>«Περιορισμένος χώρος» (</w:t>
      </w:r>
      <w:proofErr w:type="spellStart"/>
      <w:r w:rsidRPr="004C61CD">
        <w:rPr>
          <w:lang w:eastAsia="el-GR"/>
        </w:rPr>
        <w:t>confined</w:t>
      </w:r>
      <w:proofErr w:type="spellEnd"/>
      <w:r w:rsidRPr="004C61CD">
        <w:rPr>
          <w:lang w:eastAsia="el-GR"/>
        </w:rPr>
        <w:t xml:space="preserve"> </w:t>
      </w:r>
      <w:proofErr w:type="spellStart"/>
      <w:r w:rsidRPr="004C61CD">
        <w:rPr>
          <w:lang w:eastAsia="el-GR"/>
        </w:rPr>
        <w:t>space</w:t>
      </w:r>
      <w:proofErr w:type="spellEnd"/>
      <w:r w:rsidRPr="004C61CD">
        <w:rPr>
          <w:lang w:eastAsia="el-GR"/>
        </w:rPr>
        <w:t>) χαρακτηρίζεται κάθε χώρος (κλειστός ή μερικώς κλειστός) στον οποίο η δυνατότητα εισόδου ή εξόδου είναι δύσκολη και όπου μπορεί να υπάρχει έλλειψη οξυγόνου ή να αναπτυχθεί επικίνδυνο περιβάλλον από την παρουσία</w:t>
      </w:r>
      <w:r>
        <w:rPr>
          <w:lang w:eastAsia="el-GR"/>
        </w:rPr>
        <w:t xml:space="preserve"> </w:t>
      </w:r>
      <w:r w:rsidRPr="004C61CD">
        <w:rPr>
          <w:lang w:eastAsia="el-GR"/>
        </w:rPr>
        <w:t>χημικών ουσιών (τοξικών, εύφλεκτων κ.λπ.).</w:t>
      </w:r>
      <w:r>
        <w:rPr>
          <w:lang w:eastAsia="el-GR"/>
        </w:rPr>
        <w:t xml:space="preserve">   </w:t>
      </w:r>
    </w:p>
    <w:p w14:paraId="75273DD1" w14:textId="3C95CF6D" w:rsidR="004C61CD" w:rsidRPr="004C61CD" w:rsidRDefault="004C61CD" w:rsidP="004C61CD">
      <w:pPr>
        <w:pStyle w:val="af0"/>
        <w:rPr>
          <w:lang w:eastAsia="el-GR"/>
        </w:rPr>
      </w:pPr>
      <w:r w:rsidRPr="004C61CD">
        <w:rPr>
          <w:b/>
          <w:lang w:eastAsia="el-GR"/>
        </w:rPr>
        <w:t>Οι περιορισμένοι χώροι δεν είναι σχεδιασμένοι για συνεχή παρουσία εργαζομένων.</w:t>
      </w:r>
      <w:r w:rsidRPr="004C61CD">
        <w:rPr>
          <w:lang w:eastAsia="el-GR"/>
        </w:rPr>
        <w:t> Η είσοδος σε αυτούς γίνεται σε περιπτώσεις επισκευής βλαβών, συντήρησης εξοπλισμού, ειδικών κατασκευών, ελέγχων ενδείξεων και γενικά για δραστηριότητες που δεν έχουν τη φύση μόνιμης θέσης εργασίας.</w:t>
      </w:r>
    </w:p>
    <w:p w14:paraId="7D7B6A1E" w14:textId="77777777" w:rsidR="004C61CD" w:rsidRPr="004C61CD" w:rsidRDefault="004C61CD" w:rsidP="004C61CD">
      <w:pPr>
        <w:pStyle w:val="af0"/>
        <w:rPr>
          <w:lang w:eastAsia="el-GR"/>
        </w:rPr>
      </w:pPr>
      <w:r w:rsidRPr="004C61CD">
        <w:rPr>
          <w:lang w:eastAsia="el-GR"/>
        </w:rPr>
        <w:t xml:space="preserve">Οι περιορισμένοι χώροι μπορεί να είναι κάτω ή πάνω από το έδαφος και μπορούν να βρεθούν σχεδόν σε κάθε χώρο εργασίας. </w:t>
      </w:r>
    </w:p>
    <w:p w14:paraId="02A2F005" w14:textId="77777777" w:rsidR="004C61CD" w:rsidRPr="004C61CD" w:rsidRDefault="004C61CD" w:rsidP="004C61CD">
      <w:pPr>
        <w:pStyle w:val="af0"/>
        <w:rPr>
          <w:lang w:eastAsia="el-GR"/>
        </w:rPr>
      </w:pPr>
      <w:r w:rsidRPr="004C61CD">
        <w:rPr>
          <w:lang w:eastAsia="el-GR"/>
        </w:rPr>
        <w:t xml:space="preserve"> Παραδείγματα περιορισμένων χώρων περιλαμβάνουν σιλό, δεξαμενές, υπονόμους, σωλήνες, φρεάτια πρόσβασης, βαγόνια φορτηγών, πτερύγια αεροσκαφών, λέβητες κλπ. Οι τάφροι μπορεί επίσης να είναι ένας περιορισμένος χώρος όταν η πρόσβαση ή η έξοδος είναι περιορισμένη.</w:t>
      </w:r>
    </w:p>
    <w:p w14:paraId="3FDEB1AE" w14:textId="77777777" w:rsidR="004C61CD" w:rsidRPr="004C61CD" w:rsidRDefault="004C61CD" w:rsidP="004C61CD">
      <w:pPr>
        <w:pStyle w:val="af0"/>
        <w:rPr>
          <w:lang w:eastAsia="el-GR"/>
        </w:rPr>
      </w:pPr>
    </w:p>
    <w:p w14:paraId="5D532D17" w14:textId="77777777" w:rsidR="004C61CD" w:rsidRPr="004C61CD" w:rsidRDefault="004C61CD" w:rsidP="004C61CD">
      <w:pPr>
        <w:pStyle w:val="af0"/>
        <w:rPr>
          <w:b/>
          <w:u w:val="single"/>
          <w:lang w:eastAsia="el-GR"/>
        </w:rPr>
      </w:pPr>
      <w:r w:rsidRPr="004C61CD">
        <w:rPr>
          <w:b/>
          <w:u w:val="single"/>
          <w:lang w:eastAsia="el-GR"/>
        </w:rPr>
        <w:t>Οι κίνδυνοι σε περιορισμένο χώρο</w:t>
      </w:r>
    </w:p>
    <w:p w14:paraId="5AF5A3C5" w14:textId="77777777" w:rsidR="004C61CD" w:rsidRPr="004C61CD" w:rsidRDefault="004C61CD" w:rsidP="004C61CD">
      <w:pPr>
        <w:pStyle w:val="af0"/>
        <w:rPr>
          <w:lang w:eastAsia="el-GR"/>
        </w:rPr>
      </w:pPr>
      <w:r w:rsidRPr="004C61CD">
        <w:rPr>
          <w:lang w:eastAsia="el-GR"/>
        </w:rPr>
        <w:t>Όλοι οι κίνδυνοι που εντοπίζονται σε έναν κανονικό χώρο εργασίας μπορούν επίσης να βρεθούν σε έναν περιορισμένο χώρο. Ωστόσο, μπορεί να είναι ακόμη πιο επικίνδυνα σε έναν περιορισμένο χώρο από ό,τι σε ένα κανονικό εργοτάξιο.</w:t>
      </w:r>
    </w:p>
    <w:p w14:paraId="1C98A34C" w14:textId="77777777" w:rsidR="004C61CD" w:rsidRPr="004C61CD" w:rsidRDefault="004C61CD" w:rsidP="004C61CD">
      <w:pPr>
        <w:pStyle w:val="af0"/>
        <w:rPr>
          <w:lang w:eastAsia="el-GR"/>
        </w:rPr>
      </w:pPr>
      <w:r w:rsidRPr="004C61CD">
        <w:rPr>
          <w:lang w:eastAsia="el-GR"/>
        </w:rPr>
        <w:t>Οι κίνδυνοι μπορεί να περιλαμβάνουν:</w:t>
      </w:r>
    </w:p>
    <w:p w14:paraId="26BD4F36" w14:textId="77777777" w:rsidR="004C61CD" w:rsidRPr="004C61CD" w:rsidRDefault="004C61CD" w:rsidP="004C61CD">
      <w:pPr>
        <w:pStyle w:val="af0"/>
        <w:rPr>
          <w:lang w:eastAsia="el-GR"/>
        </w:rPr>
      </w:pPr>
      <w:r w:rsidRPr="004C61CD">
        <w:rPr>
          <w:lang w:eastAsia="el-GR"/>
        </w:rPr>
        <w:t>• Κακή ποιότητα αέρα: Μπορεί να υπάρχει ανεπαρκής ποσότητα οξυγόνου για να αναπνεύσει ο εργαζόμενος. Η ατμόσφαιρα μπορεί να περιέχει μια δηλητηριώδη ουσία που θα μπορούσε να κάνει τον εργαζόμενο να αρρωστήσει ή ακόμα και να χάσει τις αισθήσεις του. Ο φυσικός αερισμός από μόνος του συχνά δεν είναι αρκετός για να διατηρήσει τον ποιοτικό αέρα που αναπνέει.</w:t>
      </w:r>
    </w:p>
    <w:p w14:paraId="479491B9" w14:textId="77777777" w:rsidR="004C61CD" w:rsidRPr="004C61CD" w:rsidRDefault="004C61CD" w:rsidP="004C61CD">
      <w:pPr>
        <w:pStyle w:val="af0"/>
        <w:rPr>
          <w:lang w:eastAsia="el-GR"/>
        </w:rPr>
      </w:pPr>
      <w:r w:rsidRPr="004C61CD">
        <w:rPr>
          <w:lang w:eastAsia="el-GR"/>
        </w:rPr>
        <w:t>• Χημικές εκθέσεις λόγω επαφής με το δέρμα ή κατάποσης καθώς και εισπνοής «κακού» αέρα.</w:t>
      </w:r>
    </w:p>
    <w:p w14:paraId="29A74E82" w14:textId="77777777" w:rsidR="004C61CD" w:rsidRPr="004C61CD" w:rsidRDefault="004C61CD" w:rsidP="004C61CD">
      <w:pPr>
        <w:pStyle w:val="af0"/>
        <w:rPr>
          <w:lang w:eastAsia="el-GR"/>
        </w:rPr>
      </w:pPr>
      <w:r w:rsidRPr="004C61CD">
        <w:rPr>
          <w:lang w:eastAsia="el-GR"/>
        </w:rPr>
        <w:t>• Κίνδυνος πυρκαγιάς: Μπορεί να υπάρχει εκρηκτική/εύφλεκτη ατμόσφαιρα λόγω εύφλεκτων υγρών και αερίων και εύφλεκτων σκόνης που εάν αναφλεγούν θα οδηγήσουν σε πυρκαγιά ή έκρηξη.</w:t>
      </w:r>
    </w:p>
    <w:p w14:paraId="127BA513" w14:textId="77777777" w:rsidR="004C61CD" w:rsidRPr="004C61CD" w:rsidRDefault="004C61CD" w:rsidP="004C61CD">
      <w:pPr>
        <w:pStyle w:val="af0"/>
        <w:rPr>
          <w:lang w:eastAsia="el-GR"/>
        </w:rPr>
      </w:pPr>
      <w:r w:rsidRPr="004C61CD">
        <w:rPr>
          <w:lang w:eastAsia="el-GR"/>
        </w:rPr>
        <w:t>• Κίνδυνοι που σχετίζονται με τη διαδικασία, όπως υπολειπόμενα χημικά, απελευθέρωση περιεχομένου μιας γραμμής τροφοδοσίας.</w:t>
      </w:r>
    </w:p>
    <w:p w14:paraId="2C788732" w14:textId="77777777" w:rsidR="004C61CD" w:rsidRPr="004C61CD" w:rsidRDefault="004C61CD" w:rsidP="004C61CD">
      <w:pPr>
        <w:pStyle w:val="af0"/>
        <w:rPr>
          <w:lang w:eastAsia="el-GR"/>
        </w:rPr>
      </w:pPr>
      <w:r w:rsidRPr="004C61CD">
        <w:rPr>
          <w:lang w:eastAsia="el-GR"/>
        </w:rPr>
        <w:t>• Θόρυβος.</w:t>
      </w:r>
    </w:p>
    <w:p w14:paraId="26E752F8" w14:textId="77777777" w:rsidR="004C61CD" w:rsidRPr="004C61CD" w:rsidRDefault="004C61CD" w:rsidP="004C61CD">
      <w:pPr>
        <w:pStyle w:val="af0"/>
        <w:rPr>
          <w:lang w:eastAsia="el-GR"/>
        </w:rPr>
      </w:pPr>
      <w:r w:rsidRPr="004C61CD">
        <w:rPr>
          <w:lang w:eastAsia="el-GR"/>
        </w:rPr>
        <w:lastRenderedPageBreak/>
        <w:t>• Κίνδυνοι ασφαλείας όπως κινούμενα μέρη εξοπλισμού, δομικοί κίνδυνοι, εμπλοκή, γλιστρήματα, πτώσεις.</w:t>
      </w:r>
    </w:p>
    <w:p w14:paraId="1366CAB7" w14:textId="77777777" w:rsidR="004C61CD" w:rsidRPr="004C61CD" w:rsidRDefault="004C61CD" w:rsidP="004C61CD">
      <w:pPr>
        <w:pStyle w:val="af0"/>
        <w:rPr>
          <w:lang w:eastAsia="el-GR"/>
        </w:rPr>
      </w:pPr>
      <w:r w:rsidRPr="004C61CD">
        <w:rPr>
          <w:lang w:eastAsia="el-GR"/>
        </w:rPr>
        <w:t>• Ακτινοβολία.</w:t>
      </w:r>
    </w:p>
    <w:p w14:paraId="697B810E" w14:textId="77777777" w:rsidR="004C61CD" w:rsidRPr="004C61CD" w:rsidRDefault="004C61CD" w:rsidP="004C61CD">
      <w:pPr>
        <w:pStyle w:val="af0"/>
        <w:rPr>
          <w:lang w:eastAsia="el-GR"/>
        </w:rPr>
      </w:pPr>
      <w:r w:rsidRPr="004C61CD">
        <w:rPr>
          <w:lang w:eastAsia="el-GR"/>
        </w:rPr>
        <w:t>• Ακραίες θερμοκρασίες, συμπεριλαμβανομένων της ατμοσφαιρικής και της επιφάνειας.</w:t>
      </w:r>
    </w:p>
    <w:p w14:paraId="4212E73A" w14:textId="77777777" w:rsidR="004C61CD" w:rsidRPr="004C61CD" w:rsidRDefault="004C61CD" w:rsidP="004C61CD">
      <w:pPr>
        <w:pStyle w:val="af0"/>
        <w:rPr>
          <w:lang w:eastAsia="el-GR"/>
        </w:rPr>
      </w:pPr>
      <w:r w:rsidRPr="004C61CD">
        <w:rPr>
          <w:lang w:eastAsia="el-GR"/>
        </w:rPr>
        <w:t>• Μετατόπιση ή κατάρρευση χύδην υλικού.</w:t>
      </w:r>
    </w:p>
    <w:p w14:paraId="6A3D808C" w14:textId="77777777" w:rsidR="004C61CD" w:rsidRPr="004C61CD" w:rsidRDefault="004C61CD" w:rsidP="004C61CD">
      <w:pPr>
        <w:pStyle w:val="af0"/>
        <w:rPr>
          <w:lang w:eastAsia="el-GR"/>
        </w:rPr>
      </w:pPr>
      <w:r w:rsidRPr="004C61CD">
        <w:rPr>
          <w:lang w:eastAsia="el-GR"/>
        </w:rPr>
        <w:t>• Αστοχία φραγμού με αποτέλεσμα πλημμύρα ή απελευθέρωση στερεού που ρέει ελεύθερα.</w:t>
      </w:r>
    </w:p>
    <w:p w14:paraId="54796AF4" w14:textId="77777777" w:rsidR="004C61CD" w:rsidRPr="004C61CD" w:rsidRDefault="004C61CD" w:rsidP="004C61CD">
      <w:pPr>
        <w:pStyle w:val="af0"/>
        <w:rPr>
          <w:lang w:eastAsia="el-GR"/>
        </w:rPr>
      </w:pPr>
      <w:r w:rsidRPr="004C61CD">
        <w:rPr>
          <w:lang w:eastAsia="el-GR"/>
        </w:rPr>
        <w:t>• Μη ελεγχόμενη ενέργεια συμπεριλαμβανομένης της ηλεκτροπληξίας.</w:t>
      </w:r>
    </w:p>
    <w:p w14:paraId="5108E24A" w14:textId="77777777" w:rsidR="004C61CD" w:rsidRPr="004C61CD" w:rsidRDefault="004C61CD" w:rsidP="004C61CD">
      <w:pPr>
        <w:pStyle w:val="af0"/>
        <w:rPr>
          <w:lang w:eastAsia="el-GR"/>
        </w:rPr>
      </w:pPr>
      <w:r w:rsidRPr="004C61CD">
        <w:rPr>
          <w:lang w:eastAsia="el-GR"/>
        </w:rPr>
        <w:t>• Ορατότητα.</w:t>
      </w:r>
    </w:p>
    <w:p w14:paraId="5CDE0DF1" w14:textId="77777777" w:rsidR="004C61CD" w:rsidRPr="004C61CD" w:rsidRDefault="004C61CD" w:rsidP="004C61CD">
      <w:pPr>
        <w:pStyle w:val="af0"/>
        <w:rPr>
          <w:lang w:eastAsia="el-GR"/>
        </w:rPr>
      </w:pPr>
      <w:r w:rsidRPr="004C61CD">
        <w:rPr>
          <w:lang w:eastAsia="el-GR"/>
        </w:rPr>
        <w:t>• Βιολογικοί κίνδυνοι.</w:t>
      </w:r>
    </w:p>
    <w:p w14:paraId="4DC9C751" w14:textId="77777777" w:rsidR="004C61CD" w:rsidRPr="004C61CD" w:rsidRDefault="004C61CD" w:rsidP="004C61CD">
      <w:pPr>
        <w:pStyle w:val="af0"/>
        <w:rPr>
          <w:lang w:eastAsia="el-GR"/>
        </w:rPr>
      </w:pPr>
    </w:p>
    <w:p w14:paraId="50F0566D" w14:textId="77777777" w:rsidR="004C61CD" w:rsidRPr="004C61CD" w:rsidRDefault="004C61CD" w:rsidP="004C61CD">
      <w:pPr>
        <w:pStyle w:val="af0"/>
        <w:rPr>
          <w:b/>
          <w:u w:val="single"/>
          <w:lang w:eastAsia="el-GR"/>
        </w:rPr>
      </w:pPr>
      <w:r w:rsidRPr="004C61CD">
        <w:rPr>
          <w:b/>
          <w:u w:val="single"/>
          <w:lang w:eastAsia="el-GR"/>
        </w:rPr>
        <w:t>Ο περιορισμένος χώρος είναι πιο επικίνδυνος από την εργασία σε άλλους χώρους εργασίας</w:t>
      </w:r>
    </w:p>
    <w:p w14:paraId="2F3071EF" w14:textId="77777777" w:rsidR="004C61CD" w:rsidRPr="004C61CD" w:rsidRDefault="004C61CD" w:rsidP="004C61CD">
      <w:pPr>
        <w:pStyle w:val="af0"/>
        <w:rPr>
          <w:lang w:eastAsia="el-GR"/>
        </w:rPr>
      </w:pPr>
      <w:r w:rsidRPr="004C61CD">
        <w:rPr>
          <w:lang w:eastAsia="el-GR"/>
        </w:rPr>
        <w:t>Πολλοί παράγοντες πρέπει να αξιολογηθούν κατά την αναζήτηση κινδύνων σε έναν περιορισμένο χώρο.</w:t>
      </w:r>
    </w:p>
    <w:p w14:paraId="708FAB99" w14:textId="77777777" w:rsidR="004C61CD" w:rsidRPr="004C61CD" w:rsidRDefault="004C61CD" w:rsidP="004C61CD">
      <w:pPr>
        <w:pStyle w:val="af0"/>
        <w:rPr>
          <w:lang w:eastAsia="el-GR"/>
        </w:rPr>
      </w:pPr>
      <w:r w:rsidRPr="004C61CD">
        <w:rPr>
          <w:lang w:eastAsia="el-GR"/>
        </w:rPr>
        <w:t xml:space="preserve"> </w:t>
      </w:r>
      <w:r w:rsidRPr="004C61CD">
        <w:rPr>
          <w:u w:val="single"/>
          <w:lang w:eastAsia="el-GR"/>
        </w:rPr>
        <w:t>Υπάρχει μικρότερο περιθώριο λάθους</w:t>
      </w:r>
      <w:r w:rsidRPr="004C61CD">
        <w:rPr>
          <w:lang w:eastAsia="el-GR"/>
        </w:rPr>
        <w:t>. Ένα λάθος στον εντοπισμό ή την αξιολόγηση πιθανών κινδύνων μπορεί να έχει πιο σοβαρές συνέπειες. Σε ορισμένες περιπτώσεις, οι συνθήκες σε έναν περιορισμένο χώρο είναι πάντα εξαιρετικά επικίνδυνες. Σε άλλες περιπτώσεις, οι συνθήκες είναι απειλητικές για τη ζωή υπό έναν ασυνήθιστο συνδυασμό περιστάσεων. Αυτή η μεταβλητότητα και το απρόβλεπτο είναι ο λόγος για τον οποίο η αξιολόγηση κινδύνου είναι εξαιρετικά σημαντική και πρέπει να λαμβάνεται πολύ σοβαρά υπόψη κάθε φορά που γίνεται.</w:t>
      </w:r>
    </w:p>
    <w:p w14:paraId="52B6FB40" w14:textId="77777777" w:rsidR="004C61CD" w:rsidRPr="004C61CD" w:rsidRDefault="004C61CD" w:rsidP="004C61CD">
      <w:pPr>
        <w:pStyle w:val="af0"/>
        <w:rPr>
          <w:lang w:eastAsia="el-GR"/>
        </w:rPr>
      </w:pPr>
      <w:r w:rsidRPr="004C61CD">
        <w:rPr>
          <w:lang w:eastAsia="el-GR"/>
        </w:rPr>
        <w:t>Συγκεκριμένα:</w:t>
      </w:r>
    </w:p>
    <w:p w14:paraId="50D1AB07" w14:textId="77777777" w:rsidR="004C61CD" w:rsidRPr="004C61CD" w:rsidRDefault="004C61CD" w:rsidP="004C61CD">
      <w:pPr>
        <w:pStyle w:val="af0"/>
        <w:rPr>
          <w:lang w:eastAsia="el-GR"/>
        </w:rPr>
      </w:pPr>
      <w:r w:rsidRPr="004C61CD">
        <w:rPr>
          <w:lang w:eastAsia="el-GR"/>
        </w:rPr>
        <w:t>• Η είσοδος/έξοδος του περιορισμένου χώρου ενδέχεται να μην επιτρέπει στον εργαζόμενο να βγει εγκαίρως σε περίπτωση πλημμύρας ή κατάρρευσης στερεού που ρέει ελεύθερα.</w:t>
      </w:r>
    </w:p>
    <w:p w14:paraId="169B1126" w14:textId="77777777" w:rsidR="004C61CD" w:rsidRPr="004C61CD" w:rsidRDefault="004C61CD" w:rsidP="004C61CD">
      <w:pPr>
        <w:pStyle w:val="af0"/>
        <w:rPr>
          <w:lang w:eastAsia="el-GR"/>
        </w:rPr>
      </w:pPr>
      <w:r w:rsidRPr="004C61CD">
        <w:rPr>
          <w:lang w:eastAsia="el-GR"/>
        </w:rPr>
        <w:t xml:space="preserve">• Η </w:t>
      </w:r>
      <w:proofErr w:type="spellStart"/>
      <w:r w:rsidRPr="004C61CD">
        <w:rPr>
          <w:lang w:eastAsia="el-GR"/>
        </w:rPr>
        <w:t>αυτοδιάσωση</w:t>
      </w:r>
      <w:proofErr w:type="spellEnd"/>
      <w:r w:rsidRPr="004C61CD">
        <w:rPr>
          <w:lang w:eastAsia="el-GR"/>
        </w:rPr>
        <w:t xml:space="preserve"> από τον εργαζόμενο είναι πιο δύσκολη.</w:t>
      </w:r>
    </w:p>
    <w:p w14:paraId="55ED9DF8" w14:textId="77777777" w:rsidR="004C61CD" w:rsidRPr="004C61CD" w:rsidRDefault="004C61CD" w:rsidP="004C61CD">
      <w:pPr>
        <w:pStyle w:val="af0"/>
        <w:rPr>
          <w:lang w:eastAsia="el-GR"/>
        </w:rPr>
      </w:pPr>
      <w:r w:rsidRPr="004C61CD">
        <w:rPr>
          <w:lang w:eastAsia="el-GR"/>
        </w:rPr>
        <w:t>• Η διάσωση του θύματος είναι πιο δύσκολη. Η εσωτερική διαμόρφωση του περιορισμένου χώρου συχνά δεν επιτρέπει την εύκολη μετακίνηση ανθρώπων ή εξοπλισμού μέσα σε αυτόν.</w:t>
      </w:r>
    </w:p>
    <w:p w14:paraId="17D211A8" w14:textId="77777777" w:rsidR="004C61CD" w:rsidRPr="004C61CD" w:rsidRDefault="004C61CD" w:rsidP="004C61CD">
      <w:pPr>
        <w:pStyle w:val="af0"/>
        <w:rPr>
          <w:lang w:eastAsia="el-GR"/>
        </w:rPr>
      </w:pPr>
      <w:r w:rsidRPr="004C61CD">
        <w:rPr>
          <w:lang w:eastAsia="el-GR"/>
        </w:rPr>
        <w:t>• Ο φυσικός αερισμός από μόνος του συχνά δεν είναι επαρκής για τη διατήρηση της ποιότητας του αέρα που αναπνέει. Η εσωτερική διαμόρφωση του περιορισμένου χώρου δεν επιτρέπει την εύκολη κίνηση του αέρα μέσα σε αυτόν.</w:t>
      </w:r>
    </w:p>
    <w:p w14:paraId="70FC1659" w14:textId="77777777" w:rsidR="004C61CD" w:rsidRPr="004C61CD" w:rsidRDefault="004C61CD" w:rsidP="004C61CD">
      <w:pPr>
        <w:pStyle w:val="af0"/>
        <w:rPr>
          <w:lang w:eastAsia="el-GR"/>
        </w:rPr>
      </w:pPr>
      <w:r w:rsidRPr="004C61CD">
        <w:rPr>
          <w:lang w:eastAsia="el-GR"/>
        </w:rPr>
        <w:t>• Οι συνθήκες μπορούν να αλλάξουν πολύ γρήγορα.</w:t>
      </w:r>
    </w:p>
    <w:p w14:paraId="11F236A4" w14:textId="77777777" w:rsidR="004C61CD" w:rsidRPr="004C61CD" w:rsidRDefault="004C61CD" w:rsidP="004C61CD">
      <w:pPr>
        <w:pStyle w:val="af0"/>
        <w:rPr>
          <w:lang w:eastAsia="el-GR"/>
        </w:rPr>
      </w:pPr>
      <w:r w:rsidRPr="004C61CD">
        <w:rPr>
          <w:lang w:eastAsia="el-GR"/>
        </w:rPr>
        <w:lastRenderedPageBreak/>
        <w:t>• Ο χώρος έξω από τον περιορισμένο χώρο μπορεί να επηρεάσει τις συνθήκες μέσα στον περιορισμένο χώρο και αντίστροφα.</w:t>
      </w:r>
    </w:p>
    <w:p w14:paraId="1426F10C" w14:textId="77777777" w:rsidR="004C61CD" w:rsidRPr="004C61CD" w:rsidRDefault="004C61CD" w:rsidP="004C61CD">
      <w:pPr>
        <w:pStyle w:val="af0"/>
        <w:rPr>
          <w:lang w:eastAsia="el-GR"/>
        </w:rPr>
      </w:pPr>
      <w:r w:rsidRPr="004C61CD">
        <w:rPr>
          <w:lang w:eastAsia="el-GR"/>
        </w:rPr>
        <w:t>• Οι εργασιακές δραστηριότητες ενδέχεται να εισάγουν κινδύνους που δεν υπάρχουν αρχικά.</w:t>
      </w:r>
    </w:p>
    <w:p w14:paraId="34FA0711" w14:textId="77777777" w:rsidR="004C61CD" w:rsidRPr="004C61CD" w:rsidRDefault="004C61CD" w:rsidP="004C61CD">
      <w:pPr>
        <w:pStyle w:val="af0"/>
        <w:rPr>
          <w:lang w:eastAsia="el-GR"/>
        </w:rPr>
      </w:pPr>
    </w:p>
    <w:p w14:paraId="76EDE95E" w14:textId="77777777" w:rsidR="004C61CD" w:rsidRPr="004C61CD" w:rsidRDefault="004C61CD" w:rsidP="004C61CD">
      <w:pPr>
        <w:pStyle w:val="af0"/>
        <w:rPr>
          <w:b/>
          <w:u w:val="single"/>
          <w:lang w:eastAsia="el-GR"/>
        </w:rPr>
      </w:pPr>
      <w:r w:rsidRPr="004C61CD">
        <w:rPr>
          <w:b/>
          <w:u w:val="single"/>
          <w:lang w:eastAsia="el-GR"/>
        </w:rPr>
        <w:t>Εκτίμηση των κινδύνων σε περιορισμένο χώρο</w:t>
      </w:r>
    </w:p>
    <w:p w14:paraId="201EC552" w14:textId="77777777" w:rsidR="004C61CD" w:rsidRPr="004C61CD" w:rsidRDefault="004C61CD" w:rsidP="004C61CD">
      <w:pPr>
        <w:pStyle w:val="af0"/>
        <w:rPr>
          <w:lang w:eastAsia="el-GR"/>
        </w:rPr>
      </w:pPr>
      <w:r w:rsidRPr="004C61CD">
        <w:rPr>
          <w:lang w:eastAsia="el-GR"/>
        </w:rPr>
        <w:t>Για τη διαχείριση των κινδύνων που σχετίζονται με την εργασία σε περιορισμένους χώρους, θα πρέπει να αναπτυχθεί και να εφαρμοστεί μία Μελέτη Εκτίμησης και Ελέγχου των Κινδύνων Περιορισμένου Χώρου, η οποία θα πρέπει να συντάσσεται για εργασία σε κάθε περιορισμένο χώρο και θα περιλαμβάνει τα ακόλουθα:</w:t>
      </w:r>
    </w:p>
    <w:p w14:paraId="57848C2A" w14:textId="77777777" w:rsidR="004C61CD" w:rsidRPr="004C61CD" w:rsidRDefault="004C61CD" w:rsidP="004C61CD">
      <w:pPr>
        <w:pStyle w:val="af0"/>
        <w:numPr>
          <w:ilvl w:val="0"/>
          <w:numId w:val="17"/>
        </w:numPr>
        <w:rPr>
          <w:lang w:eastAsia="el-GR"/>
        </w:rPr>
      </w:pPr>
      <w:r w:rsidRPr="004C61CD">
        <w:rPr>
          <w:lang w:eastAsia="el-GR"/>
        </w:rPr>
        <w:t>Περιγραφή των ρόλων και των ευθυνών κάθε ατόμου ή συμβαλλόμενου μέρους (π.χ. εργοδότη, προϊστάμενος, εργαζόμενοι, συνοδός και ομάδα αντιμετώπισης καταστάσεων έκτακτης ανάγκης)</w:t>
      </w:r>
    </w:p>
    <w:p w14:paraId="13021C00" w14:textId="77777777" w:rsidR="004C61CD" w:rsidRPr="004C61CD" w:rsidRDefault="004C61CD" w:rsidP="004C61CD">
      <w:pPr>
        <w:pStyle w:val="af0"/>
        <w:numPr>
          <w:ilvl w:val="0"/>
          <w:numId w:val="17"/>
        </w:numPr>
        <w:rPr>
          <w:lang w:eastAsia="el-GR"/>
        </w:rPr>
      </w:pPr>
      <w:r w:rsidRPr="004C61CD">
        <w:rPr>
          <w:lang w:eastAsia="el-GR"/>
        </w:rPr>
        <w:t>Συμβουλές για τον τρόπο αναγνώρισης περιορισμένων χώρων.</w:t>
      </w:r>
    </w:p>
    <w:p w14:paraId="52F8DF53" w14:textId="77777777" w:rsidR="004C61CD" w:rsidRPr="004C61CD" w:rsidRDefault="004C61CD" w:rsidP="004C61CD">
      <w:pPr>
        <w:pStyle w:val="af0"/>
        <w:numPr>
          <w:ilvl w:val="0"/>
          <w:numId w:val="17"/>
        </w:numPr>
        <w:rPr>
          <w:lang w:eastAsia="el-GR"/>
        </w:rPr>
      </w:pPr>
      <w:r w:rsidRPr="004C61CD">
        <w:rPr>
          <w:lang w:eastAsia="el-GR"/>
        </w:rPr>
        <w:t>Τον εντοπισμό και την αξιολόγηση όλων των πιθανών κινδύνων που μπορεί να υπάρχουν στην αρχή της εργασίας καθώς και εκείνων που μπορεί να αναπτυχθούν λόγω των εργασιακών δραστηριοτήτων.</w:t>
      </w:r>
    </w:p>
    <w:p w14:paraId="309C5D41" w14:textId="77777777" w:rsidR="004C61CD" w:rsidRPr="004C61CD" w:rsidRDefault="004C61CD" w:rsidP="004C61CD">
      <w:pPr>
        <w:pStyle w:val="af0"/>
        <w:numPr>
          <w:ilvl w:val="0"/>
          <w:numId w:val="17"/>
        </w:numPr>
        <w:rPr>
          <w:lang w:eastAsia="el-GR"/>
        </w:rPr>
      </w:pPr>
      <w:r w:rsidRPr="004C61CD">
        <w:rPr>
          <w:lang w:eastAsia="el-GR"/>
        </w:rPr>
        <w:t>Σχέδιο για την εξάλειψη ή τον έλεγχο όλων των εντοπισμένων κινδύνων.</w:t>
      </w:r>
    </w:p>
    <w:p w14:paraId="79B241E1" w14:textId="77777777" w:rsidR="004C61CD" w:rsidRPr="004C61CD" w:rsidRDefault="004C61CD" w:rsidP="004C61CD">
      <w:pPr>
        <w:pStyle w:val="af0"/>
        <w:numPr>
          <w:ilvl w:val="0"/>
          <w:numId w:val="17"/>
        </w:numPr>
        <w:rPr>
          <w:lang w:eastAsia="el-GR"/>
        </w:rPr>
      </w:pPr>
      <w:r w:rsidRPr="004C61CD">
        <w:rPr>
          <w:lang w:eastAsia="el-GR"/>
        </w:rPr>
        <w:t>Πρόγραμμα εκπαίδευσης για όλους τους εργαζόμενους που θα εισέλθουν στους περιορισμένους χώρους.</w:t>
      </w:r>
    </w:p>
    <w:p w14:paraId="46964894" w14:textId="77777777" w:rsidR="004C61CD" w:rsidRPr="004C61CD" w:rsidRDefault="004C61CD" w:rsidP="004C61CD">
      <w:pPr>
        <w:pStyle w:val="af0"/>
        <w:numPr>
          <w:ilvl w:val="0"/>
          <w:numId w:val="17"/>
        </w:numPr>
        <w:rPr>
          <w:lang w:eastAsia="el-GR"/>
        </w:rPr>
      </w:pPr>
      <w:r w:rsidRPr="004C61CD">
        <w:rPr>
          <w:lang w:eastAsia="el-GR"/>
        </w:rPr>
        <w:t>Η καθιέρωση συστήματος αδειών εισόδου για κάθε είσοδο σε περιορισμένο χώρο.</w:t>
      </w:r>
    </w:p>
    <w:p w14:paraId="0E6B28B7" w14:textId="77777777" w:rsidR="004C61CD" w:rsidRPr="004C61CD" w:rsidRDefault="004C61CD" w:rsidP="004C61CD">
      <w:pPr>
        <w:pStyle w:val="af0"/>
        <w:rPr>
          <w:lang w:eastAsia="el-GR"/>
        </w:rPr>
      </w:pPr>
      <w:r w:rsidRPr="004C61CD">
        <w:rPr>
          <w:lang w:eastAsia="el-GR"/>
        </w:rPr>
        <w:t>• Ανάπτυξη σχεδίου έκτακτης ανάγκης με εκπαίδευση και εξοπλισμό σε περίπτωση απρόβλεπτης κατάστασης.</w:t>
      </w:r>
    </w:p>
    <w:p w14:paraId="4005AAE1" w14:textId="77777777" w:rsidR="004C61CD" w:rsidRPr="004C61CD" w:rsidRDefault="004C61CD" w:rsidP="004C61CD">
      <w:pPr>
        <w:pStyle w:val="af0"/>
        <w:rPr>
          <w:lang w:eastAsia="el-GR"/>
        </w:rPr>
      </w:pPr>
      <w:r w:rsidRPr="004C61CD">
        <w:rPr>
          <w:lang w:eastAsia="el-GR"/>
        </w:rPr>
        <w:t>• Επανεξέταση του προγράμματος όποτε υπάρχει αλλαγή στις συνθήκες ή τουλάχιστον ετησίως, για τον εντοπισμό των αδυναμιών του προγράμματος και την πραγματοποίηση οποιωνδήποτε απαραίτητων αλλαγών στο πρόγραμμα.</w:t>
      </w:r>
    </w:p>
    <w:p w14:paraId="34794EA2" w14:textId="77777777" w:rsidR="004C61CD" w:rsidRPr="004C61CD" w:rsidRDefault="004C61CD" w:rsidP="004C61CD">
      <w:pPr>
        <w:pStyle w:val="af0"/>
        <w:rPr>
          <w:lang w:eastAsia="el-GR"/>
        </w:rPr>
      </w:pPr>
      <w:r w:rsidRPr="004C61CD">
        <w:rPr>
          <w:lang w:eastAsia="el-GR"/>
        </w:rPr>
        <w:t>• Έλεγχος καταγραφής και τεκμηρίωσης.</w:t>
      </w:r>
    </w:p>
    <w:p w14:paraId="2CCA6EF9" w14:textId="77777777" w:rsidR="004C61CD" w:rsidRPr="004C61CD" w:rsidRDefault="004C61CD" w:rsidP="004C61CD">
      <w:pPr>
        <w:pStyle w:val="af0"/>
        <w:rPr>
          <w:lang w:eastAsia="el-GR"/>
        </w:rPr>
      </w:pPr>
    </w:p>
    <w:p w14:paraId="6D10234A" w14:textId="77777777" w:rsidR="004C61CD" w:rsidRPr="004C61CD" w:rsidRDefault="004C61CD" w:rsidP="004C61CD">
      <w:pPr>
        <w:pStyle w:val="af0"/>
        <w:rPr>
          <w:b/>
          <w:u w:val="single"/>
          <w:lang w:eastAsia="el-GR"/>
        </w:rPr>
      </w:pPr>
      <w:r w:rsidRPr="004C61CD">
        <w:rPr>
          <w:b/>
          <w:u w:val="single"/>
          <w:lang w:eastAsia="el-GR"/>
        </w:rPr>
        <w:t>Σύστημα αδειών εισόδου</w:t>
      </w:r>
    </w:p>
    <w:p w14:paraId="1F26D01C" w14:textId="77777777" w:rsidR="004C61CD" w:rsidRPr="004C61CD" w:rsidRDefault="004C61CD" w:rsidP="004C61CD">
      <w:pPr>
        <w:pStyle w:val="af0"/>
        <w:rPr>
          <w:lang w:eastAsia="el-GR"/>
        </w:rPr>
      </w:pPr>
      <w:r w:rsidRPr="004C61CD">
        <w:rPr>
          <w:lang w:eastAsia="el-GR"/>
        </w:rPr>
        <w:t xml:space="preserve">Η Άδεια Εισόδου είναι ένα διοικητικό εργαλείο που χρησιμοποιείται για την τεκμηρίωση της ολοκλήρωσης μιας αξιολόγησης κινδύνου για κάθε είσοδο σε περιορισμένο χώρο. </w:t>
      </w:r>
    </w:p>
    <w:p w14:paraId="2F0A9053" w14:textId="77777777" w:rsidR="004C61CD" w:rsidRPr="004C61CD" w:rsidRDefault="004C61CD" w:rsidP="004C61CD">
      <w:pPr>
        <w:pStyle w:val="af0"/>
        <w:rPr>
          <w:lang w:eastAsia="el-GR"/>
        </w:rPr>
      </w:pPr>
      <w:r w:rsidRPr="004C61CD">
        <w:rPr>
          <w:lang w:eastAsia="el-GR"/>
        </w:rPr>
        <w:t>Η Άδεια Εισόδου και θα πρέπει να περιέχει τουλάχιστον τις ακόλουθες πληροφορίες:</w:t>
      </w:r>
    </w:p>
    <w:p w14:paraId="434F84F0" w14:textId="77777777" w:rsidR="004C61CD" w:rsidRPr="004C61CD" w:rsidRDefault="004C61CD" w:rsidP="004C61CD">
      <w:pPr>
        <w:pStyle w:val="af0"/>
        <w:rPr>
          <w:lang w:eastAsia="el-GR"/>
        </w:rPr>
      </w:pPr>
      <w:r w:rsidRPr="004C61CD">
        <w:rPr>
          <w:lang w:eastAsia="el-GR"/>
        </w:rPr>
        <w:t>• Το χρονικό διάστημα για το οποίο ισχύει η άδεια.</w:t>
      </w:r>
    </w:p>
    <w:p w14:paraId="5CABBB49" w14:textId="77777777" w:rsidR="004C61CD" w:rsidRPr="004C61CD" w:rsidRDefault="004C61CD" w:rsidP="004C61CD">
      <w:pPr>
        <w:pStyle w:val="af0"/>
        <w:rPr>
          <w:lang w:eastAsia="el-GR"/>
        </w:rPr>
      </w:pPr>
      <w:r w:rsidRPr="004C61CD">
        <w:rPr>
          <w:lang w:eastAsia="el-GR"/>
        </w:rPr>
        <w:lastRenderedPageBreak/>
        <w:t>• Τα ονόματα των εργαζομένων που είναι εξουσιοδοτημένα να εισέλθουν στον περιορισμένο χώρο.</w:t>
      </w:r>
    </w:p>
    <w:p w14:paraId="433CC007" w14:textId="77777777" w:rsidR="004C61CD" w:rsidRPr="004C61CD" w:rsidRDefault="004C61CD" w:rsidP="004C61CD">
      <w:pPr>
        <w:pStyle w:val="af0"/>
        <w:rPr>
          <w:lang w:eastAsia="el-GR"/>
        </w:rPr>
      </w:pPr>
      <w:r w:rsidRPr="004C61CD">
        <w:rPr>
          <w:lang w:eastAsia="el-GR"/>
        </w:rPr>
        <w:t>• Το όνομα του παρατηρητή.</w:t>
      </w:r>
    </w:p>
    <w:p w14:paraId="0C9FA496" w14:textId="77777777" w:rsidR="004C61CD" w:rsidRPr="004C61CD" w:rsidRDefault="004C61CD" w:rsidP="004C61CD">
      <w:pPr>
        <w:pStyle w:val="af0"/>
        <w:rPr>
          <w:lang w:eastAsia="el-GR"/>
        </w:rPr>
      </w:pPr>
      <w:r w:rsidRPr="004C61CD">
        <w:rPr>
          <w:lang w:eastAsia="el-GR"/>
        </w:rPr>
        <w:t>• Η θέση και η περιγραφή του περιορισμένου χώρου.</w:t>
      </w:r>
    </w:p>
    <w:p w14:paraId="6379D260" w14:textId="77777777" w:rsidR="004C61CD" w:rsidRPr="004C61CD" w:rsidRDefault="004C61CD" w:rsidP="004C61CD">
      <w:pPr>
        <w:pStyle w:val="af0"/>
        <w:rPr>
          <w:lang w:eastAsia="el-GR"/>
        </w:rPr>
      </w:pPr>
      <w:r w:rsidRPr="004C61CD">
        <w:rPr>
          <w:lang w:eastAsia="el-GR"/>
        </w:rPr>
        <w:t>• Η εργασία που πρόκειται να γίνει στον περιορισμένο χώρο.</w:t>
      </w:r>
    </w:p>
    <w:p w14:paraId="53889C71" w14:textId="77777777" w:rsidR="004C61CD" w:rsidRPr="004C61CD" w:rsidRDefault="004C61CD" w:rsidP="004C61CD">
      <w:pPr>
        <w:pStyle w:val="af0"/>
        <w:rPr>
          <w:lang w:eastAsia="el-GR"/>
        </w:rPr>
      </w:pPr>
      <w:r w:rsidRPr="004C61CD">
        <w:rPr>
          <w:lang w:eastAsia="el-GR"/>
        </w:rPr>
        <w:t>• Πιθανοί κίνδυνοι που μπορεί να συναντήσετε εντός και εκτός του χώρου.</w:t>
      </w:r>
    </w:p>
    <w:p w14:paraId="3AE686A6" w14:textId="77777777" w:rsidR="004C61CD" w:rsidRPr="004C61CD" w:rsidRDefault="004C61CD" w:rsidP="004C61CD">
      <w:pPr>
        <w:pStyle w:val="af0"/>
        <w:rPr>
          <w:lang w:eastAsia="el-GR"/>
        </w:rPr>
      </w:pPr>
      <w:r w:rsidRPr="004C61CD">
        <w:rPr>
          <w:lang w:eastAsia="el-GR"/>
        </w:rPr>
        <w:t>• Πιθανοί κίνδυνοι που μπορεί να αναπτυχθούν κατά τη διάρκεια της εργασιακής δραστηριότητας.</w:t>
      </w:r>
    </w:p>
    <w:p w14:paraId="38C861DA" w14:textId="77777777" w:rsidR="004C61CD" w:rsidRPr="004C61CD" w:rsidRDefault="004C61CD" w:rsidP="004C61CD">
      <w:pPr>
        <w:pStyle w:val="af0"/>
        <w:rPr>
          <w:lang w:eastAsia="el-GR"/>
        </w:rPr>
      </w:pPr>
      <w:r w:rsidRPr="004C61CD">
        <w:rPr>
          <w:lang w:eastAsia="el-GR"/>
        </w:rPr>
        <w:t>• Η ημερομηνία και ώρα εισόδου στον περιορισμένο χώρο και η αναμενόμενη ώρα εξόδου.</w:t>
      </w:r>
    </w:p>
    <w:p w14:paraId="7A5EAFF9" w14:textId="77777777" w:rsidR="004C61CD" w:rsidRPr="004C61CD" w:rsidRDefault="004C61CD" w:rsidP="004C61CD">
      <w:pPr>
        <w:pStyle w:val="af0"/>
        <w:rPr>
          <w:lang w:eastAsia="el-GR"/>
        </w:rPr>
      </w:pPr>
      <w:r w:rsidRPr="004C61CD">
        <w:rPr>
          <w:lang w:eastAsia="el-GR"/>
        </w:rPr>
        <w:t>• Οι λεπτομέρειες οποιασδήποτε ατμοσφαιρικής δοκιμής που έγινε στον περιορισμένο χώρο.</w:t>
      </w:r>
    </w:p>
    <w:p w14:paraId="1D91E41D" w14:textId="0D84DA27" w:rsidR="004C61CD" w:rsidRPr="004C61CD" w:rsidRDefault="004C61CD" w:rsidP="004C61CD">
      <w:pPr>
        <w:pStyle w:val="af0"/>
        <w:rPr>
          <w:lang w:eastAsia="el-GR"/>
        </w:rPr>
      </w:pPr>
      <w:r w:rsidRPr="004C61CD">
        <w:rPr>
          <w:lang w:eastAsia="el-GR"/>
        </w:rPr>
        <w:t xml:space="preserve"> Στην ιδανική περίπτωση, η βαθμονόμηση θα γινόταν ακριβώς πριν από κάθε χρήση. Εάν αυτό δεν είναι δυνατό, ακολουθ</w:t>
      </w:r>
      <w:r>
        <w:rPr>
          <w:lang w:eastAsia="el-GR"/>
        </w:rPr>
        <w:t>ή</w:t>
      </w:r>
      <w:r w:rsidRPr="004C61CD">
        <w:rPr>
          <w:lang w:eastAsia="el-GR"/>
        </w:rPr>
        <w:t>στε τις οδηγίες του κατασκευαστή του εξοπλισμού για τη συχνότητα βαθμονόμησης.</w:t>
      </w:r>
    </w:p>
    <w:p w14:paraId="00E8DB5F" w14:textId="77777777" w:rsidR="004C61CD" w:rsidRPr="004C61CD" w:rsidRDefault="004C61CD" w:rsidP="004C61CD">
      <w:pPr>
        <w:pStyle w:val="af0"/>
        <w:rPr>
          <w:lang w:eastAsia="el-GR"/>
        </w:rPr>
      </w:pPr>
      <w:r w:rsidRPr="004C61CD">
        <w:rPr>
          <w:lang w:eastAsia="el-GR"/>
        </w:rPr>
        <w:t>• Μέτρα ελέγχου κινδύνων, συμπεριλαμβανομένης της χρήσης μηχανικού αερισμού και άλλου προστατευτικού εξοπλισμού που απαιτείται και τυχόν άλλες προφυλάξεις που θα τηρούνται από κάθε εργαζόμενο που πρόκειται να εισέλθει στον περιορισμένο χώρο.</w:t>
      </w:r>
    </w:p>
    <w:p w14:paraId="00346CC9" w14:textId="77777777" w:rsidR="004C61CD" w:rsidRPr="004C61CD" w:rsidRDefault="004C61CD" w:rsidP="004C61CD">
      <w:pPr>
        <w:pStyle w:val="af0"/>
        <w:rPr>
          <w:lang w:eastAsia="el-GR"/>
        </w:rPr>
      </w:pPr>
      <w:r w:rsidRPr="004C61CD">
        <w:rPr>
          <w:lang w:eastAsia="el-GR"/>
        </w:rPr>
        <w:t>• Μέσα επικοινωνίας μεταξύ των ατόμων που εργάζονται στον περιορισμένο χώρο και του συνοδού.</w:t>
      </w:r>
    </w:p>
    <w:p w14:paraId="763E0102" w14:textId="77777777" w:rsidR="004C61CD" w:rsidRPr="004C61CD" w:rsidRDefault="004C61CD" w:rsidP="004C61CD">
      <w:pPr>
        <w:pStyle w:val="af0"/>
        <w:rPr>
          <w:lang w:eastAsia="el-GR"/>
        </w:rPr>
      </w:pPr>
      <w:r w:rsidRPr="004C61CD">
        <w:rPr>
          <w:lang w:eastAsia="el-GR"/>
        </w:rPr>
        <w:t>• Σχέδιο έκτακτης ανάγκης και προστατευτικός εξοπλισμός και εξοπλισμός έκτακτης ανάγκης που πρέπει να χρησιμοποιείται από κάθε άτομο που συμμετέχει σε μια διάσωση ή ανταποκρίνεται σε άλλες καταστάσεις έκτακτης ανάγκης στον περιορισμένο χώρο.</w:t>
      </w:r>
    </w:p>
    <w:p w14:paraId="43B99296" w14:textId="77777777" w:rsidR="004C61CD" w:rsidRPr="004C61CD" w:rsidRDefault="004C61CD" w:rsidP="004C61CD">
      <w:pPr>
        <w:pStyle w:val="af0"/>
        <w:rPr>
          <w:lang w:eastAsia="el-GR"/>
        </w:rPr>
      </w:pPr>
      <w:r w:rsidRPr="004C61CD">
        <w:rPr>
          <w:lang w:eastAsia="el-GR"/>
        </w:rPr>
        <w:t>• Υπογραφή εργαζομένου που έκανε τη δοκιμή αέρα σε περιορισμένο χώρο. Η υπογραφή στην άδεια υποδηλώνει ότι λαμβάνονται επαρκείς προφυλάξεις για τον έλεγχο των αναμενόμενων κινδύνων.</w:t>
      </w:r>
    </w:p>
    <w:p w14:paraId="41396560" w14:textId="77777777" w:rsidR="004C61CD" w:rsidRPr="004C61CD" w:rsidRDefault="004C61CD" w:rsidP="004C61CD">
      <w:pPr>
        <w:pStyle w:val="af0"/>
        <w:rPr>
          <w:lang w:eastAsia="el-GR"/>
        </w:rPr>
      </w:pPr>
      <w:r w:rsidRPr="004C61CD">
        <w:rPr>
          <w:lang w:eastAsia="el-GR"/>
        </w:rPr>
        <w:t>• Υπογραφή εξουσιοδότησης από τον επιβλέποντα που πιστοποιεί ότι ο χώρος έχει αξιολογηθεί σωστά, προετοιμαστεί και είναι ασφαλής για είσοδο και εργασία.</w:t>
      </w:r>
    </w:p>
    <w:p w14:paraId="3CCF4B0B" w14:textId="51F2E865" w:rsidR="004C61CD" w:rsidRPr="004C61CD" w:rsidRDefault="004C61CD" w:rsidP="004C61CD">
      <w:pPr>
        <w:pStyle w:val="af0"/>
        <w:rPr>
          <w:lang w:eastAsia="el-GR"/>
        </w:rPr>
      </w:pPr>
      <w:r w:rsidRPr="004C61CD">
        <w:rPr>
          <w:lang w:eastAsia="el-GR"/>
        </w:rPr>
        <w:t>Η άδεια εισόδου θα πρέπει να αναρτηθεί στον περιορισμένο χώρο και να παραμείνει έτσι μέχρι να ολοκληρωθεί η εργασία. Ο εργοδότης θα πρέπει να διατηρεί στο αρχείο αντίγραφο της συμπληρωμένης άδειας.</w:t>
      </w:r>
    </w:p>
    <w:sectPr w:rsidR="004C61CD" w:rsidRPr="004C61CD"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3784F2D3" w14:textId="3CBEEB46" w:rsidR="00502C43" w:rsidRPr="00C24E3E" w:rsidRDefault="00502C43" w:rsidP="00C24E3E">
    <w:pPr>
      <w:pStyle w:val="a5"/>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2"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6E7865"/>
    <w:multiLevelType w:val="hybridMultilevel"/>
    <w:tmpl w:val="D556D0F4"/>
    <w:lvl w:ilvl="0" w:tplc="2822FA4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6" w15:restartNumberingAfterBreak="0">
    <w:nsid w:val="280B79A4"/>
    <w:multiLevelType w:val="hybridMultilevel"/>
    <w:tmpl w:val="D60AC1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38AC67F9"/>
    <w:multiLevelType w:val="hybridMultilevel"/>
    <w:tmpl w:val="226E5608"/>
    <w:lvl w:ilvl="0" w:tplc="1860A1B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9610A43"/>
    <w:multiLevelType w:val="hybridMultilevel"/>
    <w:tmpl w:val="6A940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12" w15:restartNumberingAfterBreak="0">
    <w:nsid w:val="4D9B7324"/>
    <w:multiLevelType w:val="hybridMultilevel"/>
    <w:tmpl w:val="B91AD1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3BD3812"/>
    <w:multiLevelType w:val="hybridMultilevel"/>
    <w:tmpl w:val="9E165E18"/>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82C5F6D"/>
    <w:multiLevelType w:val="hybridMultilevel"/>
    <w:tmpl w:val="58B8E83A"/>
    <w:lvl w:ilvl="0" w:tplc="571E72E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29055806">
    <w:abstractNumId w:val="10"/>
  </w:num>
  <w:num w:numId="2" w16cid:durableId="371459961">
    <w:abstractNumId w:val="2"/>
  </w:num>
  <w:num w:numId="3" w16cid:durableId="1357344649">
    <w:abstractNumId w:val="7"/>
  </w:num>
  <w:num w:numId="4" w16cid:durableId="165287051">
    <w:abstractNumId w:val="15"/>
  </w:num>
  <w:num w:numId="5" w16cid:durableId="1918586719">
    <w:abstractNumId w:val="4"/>
  </w:num>
  <w:num w:numId="6" w16cid:durableId="506793637">
    <w:abstractNumId w:val="0"/>
  </w:num>
  <w:num w:numId="7" w16cid:durableId="845632189">
    <w:abstractNumId w:val="11"/>
  </w:num>
  <w:num w:numId="8" w16cid:durableId="312219290">
    <w:abstractNumId w:val="5"/>
  </w:num>
  <w:num w:numId="9" w16cid:durableId="1597982927">
    <w:abstractNumId w:val="1"/>
  </w:num>
  <w:num w:numId="10" w16cid:durableId="525680824">
    <w:abstractNumId w:val="16"/>
  </w:num>
  <w:num w:numId="11" w16cid:durableId="1623875777">
    <w:abstractNumId w:val="3"/>
  </w:num>
  <w:num w:numId="12" w16cid:durableId="820542275">
    <w:abstractNumId w:val="12"/>
  </w:num>
  <w:num w:numId="13" w16cid:durableId="961769094">
    <w:abstractNumId w:val="14"/>
  </w:num>
  <w:num w:numId="14" w16cid:durableId="19672117">
    <w:abstractNumId w:val="9"/>
  </w:num>
  <w:num w:numId="15" w16cid:durableId="1445997007">
    <w:abstractNumId w:val="6"/>
  </w:num>
  <w:num w:numId="16" w16cid:durableId="907610517">
    <w:abstractNumId w:val="13"/>
  </w:num>
  <w:num w:numId="17" w16cid:durableId="6568053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16B0"/>
    <w:rsid w:val="00024D66"/>
    <w:rsid w:val="00026D19"/>
    <w:rsid w:val="00032BC2"/>
    <w:rsid w:val="0005592B"/>
    <w:rsid w:val="0006333A"/>
    <w:rsid w:val="00070142"/>
    <w:rsid w:val="00071628"/>
    <w:rsid w:val="00072BA8"/>
    <w:rsid w:val="00084647"/>
    <w:rsid w:val="00085448"/>
    <w:rsid w:val="000861D9"/>
    <w:rsid w:val="00093E31"/>
    <w:rsid w:val="000975A1"/>
    <w:rsid w:val="000A0120"/>
    <w:rsid w:val="000B4417"/>
    <w:rsid w:val="000C70D6"/>
    <w:rsid w:val="000D5972"/>
    <w:rsid w:val="000D6C92"/>
    <w:rsid w:val="000E15C8"/>
    <w:rsid w:val="000E1E19"/>
    <w:rsid w:val="000E2774"/>
    <w:rsid w:val="000E415A"/>
    <w:rsid w:val="000F266E"/>
    <w:rsid w:val="000F7EFD"/>
    <w:rsid w:val="0010088F"/>
    <w:rsid w:val="00111E09"/>
    <w:rsid w:val="001140DB"/>
    <w:rsid w:val="00116B9F"/>
    <w:rsid w:val="001243BD"/>
    <w:rsid w:val="00124D70"/>
    <w:rsid w:val="00126C95"/>
    <w:rsid w:val="00134CCE"/>
    <w:rsid w:val="00137E31"/>
    <w:rsid w:val="0015317E"/>
    <w:rsid w:val="00161125"/>
    <w:rsid w:val="0016124F"/>
    <w:rsid w:val="001622B4"/>
    <w:rsid w:val="00167242"/>
    <w:rsid w:val="001755B3"/>
    <w:rsid w:val="001755FC"/>
    <w:rsid w:val="0017646D"/>
    <w:rsid w:val="00176E93"/>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2569"/>
    <w:rsid w:val="00203D9D"/>
    <w:rsid w:val="00210B55"/>
    <w:rsid w:val="002137A5"/>
    <w:rsid w:val="002158F9"/>
    <w:rsid w:val="00220810"/>
    <w:rsid w:val="00222893"/>
    <w:rsid w:val="0022466A"/>
    <w:rsid w:val="002270A5"/>
    <w:rsid w:val="002314B1"/>
    <w:rsid w:val="00231BB0"/>
    <w:rsid w:val="00234A1D"/>
    <w:rsid w:val="0024249F"/>
    <w:rsid w:val="00243770"/>
    <w:rsid w:val="00250E3B"/>
    <w:rsid w:val="00266031"/>
    <w:rsid w:val="00272825"/>
    <w:rsid w:val="002768D4"/>
    <w:rsid w:val="00280286"/>
    <w:rsid w:val="0028049E"/>
    <w:rsid w:val="002878BE"/>
    <w:rsid w:val="00292052"/>
    <w:rsid w:val="002A134F"/>
    <w:rsid w:val="002A207E"/>
    <w:rsid w:val="002A707A"/>
    <w:rsid w:val="002B1806"/>
    <w:rsid w:val="002B204B"/>
    <w:rsid w:val="002C128D"/>
    <w:rsid w:val="002C3AFB"/>
    <w:rsid w:val="002C5D47"/>
    <w:rsid w:val="002D7D6A"/>
    <w:rsid w:val="002E4A4D"/>
    <w:rsid w:val="002E4A80"/>
    <w:rsid w:val="002E4BB0"/>
    <w:rsid w:val="002F2292"/>
    <w:rsid w:val="002F3E4D"/>
    <w:rsid w:val="003062DC"/>
    <w:rsid w:val="003106B6"/>
    <w:rsid w:val="00321021"/>
    <w:rsid w:val="0032576E"/>
    <w:rsid w:val="00330315"/>
    <w:rsid w:val="00332ADC"/>
    <w:rsid w:val="003336A7"/>
    <w:rsid w:val="00335CF3"/>
    <w:rsid w:val="003408D0"/>
    <w:rsid w:val="00347D1C"/>
    <w:rsid w:val="00363A6F"/>
    <w:rsid w:val="003661BE"/>
    <w:rsid w:val="003663A6"/>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45ED"/>
    <w:rsid w:val="003D310A"/>
    <w:rsid w:val="003E1B61"/>
    <w:rsid w:val="003F0EB7"/>
    <w:rsid w:val="003F1645"/>
    <w:rsid w:val="00403820"/>
    <w:rsid w:val="0040778F"/>
    <w:rsid w:val="00410E53"/>
    <w:rsid w:val="00417EFF"/>
    <w:rsid w:val="00420B9D"/>
    <w:rsid w:val="00424595"/>
    <w:rsid w:val="00425367"/>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92458"/>
    <w:rsid w:val="004A6724"/>
    <w:rsid w:val="004A6A3D"/>
    <w:rsid w:val="004A6C61"/>
    <w:rsid w:val="004C61CD"/>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42A98"/>
    <w:rsid w:val="00554204"/>
    <w:rsid w:val="005619C0"/>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6ABA"/>
    <w:rsid w:val="005F731C"/>
    <w:rsid w:val="00602D13"/>
    <w:rsid w:val="00607024"/>
    <w:rsid w:val="006107DA"/>
    <w:rsid w:val="006117ED"/>
    <w:rsid w:val="00623DDD"/>
    <w:rsid w:val="00623F7B"/>
    <w:rsid w:val="006266A4"/>
    <w:rsid w:val="00627FD4"/>
    <w:rsid w:val="0063309C"/>
    <w:rsid w:val="00634801"/>
    <w:rsid w:val="00642507"/>
    <w:rsid w:val="00647561"/>
    <w:rsid w:val="006526B1"/>
    <w:rsid w:val="006549B6"/>
    <w:rsid w:val="006633EF"/>
    <w:rsid w:val="006660E5"/>
    <w:rsid w:val="00667BF1"/>
    <w:rsid w:val="00673E0B"/>
    <w:rsid w:val="006828C2"/>
    <w:rsid w:val="00694595"/>
    <w:rsid w:val="006A0743"/>
    <w:rsid w:val="006A1743"/>
    <w:rsid w:val="006A3640"/>
    <w:rsid w:val="006A4C13"/>
    <w:rsid w:val="006B2F64"/>
    <w:rsid w:val="006C0368"/>
    <w:rsid w:val="006C29FE"/>
    <w:rsid w:val="006C5E39"/>
    <w:rsid w:val="006D6914"/>
    <w:rsid w:val="006E55FA"/>
    <w:rsid w:val="006F4085"/>
    <w:rsid w:val="006F4E7D"/>
    <w:rsid w:val="00701E57"/>
    <w:rsid w:val="00703CD6"/>
    <w:rsid w:val="00704476"/>
    <w:rsid w:val="00704482"/>
    <w:rsid w:val="0071040B"/>
    <w:rsid w:val="007235D9"/>
    <w:rsid w:val="00725F76"/>
    <w:rsid w:val="00752A76"/>
    <w:rsid w:val="00757A4B"/>
    <w:rsid w:val="00780B22"/>
    <w:rsid w:val="0078110B"/>
    <w:rsid w:val="007A246D"/>
    <w:rsid w:val="007A2688"/>
    <w:rsid w:val="007D1E26"/>
    <w:rsid w:val="007E0537"/>
    <w:rsid w:val="007E35F2"/>
    <w:rsid w:val="007E6C20"/>
    <w:rsid w:val="007E780C"/>
    <w:rsid w:val="007F001B"/>
    <w:rsid w:val="007F2485"/>
    <w:rsid w:val="007F415A"/>
    <w:rsid w:val="008043E8"/>
    <w:rsid w:val="008116A6"/>
    <w:rsid w:val="0081353A"/>
    <w:rsid w:val="00813B97"/>
    <w:rsid w:val="00815935"/>
    <w:rsid w:val="00816BA3"/>
    <w:rsid w:val="008171DE"/>
    <w:rsid w:val="00826082"/>
    <w:rsid w:val="00826397"/>
    <w:rsid w:val="00826F84"/>
    <w:rsid w:val="00833526"/>
    <w:rsid w:val="00835A4E"/>
    <w:rsid w:val="00841407"/>
    <w:rsid w:val="00842C17"/>
    <w:rsid w:val="00844649"/>
    <w:rsid w:val="00850DCC"/>
    <w:rsid w:val="00852C9E"/>
    <w:rsid w:val="0086051F"/>
    <w:rsid w:val="00863901"/>
    <w:rsid w:val="00866EB2"/>
    <w:rsid w:val="00872CC5"/>
    <w:rsid w:val="008765B2"/>
    <w:rsid w:val="008814A3"/>
    <w:rsid w:val="008855F3"/>
    <w:rsid w:val="008860D6"/>
    <w:rsid w:val="0089105B"/>
    <w:rsid w:val="008A0F61"/>
    <w:rsid w:val="008A1AAB"/>
    <w:rsid w:val="008A2612"/>
    <w:rsid w:val="008C7FB8"/>
    <w:rsid w:val="008D455D"/>
    <w:rsid w:val="008E0373"/>
    <w:rsid w:val="008E1C68"/>
    <w:rsid w:val="008F30FC"/>
    <w:rsid w:val="008F3F4D"/>
    <w:rsid w:val="00900268"/>
    <w:rsid w:val="00901C3D"/>
    <w:rsid w:val="0090537E"/>
    <w:rsid w:val="00911946"/>
    <w:rsid w:val="00921467"/>
    <w:rsid w:val="00921BA9"/>
    <w:rsid w:val="00933053"/>
    <w:rsid w:val="009368D6"/>
    <w:rsid w:val="00937766"/>
    <w:rsid w:val="00937B6C"/>
    <w:rsid w:val="00947F31"/>
    <w:rsid w:val="009507B0"/>
    <w:rsid w:val="009528E7"/>
    <w:rsid w:val="00952FF7"/>
    <w:rsid w:val="00955863"/>
    <w:rsid w:val="00955A96"/>
    <w:rsid w:val="00957288"/>
    <w:rsid w:val="00960CF3"/>
    <w:rsid w:val="00962409"/>
    <w:rsid w:val="00966E74"/>
    <w:rsid w:val="00966F22"/>
    <w:rsid w:val="009670BC"/>
    <w:rsid w:val="00967277"/>
    <w:rsid w:val="0096773B"/>
    <w:rsid w:val="00972026"/>
    <w:rsid w:val="0099170E"/>
    <w:rsid w:val="00991B80"/>
    <w:rsid w:val="009A4015"/>
    <w:rsid w:val="009A5211"/>
    <w:rsid w:val="009B7C6F"/>
    <w:rsid w:val="009C11A4"/>
    <w:rsid w:val="009D220D"/>
    <w:rsid w:val="009D2423"/>
    <w:rsid w:val="009D58D8"/>
    <w:rsid w:val="009D61C2"/>
    <w:rsid w:val="009E31EC"/>
    <w:rsid w:val="009E43A6"/>
    <w:rsid w:val="009E775A"/>
    <w:rsid w:val="009F4134"/>
    <w:rsid w:val="00A00807"/>
    <w:rsid w:val="00A04774"/>
    <w:rsid w:val="00A059A5"/>
    <w:rsid w:val="00A05BE4"/>
    <w:rsid w:val="00A05EA5"/>
    <w:rsid w:val="00A166E6"/>
    <w:rsid w:val="00A2405E"/>
    <w:rsid w:val="00A25152"/>
    <w:rsid w:val="00A343E6"/>
    <w:rsid w:val="00A40861"/>
    <w:rsid w:val="00A45FCC"/>
    <w:rsid w:val="00A5048D"/>
    <w:rsid w:val="00A55F3B"/>
    <w:rsid w:val="00A57E57"/>
    <w:rsid w:val="00A61418"/>
    <w:rsid w:val="00A616D5"/>
    <w:rsid w:val="00A6208F"/>
    <w:rsid w:val="00A63FC3"/>
    <w:rsid w:val="00A65FD1"/>
    <w:rsid w:val="00A66E5E"/>
    <w:rsid w:val="00A75D0A"/>
    <w:rsid w:val="00A8612B"/>
    <w:rsid w:val="00A86704"/>
    <w:rsid w:val="00A87FC5"/>
    <w:rsid w:val="00A9340D"/>
    <w:rsid w:val="00AA074B"/>
    <w:rsid w:val="00AA0AE0"/>
    <w:rsid w:val="00AA40F1"/>
    <w:rsid w:val="00AB7176"/>
    <w:rsid w:val="00AD6A20"/>
    <w:rsid w:val="00AD6F5C"/>
    <w:rsid w:val="00B0638E"/>
    <w:rsid w:val="00B06ACC"/>
    <w:rsid w:val="00B10EDB"/>
    <w:rsid w:val="00B13570"/>
    <w:rsid w:val="00B1396B"/>
    <w:rsid w:val="00B13AFB"/>
    <w:rsid w:val="00B143FA"/>
    <w:rsid w:val="00B20797"/>
    <w:rsid w:val="00B22CB3"/>
    <w:rsid w:val="00B2398F"/>
    <w:rsid w:val="00B24F0E"/>
    <w:rsid w:val="00B2753F"/>
    <w:rsid w:val="00B32399"/>
    <w:rsid w:val="00B35B16"/>
    <w:rsid w:val="00B47E58"/>
    <w:rsid w:val="00B53DD3"/>
    <w:rsid w:val="00B547DA"/>
    <w:rsid w:val="00B63FD4"/>
    <w:rsid w:val="00B72C82"/>
    <w:rsid w:val="00B72FCD"/>
    <w:rsid w:val="00B73F34"/>
    <w:rsid w:val="00B821C5"/>
    <w:rsid w:val="00B85F8B"/>
    <w:rsid w:val="00B8775E"/>
    <w:rsid w:val="00BA5DA2"/>
    <w:rsid w:val="00BB1C39"/>
    <w:rsid w:val="00BC2E92"/>
    <w:rsid w:val="00BD099A"/>
    <w:rsid w:val="00BD794E"/>
    <w:rsid w:val="00BE0AE4"/>
    <w:rsid w:val="00BF6EDD"/>
    <w:rsid w:val="00C001A5"/>
    <w:rsid w:val="00C01F6B"/>
    <w:rsid w:val="00C02415"/>
    <w:rsid w:val="00C03BC8"/>
    <w:rsid w:val="00C10B0B"/>
    <w:rsid w:val="00C114D1"/>
    <w:rsid w:val="00C11F0C"/>
    <w:rsid w:val="00C142C6"/>
    <w:rsid w:val="00C1655C"/>
    <w:rsid w:val="00C240C6"/>
    <w:rsid w:val="00C24E3E"/>
    <w:rsid w:val="00C25780"/>
    <w:rsid w:val="00C2651F"/>
    <w:rsid w:val="00C26C37"/>
    <w:rsid w:val="00C3177A"/>
    <w:rsid w:val="00C33B14"/>
    <w:rsid w:val="00C468C0"/>
    <w:rsid w:val="00C64A56"/>
    <w:rsid w:val="00C67457"/>
    <w:rsid w:val="00C72160"/>
    <w:rsid w:val="00C72289"/>
    <w:rsid w:val="00C74719"/>
    <w:rsid w:val="00C81CA5"/>
    <w:rsid w:val="00C859FF"/>
    <w:rsid w:val="00C86AF8"/>
    <w:rsid w:val="00C86D19"/>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04BE0"/>
    <w:rsid w:val="00D1028C"/>
    <w:rsid w:val="00D11331"/>
    <w:rsid w:val="00D1148C"/>
    <w:rsid w:val="00D12B8C"/>
    <w:rsid w:val="00D167A0"/>
    <w:rsid w:val="00D201B1"/>
    <w:rsid w:val="00D20402"/>
    <w:rsid w:val="00D21022"/>
    <w:rsid w:val="00D235B4"/>
    <w:rsid w:val="00D35058"/>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C35B4"/>
    <w:rsid w:val="00DC4E9F"/>
    <w:rsid w:val="00DC6572"/>
    <w:rsid w:val="00DD1C4E"/>
    <w:rsid w:val="00DE38A6"/>
    <w:rsid w:val="00DF34C7"/>
    <w:rsid w:val="00DF5B5E"/>
    <w:rsid w:val="00E0127A"/>
    <w:rsid w:val="00E029C5"/>
    <w:rsid w:val="00E074FA"/>
    <w:rsid w:val="00E178A7"/>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4303"/>
    <w:rsid w:val="00EB5ACB"/>
    <w:rsid w:val="00EC0FE9"/>
    <w:rsid w:val="00EC344D"/>
    <w:rsid w:val="00ED27AB"/>
    <w:rsid w:val="00ED6064"/>
    <w:rsid w:val="00ED70F3"/>
    <w:rsid w:val="00EE5D5F"/>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67A9"/>
    <w:rsid w:val="00F57887"/>
    <w:rsid w:val="00F57DE5"/>
    <w:rsid w:val="00F60E67"/>
    <w:rsid w:val="00F6457B"/>
    <w:rsid w:val="00F71E3B"/>
    <w:rsid w:val="00F74539"/>
    <w:rsid w:val="00F75A83"/>
    <w:rsid w:val="00F86C31"/>
    <w:rsid w:val="00F87E21"/>
    <w:rsid w:val="00F95E3E"/>
    <w:rsid w:val="00F96C59"/>
    <w:rsid w:val="00FA304C"/>
    <w:rsid w:val="00FB39B6"/>
    <w:rsid w:val="00FB3DD6"/>
    <w:rsid w:val="00FB4DC8"/>
    <w:rsid w:val="00FC58D6"/>
    <w:rsid w:val="00FD0430"/>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22</Pages>
  <Words>6130</Words>
  <Characters>33103</Characters>
  <Application>Microsoft Office Word</Application>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18</cp:revision>
  <cp:lastPrinted>2022-03-22T13:45:00Z</cp:lastPrinted>
  <dcterms:created xsi:type="dcterms:W3CDTF">2023-04-03T12:26:00Z</dcterms:created>
  <dcterms:modified xsi:type="dcterms:W3CDTF">2023-05-08T13:33:00Z</dcterms:modified>
</cp:coreProperties>
</file>