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7A8B377B" w:rsidR="00D02354" w:rsidRPr="00E60A26"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 xml:space="preserve">Αθήνα,  </w:t>
            </w:r>
            <w:r w:rsidR="0058612D" w:rsidRPr="00E60A26">
              <w:rPr>
                <w:rFonts w:ascii="Arial" w:hAnsi="Arial" w:cs="Arial"/>
                <w:b/>
                <w:bCs/>
                <w:noProof/>
                <w:color w:val="006896"/>
                <w:sz w:val="20"/>
                <w:szCs w:val="20"/>
              </w:rPr>
              <w:t>02.08.2023</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CC6168">
      <w:pPr>
        <w:rPr>
          <w:noProof/>
          <w:sz w:val="16"/>
          <w:szCs w:val="16"/>
        </w:rPr>
      </w:pPr>
    </w:p>
    <w:p w14:paraId="5F0EC459" w14:textId="34A04CA7" w:rsidR="00CF2420" w:rsidRDefault="00CF2420" w:rsidP="00CF2420">
      <w:pPr>
        <w:rPr>
          <w:noProof/>
          <w:sz w:val="16"/>
          <w:szCs w:val="16"/>
        </w:rPr>
      </w:pPr>
    </w:p>
    <w:p w14:paraId="2B222EE0" w14:textId="77777777" w:rsidR="0058612D" w:rsidRDefault="0058612D" w:rsidP="0058612D">
      <w:pPr>
        <w:jc w:val="center"/>
        <w:rPr>
          <w:rFonts w:ascii="Arial" w:hAnsi="Arial" w:cstheme="minorHAnsi"/>
          <w:b/>
          <w:bCs/>
          <w:sz w:val="22"/>
          <w:szCs w:val="22"/>
        </w:rPr>
      </w:pPr>
      <w:r>
        <w:rPr>
          <w:rFonts w:ascii="Arial" w:hAnsi="Arial" w:cstheme="minorHAnsi"/>
          <w:b/>
          <w:bCs/>
          <w:sz w:val="22"/>
          <w:szCs w:val="22"/>
        </w:rPr>
        <w:t>Παράταση του προγράμματος κατάρτισης 150.000 εργαζομένων</w:t>
      </w:r>
    </w:p>
    <w:p w14:paraId="6092E74C" w14:textId="318CEB00" w:rsidR="004A3D4D" w:rsidRDefault="0058612D" w:rsidP="00A67C42">
      <w:pPr>
        <w:jc w:val="both"/>
        <w:rPr>
          <w:rFonts w:ascii="Arial" w:hAnsi="Arial" w:cstheme="minorHAnsi"/>
          <w:sz w:val="22"/>
          <w:szCs w:val="22"/>
        </w:rPr>
      </w:pPr>
      <w:r>
        <w:rPr>
          <w:rFonts w:ascii="Arial" w:hAnsi="Arial" w:cstheme="minorHAnsi"/>
          <w:sz w:val="22"/>
          <w:szCs w:val="22"/>
        </w:rPr>
        <w:t xml:space="preserve"> </w:t>
      </w:r>
      <w:r>
        <w:rPr>
          <w:rFonts w:ascii="Arial" w:hAnsi="Arial" w:cstheme="minorHAnsi"/>
          <w:sz w:val="22"/>
          <w:szCs w:val="22"/>
        </w:rPr>
        <w:br/>
      </w:r>
      <w:r>
        <w:rPr>
          <w:rFonts w:ascii="Arial" w:hAnsi="Arial" w:cstheme="minorHAnsi"/>
          <w:sz w:val="22"/>
          <w:szCs w:val="22"/>
        </w:rPr>
        <w:br/>
        <w:t xml:space="preserve">Παρατείνεται έως τις </w:t>
      </w:r>
      <w:r>
        <w:rPr>
          <w:rFonts w:ascii="Arial" w:hAnsi="Arial" w:cstheme="minorHAnsi"/>
          <w:b/>
          <w:bCs/>
          <w:sz w:val="22"/>
          <w:szCs w:val="22"/>
        </w:rPr>
        <w:t>14 Οκτωβρίου 2023</w:t>
      </w:r>
      <w:r>
        <w:rPr>
          <w:rFonts w:ascii="Arial" w:hAnsi="Arial" w:cstheme="minorHAnsi"/>
          <w:sz w:val="22"/>
          <w:szCs w:val="22"/>
        </w:rPr>
        <w:t xml:space="preserve"> η προθεσμία λήξης του προγράμματος αναβάθμισης δεξιοτήτων και επανακατάρτισης εργαζομένων σε κλάδους υψηλής ζήτησης</w:t>
      </w:r>
      <w:bookmarkStart w:id="0" w:name="_GoBack"/>
      <w:bookmarkEnd w:id="0"/>
      <w:r>
        <w:rPr>
          <w:rFonts w:ascii="Arial" w:hAnsi="Arial" w:cstheme="minorHAnsi"/>
          <w:sz w:val="22"/>
          <w:szCs w:val="22"/>
        </w:rPr>
        <w:t xml:space="preserve"> με έμφαση στις ψηφιακές και πράσινες δεξιότητες</w:t>
      </w:r>
      <w:r w:rsidR="004A3D4D">
        <w:rPr>
          <w:rFonts w:ascii="Arial" w:hAnsi="Arial" w:cstheme="minorHAnsi"/>
          <w:sz w:val="22"/>
          <w:szCs w:val="22"/>
        </w:rPr>
        <w:t>,</w:t>
      </w:r>
      <w:r>
        <w:rPr>
          <w:rFonts w:ascii="Arial" w:hAnsi="Arial" w:cstheme="minorHAnsi"/>
          <w:sz w:val="22"/>
          <w:szCs w:val="22"/>
        </w:rPr>
        <w:t xml:space="preserve"> που χρηματοδοτείται από το Ταμείο Ανάκαμψης και Ανθεκτικότητας.</w:t>
      </w:r>
    </w:p>
    <w:p w14:paraId="30380EC8" w14:textId="77777777" w:rsidR="004A3D4D" w:rsidRDefault="004A3D4D" w:rsidP="00A67C42">
      <w:pPr>
        <w:jc w:val="both"/>
        <w:rPr>
          <w:rFonts w:ascii="Arial" w:hAnsi="Arial" w:cstheme="minorHAnsi"/>
          <w:sz w:val="22"/>
          <w:szCs w:val="22"/>
        </w:rPr>
      </w:pPr>
    </w:p>
    <w:p w14:paraId="4AEDA929" w14:textId="6ADDF715" w:rsidR="0058612D" w:rsidRDefault="004A3D4D" w:rsidP="00A67C42">
      <w:pPr>
        <w:jc w:val="both"/>
      </w:pPr>
      <w:r>
        <w:rPr>
          <w:rFonts w:ascii="Arial" w:hAnsi="Arial" w:cstheme="minorHAnsi"/>
          <w:sz w:val="22"/>
          <w:szCs w:val="22"/>
        </w:rPr>
        <w:t xml:space="preserve">Επίσης, ως </w:t>
      </w:r>
      <w:r w:rsidR="00C25E0A">
        <w:rPr>
          <w:rFonts w:ascii="Arial" w:hAnsi="Arial" w:cstheme="minorHAnsi"/>
          <w:sz w:val="22"/>
          <w:szCs w:val="22"/>
        </w:rPr>
        <w:t xml:space="preserve">καταληκτική </w:t>
      </w:r>
      <w:r w:rsidR="0058612D">
        <w:rPr>
          <w:rFonts w:ascii="Arial" w:hAnsi="Arial" w:cstheme="minorHAnsi"/>
          <w:sz w:val="22"/>
          <w:szCs w:val="22"/>
        </w:rPr>
        <w:t xml:space="preserve">προθεσμία για την έναρξη των τμημάτων κατάρτισης </w:t>
      </w:r>
      <w:r>
        <w:rPr>
          <w:rFonts w:ascii="Arial" w:hAnsi="Arial" w:cstheme="minorHAnsi"/>
          <w:sz w:val="22"/>
          <w:szCs w:val="22"/>
        </w:rPr>
        <w:t>ορίστηκε</w:t>
      </w:r>
      <w:r w:rsidR="00A67C42">
        <w:rPr>
          <w:rFonts w:ascii="Arial" w:hAnsi="Arial" w:cstheme="minorHAnsi"/>
          <w:sz w:val="22"/>
          <w:szCs w:val="22"/>
        </w:rPr>
        <w:t xml:space="preserve"> </w:t>
      </w:r>
      <w:r w:rsidR="0058612D">
        <w:rPr>
          <w:rFonts w:ascii="Arial" w:hAnsi="Arial" w:cstheme="minorHAnsi"/>
          <w:sz w:val="22"/>
          <w:szCs w:val="22"/>
        </w:rPr>
        <w:t xml:space="preserve">η </w:t>
      </w:r>
      <w:r w:rsidR="0058612D">
        <w:rPr>
          <w:rFonts w:ascii="Arial" w:hAnsi="Arial" w:cstheme="minorHAnsi"/>
          <w:b/>
          <w:bCs/>
          <w:sz w:val="22"/>
          <w:szCs w:val="22"/>
        </w:rPr>
        <w:t>11η Σεπτεμβρίου 2023</w:t>
      </w:r>
      <w:r w:rsidR="0058612D">
        <w:rPr>
          <w:rFonts w:ascii="Arial" w:hAnsi="Arial" w:cstheme="minorHAnsi"/>
          <w:sz w:val="22"/>
          <w:szCs w:val="22"/>
        </w:rPr>
        <w:t>.</w:t>
      </w:r>
    </w:p>
    <w:p w14:paraId="1A7F671C" w14:textId="12253BCD" w:rsidR="0058612D" w:rsidRDefault="0058612D" w:rsidP="0058612D">
      <w:pPr>
        <w:jc w:val="both"/>
        <w:rPr>
          <w:rFonts w:ascii="Arial" w:hAnsi="Arial" w:cstheme="minorHAnsi"/>
          <w:sz w:val="22"/>
          <w:szCs w:val="22"/>
        </w:rPr>
      </w:pPr>
      <w:r>
        <w:rPr>
          <w:rFonts w:ascii="Arial" w:hAnsi="Arial" w:cstheme="minorHAnsi"/>
          <w:sz w:val="22"/>
          <w:szCs w:val="22"/>
        </w:rPr>
        <w:br/>
        <w:t xml:space="preserve">Η δράση δίνει τη δυνατότητα σε 150.000 μισθωτούς εργαζόμενους του ιδιωτικού τομέα να αποκτήσουν ή να αναβαθμίσουν τις ψηφιακές και πράσινες δεξιότητές τους και υλοποιείται στο πλαίσιο του Εθνικού Σχεδίου Ανάκαμψης και Ανθεκτικότητας «Ελλάδα 2.0» με χρηματοδότηση της Ευρωπαϊκής Ένωσης </w:t>
      </w:r>
      <w:r w:rsidR="00E60A26">
        <w:rPr>
          <w:rFonts w:ascii="Arial" w:hAnsi="Arial" w:cstheme="minorHAnsi"/>
          <w:sz w:val="22"/>
          <w:szCs w:val="22"/>
        </w:rPr>
        <w:t>–</w:t>
      </w:r>
      <w:r>
        <w:rPr>
          <w:rFonts w:ascii="Arial" w:hAnsi="Arial" w:cstheme="minorHAnsi"/>
          <w:sz w:val="22"/>
          <w:szCs w:val="22"/>
        </w:rPr>
        <w:t xml:space="preserve"> </w:t>
      </w:r>
      <w:proofErr w:type="spellStart"/>
      <w:r>
        <w:rPr>
          <w:rFonts w:ascii="Arial" w:hAnsi="Arial" w:cstheme="minorHAnsi"/>
          <w:sz w:val="22"/>
          <w:szCs w:val="22"/>
        </w:rPr>
        <w:t>NextGenerationEU</w:t>
      </w:r>
      <w:proofErr w:type="spellEnd"/>
      <w:r w:rsidR="00E60A26" w:rsidRPr="00E60A26">
        <w:rPr>
          <w:rFonts w:ascii="Arial" w:hAnsi="Arial" w:cstheme="minorHAnsi"/>
          <w:sz w:val="22"/>
          <w:szCs w:val="22"/>
        </w:rPr>
        <w:t>,</w:t>
      </w:r>
      <w:r>
        <w:rPr>
          <w:rFonts w:ascii="Arial" w:hAnsi="Arial" w:cstheme="minorHAnsi"/>
          <w:sz w:val="22"/>
          <w:szCs w:val="22"/>
        </w:rPr>
        <w:t xml:space="preserve"> ύψους 155 εκατομμυρίων ευρώ.</w:t>
      </w:r>
    </w:p>
    <w:p w14:paraId="08F80613" w14:textId="77777777" w:rsidR="00E60A26" w:rsidRDefault="0058612D" w:rsidP="0058612D">
      <w:pPr>
        <w:jc w:val="both"/>
        <w:rPr>
          <w:rFonts w:ascii="Arial" w:hAnsi="Arial" w:cstheme="minorHAnsi"/>
          <w:sz w:val="22"/>
          <w:szCs w:val="22"/>
        </w:rPr>
      </w:pPr>
      <w:r>
        <w:rPr>
          <w:rFonts w:ascii="Arial" w:hAnsi="Arial" w:cstheme="minorHAnsi"/>
          <w:sz w:val="22"/>
          <w:szCs w:val="22"/>
        </w:rPr>
        <w:br/>
        <w:t>Οι καταρτιζόμενοι παρακολουθούν ένα πρόγραμμα θεωρητικής κατάρτισης διάρκειας 80 ωρών και κατόπιν συμμετέχουν σε εξετάσεις ανεξάρτητων φορέων πιστοποίησης. Κάθε εργαζόμενος που ολοκληρώνει το πρόγραμμα της επιλογής του και συμμετέχει επιτυχώς στις εξετάσεις πιστοποίησης, λαμβάνει εκπαιδευτικό επίδομα ύψους 5 ευρώ ανά ώρα κατάρτισης, δηλαδή συνολικά 400 ευρώ μικτά.</w:t>
      </w:r>
    </w:p>
    <w:p w14:paraId="5EA004D3" w14:textId="77777777" w:rsidR="00E60A26" w:rsidRDefault="00E60A26" w:rsidP="0058612D">
      <w:pPr>
        <w:jc w:val="both"/>
        <w:rPr>
          <w:rFonts w:ascii="Arial" w:hAnsi="Arial" w:cstheme="minorHAnsi"/>
          <w:sz w:val="22"/>
          <w:szCs w:val="22"/>
        </w:rPr>
      </w:pPr>
    </w:p>
    <w:p w14:paraId="24A34F27" w14:textId="2E0DB330" w:rsidR="0058612D" w:rsidRDefault="0058612D" w:rsidP="0058612D">
      <w:pPr>
        <w:jc w:val="both"/>
        <w:rPr>
          <w:rFonts w:ascii="Arial" w:hAnsi="Arial" w:cstheme="minorHAnsi"/>
          <w:sz w:val="22"/>
          <w:szCs w:val="22"/>
        </w:rPr>
      </w:pPr>
      <w:r>
        <w:rPr>
          <w:rFonts w:ascii="Arial" w:hAnsi="Arial" w:cstheme="minorHAnsi"/>
          <w:sz w:val="22"/>
          <w:szCs w:val="22"/>
        </w:rPr>
        <w:t>Σε συνεργασία με τα Κέντρα Επιμόρφωσης και Δια Βίου Μάθησης (</w:t>
      </w:r>
      <w:proofErr w:type="spellStart"/>
      <w:r>
        <w:rPr>
          <w:rFonts w:ascii="Arial" w:hAnsi="Arial" w:cstheme="minorHAnsi"/>
          <w:sz w:val="22"/>
          <w:szCs w:val="22"/>
        </w:rPr>
        <w:t>ΚΕΔιΒιΜ</w:t>
      </w:r>
      <w:proofErr w:type="spellEnd"/>
      <w:r>
        <w:rPr>
          <w:rFonts w:ascii="Arial" w:hAnsi="Arial" w:cstheme="minorHAnsi"/>
          <w:sz w:val="22"/>
          <w:szCs w:val="22"/>
        </w:rPr>
        <w:t xml:space="preserve">) των Πανεπιστημίων, </w:t>
      </w:r>
      <w:proofErr w:type="spellStart"/>
      <w:r>
        <w:rPr>
          <w:rFonts w:ascii="Arial" w:hAnsi="Arial" w:cstheme="minorHAnsi"/>
          <w:sz w:val="22"/>
          <w:szCs w:val="22"/>
        </w:rPr>
        <w:t>αδειοδοτημένα</w:t>
      </w:r>
      <w:proofErr w:type="spellEnd"/>
      <w:r>
        <w:rPr>
          <w:rFonts w:ascii="Arial" w:hAnsi="Arial" w:cstheme="minorHAnsi"/>
          <w:sz w:val="22"/>
          <w:szCs w:val="22"/>
        </w:rPr>
        <w:t xml:space="preserve"> Κέντρα Δια Βίου Μάθησης (ΚΔΒΜ) και διεθνείς κολοσσούς τεχνολογίας, η ΔΥΠΑ προσφέρει στους εργαζόμενους μία μεγάλη λίστα επιμέρους προγραμμάτων κατάρτισης από τα οποία μπορούν να επιλέξουν, ανάλογα με το εκπαιδευτικό και επαγγελματικό τους προφίλ.</w:t>
      </w:r>
    </w:p>
    <w:p w14:paraId="28204491" w14:textId="77777777" w:rsidR="0058612D" w:rsidRDefault="0058612D" w:rsidP="0058612D">
      <w:pPr>
        <w:jc w:val="both"/>
      </w:pPr>
    </w:p>
    <w:p w14:paraId="78F32765" w14:textId="77777777" w:rsidR="0058612D" w:rsidRDefault="0058612D" w:rsidP="0058612D">
      <w:pPr>
        <w:jc w:val="both"/>
        <w:rPr>
          <w:rFonts w:ascii="Arial" w:hAnsi="Arial" w:cstheme="minorHAnsi"/>
          <w:b/>
          <w:bCs/>
          <w:sz w:val="22"/>
          <w:szCs w:val="22"/>
        </w:rPr>
      </w:pPr>
      <w:r>
        <w:rPr>
          <w:rFonts w:ascii="Arial" w:hAnsi="Arial" w:cstheme="minorHAnsi"/>
          <w:sz w:val="22"/>
          <w:szCs w:val="22"/>
        </w:rPr>
        <w:t>Για περισσότερες πληροφορίες επισκεφτείτε τον ιστότοπο της ΔΥΠΑ:</w:t>
      </w:r>
    </w:p>
    <w:p w14:paraId="7096B6A3" w14:textId="4AA5A904" w:rsidR="004B441E" w:rsidRPr="004B441E" w:rsidRDefault="00CC290A" w:rsidP="004B441E">
      <w:pPr>
        <w:rPr>
          <w:sz w:val="16"/>
          <w:szCs w:val="16"/>
        </w:rPr>
      </w:pPr>
      <w:hyperlink r:id="rId12">
        <w:r w:rsidR="0058612D">
          <w:rPr>
            <w:rStyle w:val="af2"/>
            <w:rFonts w:ascii="Arial" w:hAnsi="Arial" w:cstheme="minorHAnsi"/>
            <w:color w:val="2A6099"/>
            <w:sz w:val="22"/>
            <w:szCs w:val="22"/>
          </w:rPr>
          <w:t>https://www.dypa.gov.gr/proghrammata-katartisis-ghia-to-tamio-anakampsis?tab=proghrammata-katartisis-se-psifiakes-kai-prasines-deksiotites-ghia-150000-erghazomenoys&amp;tab2=&amp;tab3=</w:t>
        </w:r>
      </w:hyperlink>
      <w:r w:rsidR="00323AD5" w:rsidRPr="00323AD5">
        <w:rPr>
          <w:rStyle w:val="af2"/>
          <w:rFonts w:ascii="Arial" w:hAnsi="Arial" w:cstheme="minorHAnsi"/>
          <w:color w:val="2A6099"/>
          <w:sz w:val="22"/>
          <w:szCs w:val="22"/>
        </w:rPr>
        <w:t xml:space="preserve"> </w:t>
      </w:r>
    </w:p>
    <w:p w14:paraId="77F897D3" w14:textId="16E5621B" w:rsidR="004B441E" w:rsidRPr="004B441E" w:rsidRDefault="004B441E" w:rsidP="004B441E">
      <w:pPr>
        <w:rPr>
          <w:sz w:val="16"/>
          <w:szCs w:val="16"/>
        </w:rPr>
      </w:pPr>
    </w:p>
    <w:p w14:paraId="1CDFCFCC" w14:textId="513380E7" w:rsidR="004B441E" w:rsidRPr="004B441E" w:rsidRDefault="004B441E" w:rsidP="004B441E">
      <w:pPr>
        <w:rPr>
          <w:sz w:val="16"/>
          <w:szCs w:val="16"/>
        </w:rPr>
      </w:pPr>
    </w:p>
    <w:p w14:paraId="3FE4F5CF" w14:textId="4DB6E283" w:rsidR="004B441E" w:rsidRPr="004B441E" w:rsidRDefault="004B441E" w:rsidP="004B441E">
      <w:pPr>
        <w:rPr>
          <w:sz w:val="16"/>
          <w:szCs w:val="16"/>
        </w:rPr>
      </w:pPr>
    </w:p>
    <w:p w14:paraId="7C1C8D09" w14:textId="6E5B7D1D" w:rsidR="004B441E" w:rsidRPr="004B441E" w:rsidRDefault="004B441E" w:rsidP="004B441E">
      <w:pPr>
        <w:rPr>
          <w:sz w:val="16"/>
          <w:szCs w:val="16"/>
        </w:rPr>
      </w:pPr>
    </w:p>
    <w:p w14:paraId="46DBC2A3" w14:textId="77C6BFDA" w:rsidR="004B441E" w:rsidRPr="004B441E" w:rsidRDefault="004B441E" w:rsidP="004B441E">
      <w:pPr>
        <w:rPr>
          <w:sz w:val="16"/>
          <w:szCs w:val="16"/>
        </w:rPr>
      </w:pPr>
    </w:p>
    <w:p w14:paraId="1EBB09D4" w14:textId="0874D8C5" w:rsidR="004B441E" w:rsidRPr="004B441E" w:rsidRDefault="004B441E" w:rsidP="004B441E">
      <w:pPr>
        <w:rPr>
          <w:sz w:val="16"/>
          <w:szCs w:val="16"/>
        </w:rPr>
      </w:pPr>
    </w:p>
    <w:p w14:paraId="05ACAD60" w14:textId="4C83EB01" w:rsidR="004B441E" w:rsidRPr="004B441E" w:rsidRDefault="004B441E" w:rsidP="004B441E">
      <w:pPr>
        <w:rPr>
          <w:sz w:val="16"/>
          <w:szCs w:val="16"/>
        </w:rPr>
      </w:pPr>
    </w:p>
    <w:p w14:paraId="7BDB68DD" w14:textId="2B52EEE2" w:rsidR="004B441E" w:rsidRPr="004B441E" w:rsidRDefault="004B441E" w:rsidP="004B441E">
      <w:pPr>
        <w:rPr>
          <w:sz w:val="16"/>
          <w:szCs w:val="16"/>
        </w:rPr>
      </w:pPr>
    </w:p>
    <w:p w14:paraId="27A30CAD" w14:textId="352A01A5" w:rsidR="004B441E" w:rsidRPr="004B441E" w:rsidRDefault="004B441E" w:rsidP="004B441E">
      <w:pPr>
        <w:rPr>
          <w:sz w:val="16"/>
          <w:szCs w:val="16"/>
        </w:rPr>
      </w:pPr>
    </w:p>
    <w:p w14:paraId="5FBC60DF" w14:textId="58DD3688" w:rsidR="004B441E" w:rsidRPr="004B441E" w:rsidRDefault="004B441E" w:rsidP="004B441E">
      <w:pPr>
        <w:rPr>
          <w:sz w:val="16"/>
          <w:szCs w:val="16"/>
        </w:rPr>
      </w:pPr>
    </w:p>
    <w:sectPr w:rsidR="004B441E" w:rsidRPr="004B441E" w:rsidSect="00417B17">
      <w:headerReference w:type="even" r:id="rId13"/>
      <w:headerReference w:type="default" r:id="rId14"/>
      <w:footerReference w:type="even" r:id="rId15"/>
      <w:footerReference w:type="default" r:id="rId16"/>
      <w:headerReference w:type="first" r:id="rId17"/>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85E1" w14:textId="77777777" w:rsidR="00CC290A" w:rsidRDefault="00CC290A">
      <w:r>
        <w:separator/>
      </w:r>
    </w:p>
  </w:endnote>
  <w:endnote w:type="continuationSeparator" w:id="0">
    <w:p w14:paraId="46C88526" w14:textId="77777777" w:rsidR="00CC290A" w:rsidRDefault="00CC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1295" w14:textId="77777777" w:rsidR="00CC290A" w:rsidRDefault="00CC290A">
      <w:r>
        <w:separator/>
      </w:r>
    </w:p>
  </w:footnote>
  <w:footnote w:type="continuationSeparator" w:id="0">
    <w:p w14:paraId="0CFC7DF4" w14:textId="77777777" w:rsidR="00CC290A" w:rsidRDefault="00CC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CC290A">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CC290A">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CC290A">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631F1"/>
    <w:rsid w:val="000766C8"/>
    <w:rsid w:val="000813EB"/>
    <w:rsid w:val="000877A2"/>
    <w:rsid w:val="00087ACB"/>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BAE"/>
    <w:rsid w:val="001A379A"/>
    <w:rsid w:val="001C0BBD"/>
    <w:rsid w:val="001C66F7"/>
    <w:rsid w:val="001D5BC9"/>
    <w:rsid w:val="001E1D21"/>
    <w:rsid w:val="001F12B4"/>
    <w:rsid w:val="001F33E0"/>
    <w:rsid w:val="00201BAB"/>
    <w:rsid w:val="00204B3C"/>
    <w:rsid w:val="002104CE"/>
    <w:rsid w:val="0024101B"/>
    <w:rsid w:val="002530B0"/>
    <w:rsid w:val="0026007D"/>
    <w:rsid w:val="00263AD9"/>
    <w:rsid w:val="00274BD5"/>
    <w:rsid w:val="00285EA3"/>
    <w:rsid w:val="002A4F0F"/>
    <w:rsid w:val="002B3459"/>
    <w:rsid w:val="002B45F7"/>
    <w:rsid w:val="002C318A"/>
    <w:rsid w:val="002C44E7"/>
    <w:rsid w:val="002C44F9"/>
    <w:rsid w:val="002D2CA8"/>
    <w:rsid w:val="002D3489"/>
    <w:rsid w:val="002D43C5"/>
    <w:rsid w:val="002D70EE"/>
    <w:rsid w:val="002E579C"/>
    <w:rsid w:val="00301125"/>
    <w:rsid w:val="00314E9A"/>
    <w:rsid w:val="003160E0"/>
    <w:rsid w:val="00321312"/>
    <w:rsid w:val="0032394B"/>
    <w:rsid w:val="00323AD5"/>
    <w:rsid w:val="00341A16"/>
    <w:rsid w:val="00343828"/>
    <w:rsid w:val="00344BDB"/>
    <w:rsid w:val="003505CB"/>
    <w:rsid w:val="00361DCA"/>
    <w:rsid w:val="00375DE8"/>
    <w:rsid w:val="003769A9"/>
    <w:rsid w:val="00386E1C"/>
    <w:rsid w:val="003910FF"/>
    <w:rsid w:val="00391BDD"/>
    <w:rsid w:val="00394501"/>
    <w:rsid w:val="003A7C70"/>
    <w:rsid w:val="003B12C0"/>
    <w:rsid w:val="003B42D6"/>
    <w:rsid w:val="003C2CD7"/>
    <w:rsid w:val="003C422D"/>
    <w:rsid w:val="003C7F4A"/>
    <w:rsid w:val="003E11DE"/>
    <w:rsid w:val="003E32AD"/>
    <w:rsid w:val="00403332"/>
    <w:rsid w:val="00407CE6"/>
    <w:rsid w:val="00410F3A"/>
    <w:rsid w:val="004171A9"/>
    <w:rsid w:val="00417B17"/>
    <w:rsid w:val="00422A04"/>
    <w:rsid w:val="00424330"/>
    <w:rsid w:val="0042559F"/>
    <w:rsid w:val="0042674A"/>
    <w:rsid w:val="00432D25"/>
    <w:rsid w:val="004363B1"/>
    <w:rsid w:val="00467788"/>
    <w:rsid w:val="00476851"/>
    <w:rsid w:val="0048686C"/>
    <w:rsid w:val="004964D2"/>
    <w:rsid w:val="004977E0"/>
    <w:rsid w:val="004A3D4D"/>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8612D"/>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510C"/>
    <w:rsid w:val="00670556"/>
    <w:rsid w:val="006744EF"/>
    <w:rsid w:val="006A7547"/>
    <w:rsid w:val="006B4391"/>
    <w:rsid w:val="006B62C6"/>
    <w:rsid w:val="006B63A7"/>
    <w:rsid w:val="006B7092"/>
    <w:rsid w:val="006C6E5B"/>
    <w:rsid w:val="006D0CF9"/>
    <w:rsid w:val="006D22C6"/>
    <w:rsid w:val="006D64A8"/>
    <w:rsid w:val="006E1D91"/>
    <w:rsid w:val="006E55BF"/>
    <w:rsid w:val="006F5D6D"/>
    <w:rsid w:val="006F7034"/>
    <w:rsid w:val="00703991"/>
    <w:rsid w:val="00717B16"/>
    <w:rsid w:val="00734EE9"/>
    <w:rsid w:val="00777B36"/>
    <w:rsid w:val="007A0DF8"/>
    <w:rsid w:val="007A3852"/>
    <w:rsid w:val="007A4FFB"/>
    <w:rsid w:val="007B1454"/>
    <w:rsid w:val="007C5CAC"/>
    <w:rsid w:val="007E4173"/>
    <w:rsid w:val="007E52C1"/>
    <w:rsid w:val="007E63E8"/>
    <w:rsid w:val="007E74BD"/>
    <w:rsid w:val="007F2E19"/>
    <w:rsid w:val="00826BC1"/>
    <w:rsid w:val="00837EFF"/>
    <w:rsid w:val="00860DF7"/>
    <w:rsid w:val="00861452"/>
    <w:rsid w:val="00864C4A"/>
    <w:rsid w:val="00865D4F"/>
    <w:rsid w:val="00871B0B"/>
    <w:rsid w:val="00894CEE"/>
    <w:rsid w:val="008A5143"/>
    <w:rsid w:val="008A7C37"/>
    <w:rsid w:val="008B2E6E"/>
    <w:rsid w:val="008C4E97"/>
    <w:rsid w:val="008D05C5"/>
    <w:rsid w:val="008D0EF8"/>
    <w:rsid w:val="008F24F7"/>
    <w:rsid w:val="0093009C"/>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41C6C"/>
    <w:rsid w:val="00A4564F"/>
    <w:rsid w:val="00A63533"/>
    <w:rsid w:val="00A67C42"/>
    <w:rsid w:val="00A87251"/>
    <w:rsid w:val="00A910B3"/>
    <w:rsid w:val="00AA4739"/>
    <w:rsid w:val="00AB3CC9"/>
    <w:rsid w:val="00AB7464"/>
    <w:rsid w:val="00AC1331"/>
    <w:rsid w:val="00AC7CF1"/>
    <w:rsid w:val="00AD53D9"/>
    <w:rsid w:val="00AE2B31"/>
    <w:rsid w:val="00AF615B"/>
    <w:rsid w:val="00B20203"/>
    <w:rsid w:val="00B37A64"/>
    <w:rsid w:val="00B43B68"/>
    <w:rsid w:val="00B52CDE"/>
    <w:rsid w:val="00B61BE9"/>
    <w:rsid w:val="00B6339D"/>
    <w:rsid w:val="00B65FBA"/>
    <w:rsid w:val="00B84DA3"/>
    <w:rsid w:val="00B958C6"/>
    <w:rsid w:val="00BA6688"/>
    <w:rsid w:val="00BB3CB8"/>
    <w:rsid w:val="00BC4880"/>
    <w:rsid w:val="00BD35B0"/>
    <w:rsid w:val="00BF1C8B"/>
    <w:rsid w:val="00C031BB"/>
    <w:rsid w:val="00C121C7"/>
    <w:rsid w:val="00C15C51"/>
    <w:rsid w:val="00C22314"/>
    <w:rsid w:val="00C22A45"/>
    <w:rsid w:val="00C25E0A"/>
    <w:rsid w:val="00C26B94"/>
    <w:rsid w:val="00C309CF"/>
    <w:rsid w:val="00C74424"/>
    <w:rsid w:val="00CA07FA"/>
    <w:rsid w:val="00CA7964"/>
    <w:rsid w:val="00CC290A"/>
    <w:rsid w:val="00CC6168"/>
    <w:rsid w:val="00CD2AA9"/>
    <w:rsid w:val="00CD3287"/>
    <w:rsid w:val="00CD3940"/>
    <w:rsid w:val="00CD539A"/>
    <w:rsid w:val="00CF1A8E"/>
    <w:rsid w:val="00CF1C24"/>
    <w:rsid w:val="00CF1F7F"/>
    <w:rsid w:val="00CF2420"/>
    <w:rsid w:val="00CF25E6"/>
    <w:rsid w:val="00D02354"/>
    <w:rsid w:val="00D03BFA"/>
    <w:rsid w:val="00D0514A"/>
    <w:rsid w:val="00D317EF"/>
    <w:rsid w:val="00D37A8B"/>
    <w:rsid w:val="00D44991"/>
    <w:rsid w:val="00D46C48"/>
    <w:rsid w:val="00D52C58"/>
    <w:rsid w:val="00D55A3B"/>
    <w:rsid w:val="00D70DCA"/>
    <w:rsid w:val="00D82A22"/>
    <w:rsid w:val="00D86698"/>
    <w:rsid w:val="00DA09DF"/>
    <w:rsid w:val="00DB02F4"/>
    <w:rsid w:val="00DD36A9"/>
    <w:rsid w:val="00E00D42"/>
    <w:rsid w:val="00E06A81"/>
    <w:rsid w:val="00E070EA"/>
    <w:rsid w:val="00E07178"/>
    <w:rsid w:val="00E17C05"/>
    <w:rsid w:val="00E27FDE"/>
    <w:rsid w:val="00E35485"/>
    <w:rsid w:val="00E3636B"/>
    <w:rsid w:val="00E36B4D"/>
    <w:rsid w:val="00E50643"/>
    <w:rsid w:val="00E50FAB"/>
    <w:rsid w:val="00E54C09"/>
    <w:rsid w:val="00E60A26"/>
    <w:rsid w:val="00E658A8"/>
    <w:rsid w:val="00E71154"/>
    <w:rsid w:val="00E71F64"/>
    <w:rsid w:val="00E83C8B"/>
    <w:rsid w:val="00E85D04"/>
    <w:rsid w:val="00E8686F"/>
    <w:rsid w:val="00E86B25"/>
    <w:rsid w:val="00EA2C8A"/>
    <w:rsid w:val="00EA655C"/>
    <w:rsid w:val="00EA7908"/>
    <w:rsid w:val="00EB1D07"/>
    <w:rsid w:val="00EC4A58"/>
    <w:rsid w:val="00EC7180"/>
    <w:rsid w:val="00EE0935"/>
    <w:rsid w:val="00EF12A7"/>
    <w:rsid w:val="00F10531"/>
    <w:rsid w:val="00F41C4F"/>
    <w:rsid w:val="00F465C2"/>
    <w:rsid w:val="00F53634"/>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character" w:customStyle="1" w:styleId="af2">
    <w:name w:val="Αναγνωσμένος δεσμός διαδικτύου"/>
    <w:rsid w:val="0058612D"/>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ypa.gov.gr/proghrammata-katartisis-ghia-to-tamio-anakampsis?tab=proghrammata-katartisis-se-psifiakes-kai-prasines-deksiotites-ghia-150000-erghazomenoys&amp;tab2=&amp;tab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CB6E9-1877-4597-97E2-5B28E1F7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3</cp:revision>
  <cp:lastPrinted>2021-09-20T12:20:00Z</cp:lastPrinted>
  <dcterms:created xsi:type="dcterms:W3CDTF">2023-08-02T08:31:00Z</dcterms:created>
  <dcterms:modified xsi:type="dcterms:W3CDTF">2023-08-02T08:35:00Z</dcterms:modified>
</cp:coreProperties>
</file>