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946" w:rsidRDefault="00F33946" w:rsidP="00F33946">
      <w:pPr>
        <w:jc w:val="center"/>
        <w:rPr>
          <w:sz w:val="4"/>
          <w:szCs w:val="4"/>
        </w:rPr>
      </w:pPr>
      <w:r>
        <w:rPr>
          <w:noProof/>
        </w:rPr>
        <w:drawing>
          <wp:inline distT="0" distB="0" distL="0" distR="0">
            <wp:extent cx="571500" cy="542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1500" cy="542925"/>
                    </a:xfrm>
                    <a:prstGeom prst="rect">
                      <a:avLst/>
                    </a:prstGeom>
                    <a:noFill/>
                    <a:ln w="9525">
                      <a:noFill/>
                      <a:miter lim="800000"/>
                      <a:headEnd/>
                      <a:tailEnd/>
                    </a:ln>
                  </pic:spPr>
                </pic:pic>
              </a:graphicData>
            </a:graphic>
          </wp:inline>
        </w:drawing>
      </w:r>
    </w:p>
    <w:p w:rsidR="00F33946" w:rsidRDefault="00F33946" w:rsidP="00F33946">
      <w:pPr>
        <w:jc w:val="center"/>
        <w:rPr>
          <w:lang w:val="el-GR"/>
        </w:rPr>
      </w:pPr>
      <w:r w:rsidRPr="008A3E3B">
        <w:rPr>
          <w:lang w:val="el-GR"/>
        </w:rPr>
        <w:t>ΠΡΕΣΒΕΙΑ ΤΗΣ ΕΛΛΑΔΟΣ</w:t>
      </w:r>
    </w:p>
    <w:p w:rsidR="00F33946" w:rsidRDefault="00F33946" w:rsidP="00F33946">
      <w:pPr>
        <w:jc w:val="center"/>
        <w:rPr>
          <w:b/>
          <w:lang w:val="el-GR"/>
        </w:rPr>
      </w:pPr>
      <w:r w:rsidRPr="008A3E3B">
        <w:rPr>
          <w:b/>
          <w:lang w:val="el-GR"/>
        </w:rPr>
        <w:t>ΓΡΑΦΕΙΟ ΟΙΚΟΝΟΜΙΚΩΝ ΚΑΙ ΕΜΠΟΡΙΚΩΝ ΥΠΟΘΕΣΕΩΝ</w:t>
      </w:r>
    </w:p>
    <w:p w:rsidR="00F33946" w:rsidRDefault="00F33946" w:rsidP="00F33946">
      <w:pPr>
        <w:jc w:val="center"/>
        <w:rPr>
          <w:b/>
          <w:lang w:val="el-GR"/>
        </w:rPr>
      </w:pPr>
    </w:p>
    <w:p w:rsidR="00F33946" w:rsidRDefault="00F33946" w:rsidP="00F33946">
      <w:pPr>
        <w:jc w:val="center"/>
        <w:rPr>
          <w:b/>
          <w:lang w:val="el-GR"/>
        </w:rPr>
      </w:pPr>
    </w:p>
    <w:p w:rsidR="00F33946" w:rsidRDefault="006F3975" w:rsidP="00F33946">
      <w:pPr>
        <w:jc w:val="center"/>
        <w:rPr>
          <w:b/>
          <w:lang w:val="el-GR"/>
        </w:rPr>
      </w:pPr>
      <w:r>
        <w:rPr>
          <w:b/>
          <w:noProof/>
        </w:rPr>
        <w:drawing>
          <wp:inline distT="0" distB="0" distL="0" distR="0">
            <wp:extent cx="2308514" cy="1496291"/>
            <wp:effectExtent l="19050" t="0" r="0" b="0"/>
            <wp:docPr id="5" name="Picture 3" descr="C:\Users\OEY-Head\Desktop\Flag-Pins-Hungary-Gre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EY-Head\Desktop\Flag-Pins-Hungary-Greece.jpg"/>
                    <pic:cNvPicPr>
                      <a:picLocks noChangeAspect="1" noChangeArrowheads="1"/>
                    </pic:cNvPicPr>
                  </pic:nvPicPr>
                  <pic:blipFill>
                    <a:blip r:embed="rId9"/>
                    <a:srcRect/>
                    <a:stretch>
                      <a:fillRect/>
                    </a:stretch>
                  </pic:blipFill>
                  <pic:spPr bwMode="auto">
                    <a:xfrm>
                      <a:off x="0" y="0"/>
                      <a:ext cx="2314818" cy="1500377"/>
                    </a:xfrm>
                    <a:prstGeom prst="rect">
                      <a:avLst/>
                    </a:prstGeom>
                    <a:noFill/>
                    <a:ln w="9525">
                      <a:noFill/>
                      <a:miter lim="800000"/>
                      <a:headEnd/>
                      <a:tailEnd/>
                    </a:ln>
                  </pic:spPr>
                </pic:pic>
              </a:graphicData>
            </a:graphic>
          </wp:inline>
        </w:drawing>
      </w:r>
    </w:p>
    <w:p w:rsidR="00F33946" w:rsidRDefault="00F33946" w:rsidP="00F33946">
      <w:pPr>
        <w:jc w:val="center"/>
        <w:rPr>
          <w:b/>
          <w:lang w:val="el-GR"/>
        </w:rPr>
      </w:pPr>
    </w:p>
    <w:p w:rsidR="00F33946" w:rsidRPr="00963A48" w:rsidRDefault="00F33946" w:rsidP="00963A48">
      <w:pPr>
        <w:spacing w:after="120"/>
        <w:jc w:val="center"/>
        <w:rPr>
          <w:b/>
          <w:bCs/>
          <w:sz w:val="32"/>
          <w:szCs w:val="32"/>
          <w:lang w:val="el-GR"/>
        </w:rPr>
      </w:pPr>
      <w:r w:rsidRPr="00963A48">
        <w:rPr>
          <w:b/>
          <w:bCs/>
          <w:sz w:val="32"/>
          <w:szCs w:val="32"/>
          <w:lang w:val="el-GR"/>
        </w:rPr>
        <w:t xml:space="preserve">ΕΤΗΣΙΑ ΟΙΚΟΝΟΜΙΚΗ ΕΚΘΕΣΗ </w:t>
      </w:r>
    </w:p>
    <w:p w:rsidR="00F33946" w:rsidRPr="00BE2F28" w:rsidRDefault="00BE2F28" w:rsidP="00963A48">
      <w:pPr>
        <w:spacing w:after="120"/>
        <w:jc w:val="center"/>
        <w:rPr>
          <w:b/>
          <w:bCs/>
          <w:sz w:val="36"/>
          <w:szCs w:val="36"/>
        </w:rPr>
      </w:pPr>
      <w:r>
        <w:rPr>
          <w:b/>
          <w:bCs/>
          <w:sz w:val="36"/>
          <w:szCs w:val="36"/>
          <w:lang w:val="el-GR"/>
        </w:rPr>
        <w:t>202</w:t>
      </w:r>
      <w:r w:rsidR="00AC6B8A">
        <w:rPr>
          <w:b/>
          <w:bCs/>
          <w:sz w:val="36"/>
          <w:szCs w:val="36"/>
        </w:rPr>
        <w:t>2</w:t>
      </w:r>
    </w:p>
    <w:p w:rsidR="00963A48" w:rsidRDefault="00963A48" w:rsidP="00F33946">
      <w:pPr>
        <w:jc w:val="center"/>
        <w:rPr>
          <w:b/>
          <w:bCs/>
          <w:sz w:val="36"/>
          <w:szCs w:val="36"/>
          <w:u w:val="single"/>
          <w:lang w:val="el-GR"/>
        </w:rPr>
      </w:pPr>
      <w:r w:rsidRPr="00963A48">
        <w:rPr>
          <w:b/>
          <w:bCs/>
          <w:sz w:val="36"/>
          <w:szCs w:val="36"/>
          <w:u w:val="single"/>
          <w:lang w:val="el-GR"/>
        </w:rPr>
        <w:t>ΟΥΓΓΑΡΙΑ</w:t>
      </w:r>
    </w:p>
    <w:p w:rsidR="00F33946" w:rsidRDefault="00F33946" w:rsidP="00F33946">
      <w:pPr>
        <w:jc w:val="center"/>
        <w:rPr>
          <w:b/>
          <w:lang w:val="el-GR"/>
        </w:rPr>
      </w:pPr>
    </w:p>
    <w:p w:rsidR="00F33946" w:rsidRDefault="00963A48" w:rsidP="00F33946">
      <w:pPr>
        <w:jc w:val="center"/>
        <w:rPr>
          <w:b/>
          <w:lang w:val="el-GR"/>
        </w:rPr>
      </w:pPr>
      <w:r>
        <w:rPr>
          <w:b/>
          <w:noProof/>
        </w:rPr>
        <w:drawing>
          <wp:inline distT="0" distB="0" distL="0" distR="0">
            <wp:extent cx="3460197" cy="3486150"/>
            <wp:effectExtent l="19050" t="0" r="6903" b="0"/>
            <wp:docPr id="4" name="Picture 2" descr="C:\Users\OEY-Head\Desktop\800px-Greece_Hungary_Loc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EY-Head\Desktop\800px-Greece_Hungary_Locator.png"/>
                    <pic:cNvPicPr>
                      <a:picLocks noChangeAspect="1" noChangeArrowheads="1"/>
                    </pic:cNvPicPr>
                  </pic:nvPicPr>
                  <pic:blipFill>
                    <a:blip r:embed="rId10"/>
                    <a:srcRect/>
                    <a:stretch>
                      <a:fillRect/>
                    </a:stretch>
                  </pic:blipFill>
                  <pic:spPr bwMode="auto">
                    <a:xfrm>
                      <a:off x="0" y="0"/>
                      <a:ext cx="3465271" cy="3491262"/>
                    </a:xfrm>
                    <a:prstGeom prst="rect">
                      <a:avLst/>
                    </a:prstGeom>
                    <a:noFill/>
                    <a:ln w="9525">
                      <a:noFill/>
                      <a:miter lim="800000"/>
                      <a:headEnd/>
                      <a:tailEnd/>
                    </a:ln>
                  </pic:spPr>
                </pic:pic>
              </a:graphicData>
            </a:graphic>
          </wp:inline>
        </w:drawing>
      </w:r>
    </w:p>
    <w:p w:rsidR="00123CB0" w:rsidRPr="00F33946" w:rsidRDefault="00123CB0">
      <w:pPr>
        <w:widowControl w:val="0"/>
        <w:autoSpaceDE w:val="0"/>
        <w:autoSpaceDN w:val="0"/>
        <w:adjustRightInd w:val="0"/>
        <w:spacing w:line="200" w:lineRule="exact"/>
        <w:rPr>
          <w:lang w:val="hu-HU"/>
        </w:rPr>
      </w:pPr>
    </w:p>
    <w:p w:rsidR="00123CB0" w:rsidRPr="006520B4" w:rsidRDefault="00123CB0">
      <w:pPr>
        <w:widowControl w:val="0"/>
        <w:autoSpaceDE w:val="0"/>
        <w:autoSpaceDN w:val="0"/>
        <w:adjustRightInd w:val="0"/>
        <w:spacing w:line="200" w:lineRule="exact"/>
        <w:rPr>
          <w:lang w:val="el-GR"/>
        </w:rPr>
      </w:pPr>
    </w:p>
    <w:p w:rsidR="00123CB0" w:rsidRPr="006520B4" w:rsidRDefault="00123CB0">
      <w:pPr>
        <w:widowControl w:val="0"/>
        <w:autoSpaceDE w:val="0"/>
        <w:autoSpaceDN w:val="0"/>
        <w:adjustRightInd w:val="0"/>
        <w:spacing w:line="200" w:lineRule="exact"/>
        <w:rPr>
          <w:lang w:val="el-GR"/>
        </w:rPr>
      </w:pPr>
    </w:p>
    <w:p w:rsidR="00123CB0" w:rsidRPr="00963A48" w:rsidRDefault="00123CB0">
      <w:pPr>
        <w:widowControl w:val="0"/>
        <w:autoSpaceDE w:val="0"/>
        <w:autoSpaceDN w:val="0"/>
        <w:adjustRightInd w:val="0"/>
        <w:spacing w:line="200" w:lineRule="exact"/>
      </w:pPr>
    </w:p>
    <w:p w:rsidR="00123CB0" w:rsidRPr="006520B4" w:rsidRDefault="00123CB0">
      <w:pPr>
        <w:widowControl w:val="0"/>
        <w:autoSpaceDE w:val="0"/>
        <w:autoSpaceDN w:val="0"/>
        <w:adjustRightInd w:val="0"/>
        <w:spacing w:line="200" w:lineRule="exact"/>
        <w:rPr>
          <w:lang w:val="el-GR"/>
        </w:rPr>
      </w:pPr>
    </w:p>
    <w:p w:rsidR="00123CB0" w:rsidRPr="006520B4" w:rsidRDefault="00123CB0">
      <w:pPr>
        <w:widowControl w:val="0"/>
        <w:autoSpaceDE w:val="0"/>
        <w:autoSpaceDN w:val="0"/>
        <w:adjustRightInd w:val="0"/>
        <w:spacing w:line="200" w:lineRule="exact"/>
        <w:rPr>
          <w:lang w:val="el-GR"/>
        </w:rPr>
      </w:pPr>
    </w:p>
    <w:p w:rsidR="00123CB0" w:rsidRPr="006520B4" w:rsidRDefault="00123CB0">
      <w:pPr>
        <w:widowControl w:val="0"/>
        <w:autoSpaceDE w:val="0"/>
        <w:autoSpaceDN w:val="0"/>
        <w:adjustRightInd w:val="0"/>
        <w:spacing w:line="200" w:lineRule="exact"/>
        <w:rPr>
          <w:lang w:val="el-GR"/>
        </w:rPr>
      </w:pPr>
    </w:p>
    <w:p w:rsidR="00123CB0" w:rsidRPr="00A50371" w:rsidRDefault="00963A48" w:rsidP="00963A48">
      <w:pPr>
        <w:widowControl w:val="0"/>
        <w:autoSpaceDE w:val="0"/>
        <w:autoSpaceDN w:val="0"/>
        <w:adjustRightInd w:val="0"/>
        <w:spacing w:line="200" w:lineRule="exact"/>
        <w:jc w:val="center"/>
        <w:rPr>
          <w:lang w:val="el-GR"/>
        </w:rPr>
      </w:pPr>
      <w:r>
        <w:rPr>
          <w:b/>
          <w:bCs/>
          <w:lang w:val="el-GR"/>
        </w:rPr>
        <w:t>Βουδαπέστη</w:t>
      </w:r>
      <w:r w:rsidR="00F33946" w:rsidRPr="00B0177F">
        <w:rPr>
          <w:b/>
          <w:bCs/>
          <w:lang w:val="el-GR"/>
        </w:rPr>
        <w:t xml:space="preserve">, </w:t>
      </w:r>
      <w:r w:rsidR="00AC6B8A">
        <w:rPr>
          <w:b/>
          <w:bCs/>
          <w:lang w:val="el-GR"/>
        </w:rPr>
        <w:t xml:space="preserve">Αύγουστος </w:t>
      </w:r>
      <w:r w:rsidR="00F33946" w:rsidRPr="00B0177F">
        <w:rPr>
          <w:b/>
          <w:bCs/>
          <w:lang w:val="el-GR"/>
        </w:rPr>
        <w:t>20</w:t>
      </w:r>
      <w:r w:rsidR="000B2C96" w:rsidRPr="00A50371">
        <w:rPr>
          <w:b/>
          <w:bCs/>
          <w:lang w:val="el-GR"/>
        </w:rPr>
        <w:t>2</w:t>
      </w:r>
      <w:r w:rsidR="007102FC">
        <w:rPr>
          <w:b/>
          <w:bCs/>
          <w:lang w:val="el-GR"/>
        </w:rPr>
        <w:t>3</w:t>
      </w:r>
    </w:p>
    <w:p w:rsidR="00123CB0" w:rsidRPr="006520B4" w:rsidRDefault="00123CB0">
      <w:pPr>
        <w:widowControl w:val="0"/>
        <w:autoSpaceDE w:val="0"/>
        <w:autoSpaceDN w:val="0"/>
        <w:adjustRightInd w:val="0"/>
        <w:spacing w:line="200" w:lineRule="exact"/>
        <w:rPr>
          <w:lang w:val="el-GR"/>
        </w:rPr>
      </w:pPr>
    </w:p>
    <w:p w:rsidR="00123CB0" w:rsidRDefault="00123CB0">
      <w:pPr>
        <w:widowControl w:val="0"/>
        <w:autoSpaceDE w:val="0"/>
        <w:autoSpaceDN w:val="0"/>
        <w:adjustRightInd w:val="0"/>
        <w:spacing w:line="200" w:lineRule="exact"/>
        <w:rPr>
          <w:lang w:val="el-GR"/>
        </w:rPr>
      </w:pPr>
    </w:p>
    <w:p w:rsidR="006F3975" w:rsidRDefault="006F3975">
      <w:pPr>
        <w:widowControl w:val="0"/>
        <w:autoSpaceDE w:val="0"/>
        <w:autoSpaceDN w:val="0"/>
        <w:adjustRightInd w:val="0"/>
        <w:spacing w:line="200" w:lineRule="exact"/>
        <w:rPr>
          <w:lang w:val="el-GR"/>
        </w:rPr>
      </w:pPr>
    </w:p>
    <w:p w:rsidR="006F3975" w:rsidRDefault="006F3975">
      <w:pPr>
        <w:widowControl w:val="0"/>
        <w:autoSpaceDE w:val="0"/>
        <w:autoSpaceDN w:val="0"/>
        <w:adjustRightInd w:val="0"/>
        <w:spacing w:line="200" w:lineRule="exact"/>
        <w:rPr>
          <w:lang w:val="el-GR"/>
        </w:rPr>
      </w:pPr>
    </w:p>
    <w:p w:rsidR="00A17872" w:rsidRDefault="00A17872" w:rsidP="006F3975">
      <w:pPr>
        <w:ind w:right="282"/>
        <w:jc w:val="center"/>
        <w:rPr>
          <w:rFonts w:ascii="Arial" w:hAnsi="Arial" w:cs="Arial"/>
          <w:b/>
          <w:bCs/>
          <w:lang w:val="el-GR"/>
        </w:rPr>
      </w:pPr>
    </w:p>
    <w:p w:rsidR="00335B15" w:rsidRDefault="00335B15" w:rsidP="006F3975">
      <w:pPr>
        <w:ind w:right="282"/>
        <w:jc w:val="center"/>
        <w:rPr>
          <w:rFonts w:ascii="Arial" w:hAnsi="Arial" w:cs="Arial"/>
          <w:b/>
          <w:bCs/>
          <w:lang w:val="el-GR"/>
        </w:rPr>
      </w:pPr>
    </w:p>
    <w:p w:rsidR="006F3975" w:rsidRPr="006F3975" w:rsidRDefault="006F3975" w:rsidP="006F3975">
      <w:pPr>
        <w:ind w:right="282"/>
        <w:jc w:val="center"/>
        <w:rPr>
          <w:rFonts w:ascii="Arial" w:hAnsi="Arial" w:cs="Arial"/>
          <w:b/>
          <w:bCs/>
          <w:lang w:val="el-GR"/>
        </w:rPr>
      </w:pPr>
      <w:r w:rsidRPr="006F3975">
        <w:rPr>
          <w:rFonts w:ascii="Arial" w:hAnsi="Arial" w:cs="Arial"/>
          <w:b/>
          <w:bCs/>
          <w:lang w:val="el-GR"/>
        </w:rPr>
        <w:t>ΠΕΡΙΕΧΟΜΕΝΑ</w:t>
      </w:r>
    </w:p>
    <w:p w:rsidR="006F3975" w:rsidRPr="006F3975" w:rsidRDefault="006F3975" w:rsidP="00BB2102">
      <w:pPr>
        <w:tabs>
          <w:tab w:val="right" w:leader="dot" w:pos="8505"/>
        </w:tabs>
        <w:spacing w:line="360" w:lineRule="auto"/>
        <w:jc w:val="both"/>
        <w:rPr>
          <w:rFonts w:ascii="Arial" w:hAnsi="Arial" w:cs="Arial"/>
          <w:b/>
          <w:bCs/>
          <w:color w:val="0000FF"/>
          <w:lang w:val="el-GR"/>
        </w:rPr>
      </w:pPr>
    </w:p>
    <w:p w:rsidR="00335B15" w:rsidRDefault="00335B15" w:rsidP="00A13F2B">
      <w:pPr>
        <w:tabs>
          <w:tab w:val="right" w:leader="dot" w:pos="8505"/>
        </w:tabs>
        <w:spacing w:line="360" w:lineRule="auto"/>
        <w:jc w:val="both"/>
        <w:rPr>
          <w:rFonts w:ascii="Arial" w:hAnsi="Arial" w:cs="Arial"/>
          <w:b/>
          <w:bCs/>
          <w:color w:val="0000FF"/>
          <w:u w:val="single"/>
          <w:lang w:val="el-GR"/>
        </w:rPr>
      </w:pPr>
    </w:p>
    <w:p w:rsidR="006F3975" w:rsidRDefault="006F3975" w:rsidP="00A13F2B">
      <w:pPr>
        <w:tabs>
          <w:tab w:val="right" w:leader="dot" w:pos="8505"/>
        </w:tabs>
        <w:spacing w:line="360" w:lineRule="auto"/>
        <w:jc w:val="both"/>
        <w:rPr>
          <w:rFonts w:ascii="Arial" w:hAnsi="Arial" w:cs="Arial"/>
          <w:b/>
          <w:bCs/>
          <w:color w:val="0000FF"/>
          <w:lang w:val="el-GR"/>
        </w:rPr>
      </w:pPr>
      <w:r w:rsidRPr="006F3975">
        <w:rPr>
          <w:rFonts w:ascii="Arial" w:hAnsi="Arial" w:cs="Arial"/>
          <w:b/>
          <w:bCs/>
          <w:color w:val="0000FF"/>
          <w:u w:val="single"/>
          <w:lang w:val="el-GR"/>
        </w:rPr>
        <w:t>Κεφάλαιο 1</w:t>
      </w:r>
      <w:r w:rsidRPr="006F3975">
        <w:rPr>
          <w:rFonts w:ascii="Arial" w:hAnsi="Arial" w:cs="Arial"/>
          <w:b/>
          <w:bCs/>
          <w:color w:val="0000FF"/>
          <w:u w:val="single"/>
          <w:vertAlign w:val="superscript"/>
          <w:lang w:val="el-GR"/>
        </w:rPr>
        <w:t>ο</w:t>
      </w:r>
      <w:r w:rsidR="00640FA0" w:rsidRPr="00640FA0">
        <w:rPr>
          <w:rFonts w:ascii="Arial" w:hAnsi="Arial" w:cs="Arial"/>
          <w:b/>
          <w:bCs/>
          <w:color w:val="0000FF"/>
          <w:vertAlign w:val="superscript"/>
          <w:lang w:val="el-GR"/>
        </w:rPr>
        <w:t xml:space="preserve"> </w:t>
      </w:r>
      <w:r w:rsidR="00640FA0">
        <w:rPr>
          <w:rFonts w:ascii="Arial" w:hAnsi="Arial" w:cs="Arial"/>
          <w:b/>
          <w:bCs/>
          <w:color w:val="0000FF"/>
          <w:lang w:val="el-GR"/>
        </w:rPr>
        <w:t xml:space="preserve">: </w:t>
      </w:r>
      <w:r>
        <w:rPr>
          <w:rFonts w:ascii="Arial" w:hAnsi="Arial" w:cs="Arial"/>
          <w:b/>
          <w:bCs/>
          <w:color w:val="0000FF"/>
          <w:lang w:val="el-GR"/>
        </w:rPr>
        <w:t xml:space="preserve">Γενικά στοιχεία </w:t>
      </w:r>
    </w:p>
    <w:p w:rsidR="00A13F2B" w:rsidRDefault="00A13F2B" w:rsidP="00BB2102">
      <w:pPr>
        <w:tabs>
          <w:tab w:val="right" w:leader="dot" w:pos="8505"/>
        </w:tabs>
        <w:spacing w:line="360" w:lineRule="auto"/>
        <w:jc w:val="both"/>
        <w:rPr>
          <w:rFonts w:ascii="Arial" w:hAnsi="Arial" w:cs="Arial"/>
          <w:b/>
          <w:bCs/>
          <w:color w:val="0000FF"/>
          <w:u w:val="single"/>
          <w:lang w:val="el-GR"/>
        </w:rPr>
      </w:pPr>
    </w:p>
    <w:p w:rsidR="00335B15" w:rsidRDefault="00335B15" w:rsidP="00BB2102">
      <w:pPr>
        <w:tabs>
          <w:tab w:val="right" w:leader="dot" w:pos="8505"/>
        </w:tabs>
        <w:spacing w:line="360" w:lineRule="auto"/>
        <w:jc w:val="both"/>
        <w:rPr>
          <w:rFonts w:ascii="Arial" w:hAnsi="Arial" w:cs="Arial"/>
          <w:b/>
          <w:bCs/>
          <w:color w:val="0000FF"/>
          <w:u w:val="single"/>
          <w:lang w:val="el-GR"/>
        </w:rPr>
      </w:pPr>
    </w:p>
    <w:p w:rsidR="00A13F2B" w:rsidRPr="006F3975" w:rsidRDefault="00640FA0" w:rsidP="00640FA0">
      <w:pPr>
        <w:spacing w:line="360" w:lineRule="auto"/>
        <w:rPr>
          <w:rFonts w:ascii="Arial" w:hAnsi="Arial" w:cs="Arial"/>
          <w:b/>
          <w:bCs/>
          <w:color w:val="0000FF"/>
          <w:lang w:val="el-GR"/>
        </w:rPr>
      </w:pPr>
      <w:r>
        <w:rPr>
          <w:rFonts w:ascii="Arial" w:hAnsi="Arial" w:cs="Arial"/>
          <w:b/>
          <w:bCs/>
          <w:color w:val="0000FF"/>
          <w:u w:val="single"/>
          <w:lang w:val="el-GR"/>
        </w:rPr>
        <w:t>Κεφάλαιο 2</w:t>
      </w:r>
      <w:r w:rsidRPr="00640FA0">
        <w:rPr>
          <w:rFonts w:ascii="Arial" w:hAnsi="Arial" w:cs="Arial"/>
          <w:b/>
          <w:bCs/>
          <w:color w:val="0000FF"/>
          <w:u w:val="single"/>
          <w:vertAlign w:val="superscript"/>
          <w:lang w:val="el-GR"/>
        </w:rPr>
        <w:t>ο</w:t>
      </w:r>
      <w:r w:rsidRPr="00640FA0">
        <w:rPr>
          <w:rFonts w:ascii="Arial" w:hAnsi="Arial" w:cs="Arial"/>
          <w:b/>
          <w:bCs/>
          <w:color w:val="0000FF"/>
          <w:vertAlign w:val="superscript"/>
          <w:lang w:val="el-GR"/>
        </w:rPr>
        <w:t xml:space="preserve"> </w:t>
      </w:r>
      <w:r w:rsidRPr="00640FA0">
        <w:rPr>
          <w:rFonts w:ascii="Arial" w:hAnsi="Arial" w:cs="Arial"/>
          <w:b/>
          <w:bCs/>
          <w:color w:val="0000FF"/>
          <w:lang w:val="el-GR"/>
        </w:rPr>
        <w:t>:</w:t>
      </w:r>
      <w:r>
        <w:rPr>
          <w:rFonts w:ascii="Arial" w:hAnsi="Arial" w:cs="Arial"/>
          <w:b/>
          <w:bCs/>
          <w:color w:val="0000FF"/>
          <w:lang w:val="el-GR"/>
        </w:rPr>
        <w:t xml:space="preserve"> </w:t>
      </w:r>
      <w:r w:rsidR="00A13F2B">
        <w:rPr>
          <w:rFonts w:ascii="Arial" w:hAnsi="Arial" w:cs="Arial"/>
          <w:b/>
          <w:bCs/>
          <w:color w:val="0000FF"/>
          <w:lang w:val="el-GR"/>
        </w:rPr>
        <w:t>Ο</w:t>
      </w:r>
      <w:r w:rsidR="00A13F2B" w:rsidRPr="006F3975">
        <w:rPr>
          <w:rFonts w:ascii="Arial" w:hAnsi="Arial" w:cs="Arial"/>
          <w:b/>
          <w:bCs/>
          <w:color w:val="0000FF"/>
          <w:lang w:val="el-GR"/>
        </w:rPr>
        <w:t>ικονομία και Εξωτερικό Εμπ</w:t>
      </w:r>
      <w:r w:rsidR="00A13F2B">
        <w:rPr>
          <w:rFonts w:ascii="Arial" w:hAnsi="Arial" w:cs="Arial"/>
          <w:b/>
          <w:bCs/>
          <w:color w:val="0000FF"/>
          <w:lang w:val="el-GR"/>
        </w:rPr>
        <w:t>όριο</w:t>
      </w:r>
    </w:p>
    <w:p w:rsidR="006F3975" w:rsidRPr="00A13F2B" w:rsidRDefault="006F3975" w:rsidP="00085F12">
      <w:pPr>
        <w:spacing w:after="120"/>
        <w:ind w:left="1008" w:firstLine="432"/>
        <w:rPr>
          <w:rFonts w:ascii="Arial" w:hAnsi="Arial" w:cs="Arial"/>
          <w:b/>
          <w:bCs/>
          <w:lang w:val="el-GR"/>
        </w:rPr>
      </w:pPr>
      <w:r w:rsidRPr="00A13F2B">
        <w:rPr>
          <w:rFonts w:ascii="Arial" w:hAnsi="Arial" w:cs="Arial"/>
          <w:b/>
          <w:bCs/>
          <w:lang w:val="el-GR"/>
        </w:rPr>
        <w:t>Α. Γενικά χαρακτηριστικά οικονομίας</w:t>
      </w:r>
    </w:p>
    <w:p w:rsidR="00085F12" w:rsidRDefault="006F3975" w:rsidP="00085F12">
      <w:pPr>
        <w:spacing w:after="120"/>
        <w:ind w:left="1008" w:firstLine="432"/>
        <w:rPr>
          <w:rFonts w:ascii="Arial" w:hAnsi="Arial" w:cs="Arial"/>
          <w:b/>
          <w:bCs/>
          <w:lang w:val="el-GR"/>
        </w:rPr>
      </w:pPr>
      <w:r w:rsidRPr="00085F12">
        <w:rPr>
          <w:rFonts w:ascii="Arial" w:hAnsi="Arial" w:cs="Arial"/>
          <w:b/>
          <w:bCs/>
          <w:lang w:val="el-GR"/>
        </w:rPr>
        <w:t>Β. Μακροοικονομικά μεγέθη</w:t>
      </w:r>
    </w:p>
    <w:p w:rsidR="00113598" w:rsidRDefault="00113598" w:rsidP="00085F12">
      <w:pPr>
        <w:spacing w:after="120"/>
        <w:ind w:left="1008" w:firstLine="432"/>
        <w:rPr>
          <w:rFonts w:ascii="Arial" w:hAnsi="Arial" w:cs="Arial"/>
          <w:b/>
          <w:bCs/>
          <w:lang w:val="el-GR"/>
        </w:rPr>
      </w:pPr>
      <w:r>
        <w:rPr>
          <w:rFonts w:ascii="Arial" w:hAnsi="Arial" w:cs="Arial"/>
          <w:b/>
          <w:bCs/>
          <w:lang w:val="el-GR"/>
        </w:rPr>
        <w:t>Γ. Επιχειρηματικό Περιβάλλον</w:t>
      </w:r>
    </w:p>
    <w:p w:rsidR="006F3975" w:rsidRPr="00DF5A36" w:rsidRDefault="00113598" w:rsidP="00085F12">
      <w:pPr>
        <w:spacing w:after="120"/>
        <w:ind w:left="1008" w:firstLine="432"/>
        <w:rPr>
          <w:rFonts w:ascii="Arial" w:hAnsi="Arial" w:cs="Arial"/>
          <w:b/>
          <w:bCs/>
          <w:lang w:val="el-GR"/>
        </w:rPr>
      </w:pPr>
      <w:r>
        <w:rPr>
          <w:rFonts w:ascii="Arial" w:hAnsi="Arial" w:cs="Arial"/>
          <w:b/>
          <w:bCs/>
          <w:lang w:val="el-GR"/>
        </w:rPr>
        <w:t>Δ</w:t>
      </w:r>
      <w:r w:rsidR="006F3975" w:rsidRPr="006F3975">
        <w:rPr>
          <w:rFonts w:ascii="Arial" w:hAnsi="Arial" w:cs="Arial"/>
          <w:b/>
          <w:bCs/>
          <w:lang w:val="el-GR"/>
        </w:rPr>
        <w:t>. Ανάλυση οικονομίας ανά τομέα δραστηριότητας</w:t>
      </w:r>
    </w:p>
    <w:p w:rsidR="00870B78" w:rsidRPr="00870B78" w:rsidRDefault="00870B78" w:rsidP="00870B78">
      <w:pPr>
        <w:widowControl w:val="0"/>
        <w:numPr>
          <w:ilvl w:val="0"/>
          <w:numId w:val="20"/>
        </w:numPr>
        <w:tabs>
          <w:tab w:val="clear" w:pos="1800"/>
          <w:tab w:val="num" w:pos="993"/>
        </w:tabs>
        <w:autoSpaceDE w:val="0"/>
        <w:autoSpaceDN w:val="0"/>
        <w:adjustRightInd w:val="0"/>
        <w:ind w:left="288" w:firstLine="1512"/>
        <w:rPr>
          <w:rFonts w:ascii="Arial" w:hAnsi="Arial" w:cs="Arial"/>
        </w:rPr>
      </w:pPr>
      <w:r>
        <w:rPr>
          <w:rFonts w:ascii="Arial" w:hAnsi="Arial" w:cs="Arial"/>
          <w:lang w:val="el-GR"/>
        </w:rPr>
        <w:t>Αγροτικός Τομέας</w:t>
      </w:r>
    </w:p>
    <w:p w:rsidR="00870B78" w:rsidRDefault="00870B78" w:rsidP="00870B78">
      <w:pPr>
        <w:widowControl w:val="0"/>
        <w:numPr>
          <w:ilvl w:val="0"/>
          <w:numId w:val="20"/>
        </w:numPr>
        <w:tabs>
          <w:tab w:val="clear" w:pos="1800"/>
          <w:tab w:val="num" w:pos="993"/>
        </w:tabs>
        <w:autoSpaceDE w:val="0"/>
        <w:autoSpaceDN w:val="0"/>
        <w:adjustRightInd w:val="0"/>
        <w:ind w:left="288" w:firstLine="1512"/>
        <w:rPr>
          <w:rFonts w:ascii="Arial" w:hAnsi="Arial" w:cs="Arial"/>
          <w:lang w:val="el-GR"/>
        </w:rPr>
      </w:pPr>
      <w:r w:rsidRPr="00870B78">
        <w:rPr>
          <w:rFonts w:ascii="Arial" w:hAnsi="Arial" w:cs="Arial"/>
          <w:lang w:val="el-GR"/>
        </w:rPr>
        <w:t>Βιομηχανία</w:t>
      </w:r>
    </w:p>
    <w:p w:rsidR="00870B78" w:rsidRDefault="00870B78" w:rsidP="000F3C6B">
      <w:pPr>
        <w:widowControl w:val="0"/>
        <w:numPr>
          <w:ilvl w:val="0"/>
          <w:numId w:val="20"/>
        </w:numPr>
        <w:tabs>
          <w:tab w:val="clear" w:pos="1800"/>
          <w:tab w:val="num" w:pos="993"/>
        </w:tabs>
        <w:autoSpaceDE w:val="0"/>
        <w:autoSpaceDN w:val="0"/>
        <w:adjustRightInd w:val="0"/>
        <w:ind w:left="288" w:firstLine="1512"/>
        <w:rPr>
          <w:rFonts w:ascii="Arial" w:hAnsi="Arial" w:cs="Arial"/>
          <w:lang w:val="el-GR"/>
        </w:rPr>
      </w:pPr>
      <w:r w:rsidRPr="00870B78">
        <w:rPr>
          <w:rFonts w:ascii="Arial" w:hAnsi="Arial" w:cs="Arial"/>
          <w:lang w:val="el-GR"/>
        </w:rPr>
        <w:t>Υπηρεσίες</w:t>
      </w:r>
    </w:p>
    <w:p w:rsidR="00113598" w:rsidRPr="00113598" w:rsidRDefault="000F3C6B" w:rsidP="00113598">
      <w:pPr>
        <w:widowControl w:val="0"/>
        <w:numPr>
          <w:ilvl w:val="0"/>
          <w:numId w:val="20"/>
        </w:numPr>
        <w:tabs>
          <w:tab w:val="clear" w:pos="1800"/>
          <w:tab w:val="num" w:pos="993"/>
        </w:tabs>
        <w:autoSpaceDE w:val="0"/>
        <w:autoSpaceDN w:val="0"/>
        <w:adjustRightInd w:val="0"/>
        <w:spacing w:after="120"/>
        <w:ind w:left="288" w:firstLine="1512"/>
        <w:rPr>
          <w:rFonts w:ascii="Arial" w:hAnsi="Arial" w:cs="Arial"/>
          <w:lang w:val="el-GR"/>
        </w:rPr>
      </w:pPr>
      <w:r>
        <w:rPr>
          <w:rFonts w:ascii="Arial" w:hAnsi="Arial" w:cs="Arial"/>
          <w:lang w:val="el-GR"/>
        </w:rPr>
        <w:t>Ενέργεια</w:t>
      </w:r>
    </w:p>
    <w:p w:rsidR="008210C2" w:rsidRPr="00113598" w:rsidRDefault="00113598" w:rsidP="00870B78">
      <w:pPr>
        <w:spacing w:after="120"/>
        <w:ind w:left="1008" w:firstLine="432"/>
        <w:rPr>
          <w:rFonts w:ascii="Arial" w:hAnsi="Arial" w:cs="Arial"/>
          <w:b/>
          <w:bCs/>
          <w:lang w:val="el-GR"/>
        </w:rPr>
      </w:pPr>
      <w:r>
        <w:rPr>
          <w:rFonts w:ascii="Arial" w:hAnsi="Arial" w:cs="Arial"/>
          <w:b/>
          <w:bCs/>
          <w:lang w:val="el-GR"/>
        </w:rPr>
        <w:t xml:space="preserve">Ε. </w:t>
      </w:r>
      <w:r w:rsidR="006F3975" w:rsidRPr="006F3975">
        <w:rPr>
          <w:rFonts w:ascii="Arial" w:hAnsi="Arial" w:cs="Arial"/>
          <w:b/>
          <w:bCs/>
          <w:lang w:val="el-GR"/>
        </w:rPr>
        <w:t>Εξωτερικό Εμπόριο</w:t>
      </w:r>
    </w:p>
    <w:p w:rsidR="006F3975" w:rsidRPr="006F3975" w:rsidRDefault="00113598" w:rsidP="00870B78">
      <w:pPr>
        <w:spacing w:after="120"/>
        <w:ind w:left="1008" w:firstLine="432"/>
        <w:rPr>
          <w:rFonts w:ascii="Arial" w:hAnsi="Arial" w:cs="Arial"/>
          <w:b/>
          <w:bCs/>
          <w:lang w:val="el-GR"/>
        </w:rPr>
      </w:pPr>
      <w:r>
        <w:rPr>
          <w:rFonts w:ascii="Arial" w:hAnsi="Arial" w:cs="Arial"/>
          <w:b/>
          <w:bCs/>
          <w:lang w:val="el-GR"/>
        </w:rPr>
        <w:t>ΣΤ΄</w:t>
      </w:r>
      <w:r w:rsidR="008210C2">
        <w:rPr>
          <w:rFonts w:ascii="Arial" w:hAnsi="Arial" w:cs="Arial"/>
          <w:b/>
          <w:bCs/>
          <w:lang w:val="el-GR"/>
        </w:rPr>
        <w:t>. Προοπτικές οικονομίας</w:t>
      </w:r>
      <w:r w:rsidR="006F3975" w:rsidRPr="006F3975">
        <w:rPr>
          <w:rFonts w:ascii="Arial" w:hAnsi="Arial" w:cs="Arial"/>
          <w:b/>
          <w:bCs/>
          <w:lang w:val="el-GR"/>
        </w:rPr>
        <w:t xml:space="preserve"> </w:t>
      </w:r>
    </w:p>
    <w:p w:rsidR="00A13F2B" w:rsidRDefault="00A13F2B" w:rsidP="00BB2102">
      <w:pPr>
        <w:spacing w:line="360" w:lineRule="auto"/>
        <w:rPr>
          <w:rFonts w:ascii="Arial" w:hAnsi="Arial" w:cs="Arial"/>
          <w:b/>
          <w:bCs/>
          <w:lang w:val="el-GR"/>
        </w:rPr>
      </w:pPr>
    </w:p>
    <w:p w:rsidR="006F3975" w:rsidRPr="006F3975" w:rsidRDefault="006F3975" w:rsidP="00640FA0">
      <w:pPr>
        <w:spacing w:line="360" w:lineRule="auto"/>
        <w:rPr>
          <w:rFonts w:ascii="Arial" w:hAnsi="Arial" w:cs="Arial"/>
          <w:b/>
          <w:bCs/>
          <w:color w:val="0000FF"/>
          <w:lang w:val="el-GR"/>
        </w:rPr>
      </w:pPr>
      <w:r w:rsidRPr="006F3975">
        <w:rPr>
          <w:rFonts w:ascii="Arial" w:hAnsi="Arial" w:cs="Arial"/>
          <w:b/>
          <w:bCs/>
          <w:color w:val="0000FF"/>
          <w:u w:val="single"/>
          <w:lang w:val="el-GR"/>
        </w:rPr>
        <w:t xml:space="preserve">Κεφάλαιο </w:t>
      </w:r>
      <w:r w:rsidR="00A13F2B">
        <w:rPr>
          <w:rFonts w:ascii="Arial" w:hAnsi="Arial" w:cs="Arial"/>
          <w:b/>
          <w:bCs/>
          <w:color w:val="0000FF"/>
          <w:u w:val="single"/>
          <w:lang w:val="el-GR"/>
        </w:rPr>
        <w:t>3</w:t>
      </w:r>
      <w:r w:rsidRPr="006F3975">
        <w:rPr>
          <w:rFonts w:ascii="Arial" w:hAnsi="Arial" w:cs="Arial"/>
          <w:b/>
          <w:bCs/>
          <w:color w:val="0000FF"/>
          <w:u w:val="single"/>
          <w:vertAlign w:val="superscript"/>
          <w:lang w:val="el-GR"/>
        </w:rPr>
        <w:t>ο</w:t>
      </w:r>
      <w:r w:rsidR="00640FA0">
        <w:rPr>
          <w:rFonts w:ascii="Arial" w:hAnsi="Arial" w:cs="Arial"/>
          <w:b/>
          <w:bCs/>
          <w:color w:val="0000FF"/>
          <w:lang w:val="el-GR"/>
        </w:rPr>
        <w:t xml:space="preserve"> : </w:t>
      </w:r>
      <w:r w:rsidRPr="006F3975">
        <w:rPr>
          <w:rFonts w:ascii="Arial" w:hAnsi="Arial" w:cs="Arial"/>
          <w:b/>
          <w:bCs/>
          <w:color w:val="0000FF"/>
          <w:lang w:val="el-GR"/>
        </w:rPr>
        <w:t xml:space="preserve">Εξωτερικές Οικονομικές </w:t>
      </w:r>
      <w:r w:rsidR="00A13F2B">
        <w:rPr>
          <w:rFonts w:ascii="Arial" w:hAnsi="Arial" w:cs="Arial"/>
          <w:b/>
          <w:bCs/>
          <w:color w:val="0000FF"/>
          <w:lang w:val="el-GR"/>
        </w:rPr>
        <w:t xml:space="preserve">&amp; Εμπορικές </w:t>
      </w:r>
      <w:r w:rsidRPr="006F3975">
        <w:rPr>
          <w:rFonts w:ascii="Arial" w:hAnsi="Arial" w:cs="Arial"/>
          <w:b/>
          <w:bCs/>
          <w:color w:val="0000FF"/>
          <w:lang w:val="el-GR"/>
        </w:rPr>
        <w:t xml:space="preserve">Σχέσεις </w:t>
      </w:r>
    </w:p>
    <w:p w:rsidR="00640FA0" w:rsidRDefault="00640FA0" w:rsidP="00BB2102">
      <w:pPr>
        <w:tabs>
          <w:tab w:val="right" w:leader="dot" w:pos="8505"/>
        </w:tabs>
        <w:spacing w:line="360" w:lineRule="auto"/>
        <w:jc w:val="both"/>
        <w:rPr>
          <w:rFonts w:ascii="Arial" w:hAnsi="Arial" w:cs="Arial"/>
          <w:b/>
          <w:bCs/>
          <w:color w:val="0000FF"/>
          <w:u w:val="single"/>
          <w:lang w:val="el-GR"/>
        </w:rPr>
      </w:pPr>
    </w:p>
    <w:p w:rsidR="00335B15" w:rsidRPr="00335B15" w:rsidRDefault="00335B15" w:rsidP="00BB2102">
      <w:pPr>
        <w:tabs>
          <w:tab w:val="right" w:leader="dot" w:pos="8505"/>
        </w:tabs>
        <w:spacing w:line="360" w:lineRule="auto"/>
        <w:jc w:val="both"/>
        <w:rPr>
          <w:rFonts w:ascii="Arial" w:hAnsi="Arial" w:cs="Arial"/>
          <w:b/>
          <w:bCs/>
          <w:color w:val="0000FF"/>
          <w:u w:val="single"/>
          <w:lang w:val="el-GR"/>
        </w:rPr>
      </w:pPr>
    </w:p>
    <w:p w:rsidR="006F3975" w:rsidRPr="006F3975" w:rsidRDefault="006F3975" w:rsidP="006F3975">
      <w:pPr>
        <w:tabs>
          <w:tab w:val="right" w:leader="dot" w:pos="8505"/>
        </w:tabs>
        <w:spacing w:line="360" w:lineRule="auto"/>
        <w:jc w:val="both"/>
        <w:rPr>
          <w:rFonts w:ascii="Arial" w:hAnsi="Arial" w:cs="Arial"/>
          <w:b/>
          <w:bCs/>
          <w:color w:val="0000FF"/>
          <w:lang w:val="el-GR"/>
        </w:rPr>
      </w:pPr>
      <w:r w:rsidRPr="006F3975">
        <w:rPr>
          <w:rFonts w:ascii="Arial" w:hAnsi="Arial" w:cs="Arial"/>
          <w:b/>
          <w:bCs/>
          <w:color w:val="0000FF"/>
          <w:u w:val="single"/>
          <w:lang w:val="el-GR"/>
        </w:rPr>
        <w:t xml:space="preserve">Κεφάλαιο </w:t>
      </w:r>
      <w:r w:rsidR="00EF4313">
        <w:rPr>
          <w:rFonts w:ascii="Arial" w:hAnsi="Arial" w:cs="Arial"/>
          <w:b/>
          <w:bCs/>
          <w:color w:val="0000FF"/>
          <w:u w:val="single"/>
          <w:lang w:val="el-GR"/>
        </w:rPr>
        <w:t>4</w:t>
      </w:r>
      <w:r w:rsidRPr="006F3975">
        <w:rPr>
          <w:rFonts w:ascii="Arial" w:hAnsi="Arial" w:cs="Arial"/>
          <w:b/>
          <w:bCs/>
          <w:color w:val="0000FF"/>
          <w:u w:val="single"/>
          <w:vertAlign w:val="superscript"/>
          <w:lang w:val="el-GR"/>
        </w:rPr>
        <w:t>ο</w:t>
      </w:r>
      <w:r w:rsidRPr="006F3975">
        <w:rPr>
          <w:rFonts w:ascii="Arial" w:hAnsi="Arial" w:cs="Arial"/>
          <w:b/>
          <w:bCs/>
          <w:color w:val="0000FF"/>
          <w:lang w:val="el-GR"/>
        </w:rPr>
        <w:t xml:space="preserve"> </w:t>
      </w:r>
      <w:r w:rsidR="00640FA0">
        <w:rPr>
          <w:rFonts w:ascii="Arial" w:hAnsi="Arial" w:cs="Arial"/>
          <w:b/>
          <w:bCs/>
          <w:color w:val="0000FF"/>
          <w:lang w:val="el-GR"/>
        </w:rPr>
        <w:t xml:space="preserve">: </w:t>
      </w:r>
      <w:r w:rsidRPr="006F3975">
        <w:rPr>
          <w:rFonts w:ascii="Arial" w:hAnsi="Arial" w:cs="Arial"/>
          <w:b/>
          <w:bCs/>
          <w:color w:val="0000FF"/>
          <w:lang w:val="el-GR"/>
        </w:rPr>
        <w:t>Οικονομικές και</w:t>
      </w:r>
      <w:r w:rsidR="00B0177F">
        <w:rPr>
          <w:rFonts w:ascii="Arial" w:hAnsi="Arial" w:cs="Arial"/>
          <w:b/>
          <w:bCs/>
          <w:color w:val="0000FF"/>
          <w:lang w:val="el-GR"/>
        </w:rPr>
        <w:t xml:space="preserve"> Εμπορικές Σχέσεις Ελλάδας - Ουγγαρ</w:t>
      </w:r>
      <w:r w:rsidRPr="006F3975">
        <w:rPr>
          <w:rFonts w:ascii="Arial" w:hAnsi="Arial" w:cs="Arial"/>
          <w:b/>
          <w:bCs/>
          <w:color w:val="0000FF"/>
          <w:lang w:val="el-GR"/>
        </w:rPr>
        <w:t>ίας</w:t>
      </w:r>
    </w:p>
    <w:p w:rsidR="00335B15" w:rsidRDefault="00335B15" w:rsidP="00640FA0">
      <w:pPr>
        <w:spacing w:after="120"/>
        <w:ind w:left="288" w:firstLine="1152"/>
        <w:rPr>
          <w:rFonts w:ascii="Arial" w:hAnsi="Arial" w:cs="Arial"/>
          <w:b/>
          <w:bCs/>
          <w:lang w:val="el-GR"/>
        </w:rPr>
      </w:pPr>
    </w:p>
    <w:p w:rsidR="006F3975" w:rsidRDefault="006F3975" w:rsidP="00640FA0">
      <w:pPr>
        <w:spacing w:after="120"/>
        <w:ind w:left="288" w:firstLine="1152"/>
        <w:rPr>
          <w:rFonts w:ascii="Arial" w:hAnsi="Arial" w:cs="Arial"/>
          <w:b/>
          <w:bCs/>
          <w:lang w:val="el-GR"/>
        </w:rPr>
      </w:pPr>
      <w:r w:rsidRPr="00E9033F">
        <w:rPr>
          <w:rFonts w:ascii="Arial" w:hAnsi="Arial" w:cs="Arial"/>
          <w:b/>
          <w:bCs/>
          <w:lang w:val="el-GR"/>
        </w:rPr>
        <w:t xml:space="preserve">Α. Γενικά </w:t>
      </w:r>
    </w:p>
    <w:p w:rsidR="001A78D1" w:rsidRDefault="001A78D1" w:rsidP="001A78D1">
      <w:pPr>
        <w:widowControl w:val="0"/>
        <w:numPr>
          <w:ilvl w:val="0"/>
          <w:numId w:val="20"/>
        </w:numPr>
        <w:tabs>
          <w:tab w:val="clear" w:pos="1800"/>
          <w:tab w:val="num" w:pos="993"/>
        </w:tabs>
        <w:autoSpaceDE w:val="0"/>
        <w:autoSpaceDN w:val="0"/>
        <w:adjustRightInd w:val="0"/>
        <w:ind w:left="288" w:firstLine="1512"/>
        <w:rPr>
          <w:rFonts w:ascii="Arial" w:hAnsi="Arial" w:cs="Arial"/>
          <w:lang w:val="el-GR"/>
        </w:rPr>
      </w:pPr>
      <w:r>
        <w:rPr>
          <w:rFonts w:ascii="Arial" w:hAnsi="Arial" w:cs="Arial"/>
          <w:lang w:val="el-GR"/>
        </w:rPr>
        <w:t>Θεσμικό Πλαίσιο</w:t>
      </w:r>
    </w:p>
    <w:p w:rsidR="001A78D1" w:rsidRDefault="001A78D1" w:rsidP="00FD0FBE">
      <w:pPr>
        <w:widowControl w:val="0"/>
        <w:numPr>
          <w:ilvl w:val="0"/>
          <w:numId w:val="20"/>
        </w:numPr>
        <w:tabs>
          <w:tab w:val="clear" w:pos="1800"/>
          <w:tab w:val="num" w:pos="993"/>
        </w:tabs>
        <w:autoSpaceDE w:val="0"/>
        <w:autoSpaceDN w:val="0"/>
        <w:adjustRightInd w:val="0"/>
        <w:spacing w:after="120"/>
        <w:ind w:left="288" w:firstLine="1512"/>
        <w:rPr>
          <w:rFonts w:ascii="Arial" w:hAnsi="Arial" w:cs="Arial"/>
          <w:lang w:val="el-GR"/>
        </w:rPr>
      </w:pPr>
      <w:r>
        <w:rPr>
          <w:rFonts w:ascii="Arial" w:hAnsi="Arial" w:cs="Arial"/>
          <w:lang w:val="el-GR"/>
        </w:rPr>
        <w:t>Διμερής Συνεργασία</w:t>
      </w:r>
    </w:p>
    <w:p w:rsidR="006F3975" w:rsidRPr="00FD0FBE" w:rsidRDefault="006F3975" w:rsidP="00FD0FBE">
      <w:pPr>
        <w:spacing w:after="120"/>
        <w:ind w:left="288" w:firstLine="1152"/>
        <w:rPr>
          <w:rFonts w:ascii="Arial" w:hAnsi="Arial" w:cs="Arial"/>
          <w:b/>
          <w:bCs/>
          <w:lang w:val="el-GR"/>
        </w:rPr>
      </w:pPr>
      <w:r w:rsidRPr="00E9033F">
        <w:rPr>
          <w:rFonts w:ascii="Arial" w:hAnsi="Arial" w:cs="Arial"/>
          <w:b/>
          <w:bCs/>
          <w:lang w:val="el-GR"/>
        </w:rPr>
        <w:t xml:space="preserve">Β. Διμερές Εμπόριο </w:t>
      </w:r>
    </w:p>
    <w:p w:rsidR="00CA0AD3" w:rsidRDefault="00CA0AD3" w:rsidP="00CA0AD3">
      <w:pPr>
        <w:widowControl w:val="0"/>
        <w:numPr>
          <w:ilvl w:val="0"/>
          <w:numId w:val="20"/>
        </w:numPr>
        <w:tabs>
          <w:tab w:val="clear" w:pos="1800"/>
          <w:tab w:val="num" w:pos="993"/>
        </w:tabs>
        <w:autoSpaceDE w:val="0"/>
        <w:autoSpaceDN w:val="0"/>
        <w:adjustRightInd w:val="0"/>
        <w:ind w:left="288" w:firstLine="1512"/>
        <w:rPr>
          <w:rFonts w:ascii="Arial" w:hAnsi="Arial" w:cs="Arial"/>
        </w:rPr>
      </w:pPr>
      <w:proofErr w:type="spellStart"/>
      <w:r w:rsidRPr="00640FA0">
        <w:rPr>
          <w:rFonts w:ascii="Arial" w:hAnsi="Arial" w:cs="Arial"/>
        </w:rPr>
        <w:t>Ελληνικά</w:t>
      </w:r>
      <w:proofErr w:type="spellEnd"/>
      <w:r w:rsidRPr="00640FA0">
        <w:rPr>
          <w:rFonts w:ascii="Arial" w:hAnsi="Arial" w:cs="Arial"/>
        </w:rPr>
        <w:t xml:space="preserve"> </w:t>
      </w:r>
      <w:proofErr w:type="spellStart"/>
      <w:r w:rsidRPr="00640FA0">
        <w:rPr>
          <w:rFonts w:ascii="Arial" w:hAnsi="Arial" w:cs="Arial"/>
        </w:rPr>
        <w:t>προϊόντα</w:t>
      </w:r>
      <w:proofErr w:type="spellEnd"/>
      <w:r w:rsidRPr="00640FA0">
        <w:rPr>
          <w:rFonts w:ascii="Arial" w:hAnsi="Arial" w:cs="Arial"/>
        </w:rPr>
        <w:t xml:space="preserve"> </w:t>
      </w:r>
      <w:proofErr w:type="spellStart"/>
      <w:r w:rsidRPr="00640FA0">
        <w:rPr>
          <w:rFonts w:ascii="Arial" w:hAnsi="Arial" w:cs="Arial"/>
        </w:rPr>
        <w:t>στην</w:t>
      </w:r>
      <w:proofErr w:type="spellEnd"/>
      <w:r w:rsidRPr="00640FA0">
        <w:rPr>
          <w:rFonts w:ascii="Arial" w:hAnsi="Arial" w:cs="Arial"/>
        </w:rPr>
        <w:t xml:space="preserve"> </w:t>
      </w:r>
      <w:proofErr w:type="spellStart"/>
      <w:r w:rsidRPr="00640FA0">
        <w:rPr>
          <w:rFonts w:ascii="Arial" w:hAnsi="Arial" w:cs="Arial"/>
        </w:rPr>
        <w:t>ουγγρική</w:t>
      </w:r>
      <w:proofErr w:type="spellEnd"/>
      <w:r w:rsidRPr="00640FA0">
        <w:rPr>
          <w:rFonts w:ascii="Arial" w:hAnsi="Arial" w:cs="Arial"/>
        </w:rPr>
        <w:t xml:space="preserve"> αγορά</w:t>
      </w:r>
    </w:p>
    <w:p w:rsidR="006F3975" w:rsidRPr="00CA0AD3" w:rsidRDefault="00640FA0" w:rsidP="00CA0AD3">
      <w:pPr>
        <w:widowControl w:val="0"/>
        <w:numPr>
          <w:ilvl w:val="0"/>
          <w:numId w:val="20"/>
        </w:numPr>
        <w:tabs>
          <w:tab w:val="clear" w:pos="1800"/>
          <w:tab w:val="num" w:pos="993"/>
        </w:tabs>
        <w:autoSpaceDE w:val="0"/>
        <w:autoSpaceDN w:val="0"/>
        <w:adjustRightInd w:val="0"/>
        <w:ind w:left="288" w:firstLine="1512"/>
        <w:rPr>
          <w:rFonts w:ascii="Arial" w:hAnsi="Arial" w:cs="Arial"/>
          <w:lang w:val="el-GR"/>
        </w:rPr>
      </w:pPr>
      <w:r w:rsidRPr="00E9033F">
        <w:rPr>
          <w:rFonts w:ascii="Arial" w:hAnsi="Arial" w:cs="Arial"/>
          <w:lang w:val="el-GR"/>
        </w:rPr>
        <w:t>Ουγγρικά</w:t>
      </w:r>
      <w:r w:rsidR="006F3975" w:rsidRPr="00E9033F">
        <w:rPr>
          <w:rFonts w:ascii="Arial" w:hAnsi="Arial" w:cs="Arial"/>
          <w:lang w:val="el-GR"/>
        </w:rPr>
        <w:t xml:space="preserve"> προϊόντα στην ελ</w:t>
      </w:r>
      <w:r w:rsidR="006F3975" w:rsidRPr="00CA0AD3">
        <w:rPr>
          <w:rFonts w:ascii="Arial" w:hAnsi="Arial" w:cs="Arial"/>
          <w:lang w:val="el-GR"/>
        </w:rPr>
        <w:t>ληνική αγορά</w:t>
      </w:r>
    </w:p>
    <w:p w:rsidR="00CA0AD3" w:rsidRPr="00640FA0" w:rsidRDefault="00CA0AD3" w:rsidP="00113598">
      <w:pPr>
        <w:widowControl w:val="0"/>
        <w:numPr>
          <w:ilvl w:val="0"/>
          <w:numId w:val="20"/>
        </w:numPr>
        <w:tabs>
          <w:tab w:val="clear" w:pos="1800"/>
          <w:tab w:val="num" w:pos="993"/>
        </w:tabs>
        <w:autoSpaceDE w:val="0"/>
        <w:autoSpaceDN w:val="0"/>
        <w:adjustRightInd w:val="0"/>
        <w:spacing w:after="120"/>
        <w:ind w:left="284" w:firstLine="1516"/>
        <w:rPr>
          <w:rFonts w:ascii="Arial" w:hAnsi="Arial" w:cs="Arial"/>
        </w:rPr>
      </w:pPr>
      <w:r>
        <w:rPr>
          <w:rFonts w:ascii="Arial" w:hAnsi="Arial" w:cs="Arial"/>
          <w:lang w:val="el-GR"/>
        </w:rPr>
        <w:t>Προβλήματα</w:t>
      </w:r>
    </w:p>
    <w:p w:rsidR="006F3975" w:rsidRPr="00CA0AD3" w:rsidRDefault="006F3975" w:rsidP="00113598">
      <w:pPr>
        <w:spacing w:after="120"/>
        <w:ind w:left="288" w:firstLine="1152"/>
        <w:rPr>
          <w:rFonts w:ascii="Arial" w:hAnsi="Arial" w:cs="Arial"/>
          <w:b/>
          <w:bCs/>
          <w:lang w:val="el-GR"/>
        </w:rPr>
      </w:pPr>
      <w:r w:rsidRPr="00CA0AD3">
        <w:rPr>
          <w:rFonts w:ascii="Arial" w:hAnsi="Arial" w:cs="Arial"/>
          <w:b/>
          <w:bCs/>
          <w:lang w:val="el-GR"/>
        </w:rPr>
        <w:t>Γ. Επενδύσεις</w:t>
      </w:r>
    </w:p>
    <w:p w:rsidR="006F3975" w:rsidRDefault="006F3975" w:rsidP="001A78D1">
      <w:pPr>
        <w:spacing w:after="120"/>
        <w:ind w:left="288" w:firstLine="1152"/>
        <w:rPr>
          <w:rFonts w:ascii="Arial" w:hAnsi="Arial" w:cs="Arial"/>
          <w:b/>
          <w:bCs/>
          <w:lang w:val="el-GR"/>
        </w:rPr>
      </w:pPr>
      <w:r w:rsidRPr="00CA0AD3">
        <w:rPr>
          <w:rFonts w:ascii="Arial" w:hAnsi="Arial" w:cs="Arial"/>
          <w:b/>
          <w:bCs/>
          <w:lang w:val="el-GR"/>
        </w:rPr>
        <w:t>Δ. Τουρισμός</w:t>
      </w:r>
    </w:p>
    <w:p w:rsidR="00640FA0" w:rsidRDefault="00640FA0" w:rsidP="00640FA0">
      <w:pPr>
        <w:spacing w:after="120"/>
        <w:ind w:left="288" w:firstLine="1152"/>
        <w:rPr>
          <w:rFonts w:ascii="Arial" w:hAnsi="Arial" w:cs="Arial"/>
          <w:b/>
          <w:bCs/>
        </w:rPr>
      </w:pPr>
      <w:r>
        <w:rPr>
          <w:rFonts w:ascii="Arial" w:hAnsi="Arial" w:cs="Arial"/>
          <w:b/>
          <w:bCs/>
          <w:lang w:val="el-GR"/>
        </w:rPr>
        <w:t>Ε. Διεθνείς Εκθέσεις</w:t>
      </w:r>
    </w:p>
    <w:p w:rsidR="00AD49DC" w:rsidRPr="00AD49DC" w:rsidRDefault="00AD49DC" w:rsidP="00640FA0">
      <w:pPr>
        <w:spacing w:after="120"/>
        <w:ind w:left="288" w:firstLine="1152"/>
        <w:rPr>
          <w:rFonts w:ascii="Arial" w:hAnsi="Arial" w:cs="Arial"/>
          <w:b/>
          <w:bCs/>
          <w:lang w:val="el-GR"/>
        </w:rPr>
      </w:pPr>
      <w:r>
        <w:rPr>
          <w:rFonts w:ascii="Arial" w:hAnsi="Arial" w:cs="Arial"/>
          <w:b/>
          <w:bCs/>
          <w:lang w:val="el-GR"/>
        </w:rPr>
        <w:t xml:space="preserve">ΣΤ΄. </w:t>
      </w:r>
      <w:r w:rsidR="00543502">
        <w:rPr>
          <w:rFonts w:ascii="Arial" w:hAnsi="Arial" w:cs="Arial"/>
          <w:b/>
          <w:bCs/>
          <w:lang w:val="el-GR"/>
        </w:rPr>
        <w:t>Συμπεράσματα - Προτάσεις</w:t>
      </w:r>
    </w:p>
    <w:p w:rsidR="00812D1F" w:rsidRDefault="00812D1F" w:rsidP="00E81CFD">
      <w:pPr>
        <w:tabs>
          <w:tab w:val="right" w:leader="dot" w:pos="8505"/>
        </w:tabs>
        <w:spacing w:line="360" w:lineRule="auto"/>
        <w:jc w:val="center"/>
        <w:rPr>
          <w:rFonts w:ascii="Arial" w:hAnsi="Arial" w:cs="Arial"/>
          <w:b/>
          <w:bCs/>
          <w:color w:val="0000FF"/>
          <w:u w:val="single"/>
          <w:lang w:val="el-GR"/>
        </w:rPr>
      </w:pPr>
    </w:p>
    <w:p w:rsidR="00812D1F" w:rsidRDefault="00812D1F" w:rsidP="00E81CFD">
      <w:pPr>
        <w:tabs>
          <w:tab w:val="right" w:leader="dot" w:pos="8505"/>
        </w:tabs>
        <w:spacing w:line="360" w:lineRule="auto"/>
        <w:jc w:val="center"/>
        <w:rPr>
          <w:rFonts w:ascii="Arial" w:hAnsi="Arial" w:cs="Arial"/>
          <w:b/>
          <w:bCs/>
          <w:color w:val="0000FF"/>
          <w:u w:val="single"/>
          <w:lang w:val="el-GR"/>
        </w:rPr>
      </w:pPr>
    </w:p>
    <w:p w:rsidR="00E81CFD" w:rsidRPr="000A3CA5" w:rsidRDefault="00E81CFD" w:rsidP="00E81CFD">
      <w:pPr>
        <w:tabs>
          <w:tab w:val="right" w:leader="dot" w:pos="8505"/>
        </w:tabs>
        <w:spacing w:line="360" w:lineRule="auto"/>
        <w:jc w:val="center"/>
        <w:rPr>
          <w:rFonts w:asciiTheme="minorHAnsi" w:hAnsiTheme="minorHAnsi" w:cstheme="minorHAnsi"/>
          <w:b/>
          <w:bCs/>
          <w:color w:val="0000FF"/>
          <w:u w:val="single"/>
          <w:lang w:val="el-GR"/>
        </w:rPr>
      </w:pPr>
      <w:r w:rsidRPr="000A3CA5">
        <w:rPr>
          <w:rFonts w:asciiTheme="minorHAnsi" w:hAnsiTheme="minorHAnsi" w:cstheme="minorHAnsi"/>
          <w:b/>
          <w:bCs/>
          <w:color w:val="0000FF"/>
          <w:u w:val="single"/>
          <w:lang w:val="el-GR"/>
        </w:rPr>
        <w:lastRenderedPageBreak/>
        <w:t>ΚΕΦΑΛΑΙΟ 1</w:t>
      </w:r>
      <w:r w:rsidRPr="000A3CA5">
        <w:rPr>
          <w:rFonts w:asciiTheme="minorHAnsi" w:hAnsiTheme="minorHAnsi" w:cstheme="minorHAnsi"/>
          <w:b/>
          <w:bCs/>
          <w:color w:val="0000FF"/>
          <w:u w:val="single"/>
          <w:vertAlign w:val="superscript"/>
          <w:lang w:val="el-GR"/>
        </w:rPr>
        <w:t>ο</w:t>
      </w:r>
    </w:p>
    <w:p w:rsidR="00E81CFD" w:rsidRPr="000A3CA5" w:rsidRDefault="00E81CFD" w:rsidP="00E81CFD">
      <w:pPr>
        <w:tabs>
          <w:tab w:val="right" w:leader="dot" w:pos="8505"/>
        </w:tabs>
        <w:spacing w:line="360" w:lineRule="auto"/>
        <w:jc w:val="center"/>
        <w:rPr>
          <w:rFonts w:asciiTheme="minorHAnsi" w:hAnsiTheme="minorHAnsi" w:cstheme="minorHAnsi"/>
          <w:b/>
          <w:bCs/>
          <w:color w:val="0000FF"/>
          <w:lang w:val="el-GR"/>
        </w:rPr>
      </w:pPr>
      <w:r w:rsidRPr="000A3CA5">
        <w:rPr>
          <w:rFonts w:asciiTheme="minorHAnsi" w:hAnsiTheme="minorHAnsi" w:cstheme="minorHAnsi"/>
          <w:b/>
          <w:bCs/>
          <w:color w:val="0000FF"/>
          <w:lang w:val="el-GR"/>
        </w:rPr>
        <w:t>ΓΕΝΙΚΑ ΣΤΟΙΧΕΙΑ</w:t>
      </w:r>
    </w:p>
    <w:p w:rsidR="007102FC" w:rsidRPr="009F7B89" w:rsidRDefault="007102FC" w:rsidP="007102FC">
      <w:pPr>
        <w:widowControl w:val="0"/>
        <w:autoSpaceDE w:val="0"/>
        <w:autoSpaceDN w:val="0"/>
        <w:adjustRightInd w:val="0"/>
        <w:spacing w:line="200" w:lineRule="exact"/>
        <w:rPr>
          <w:rFonts w:asciiTheme="minorHAnsi" w:hAnsiTheme="minorHAnsi" w:cstheme="minorHAnsi"/>
          <w:lang w:val="el-GR"/>
        </w:rPr>
      </w:pPr>
    </w:p>
    <w:p w:rsidR="007102FC" w:rsidRPr="009F7B89" w:rsidRDefault="007102FC" w:rsidP="007102FC">
      <w:pPr>
        <w:widowControl w:val="0"/>
        <w:autoSpaceDE w:val="0"/>
        <w:autoSpaceDN w:val="0"/>
        <w:adjustRightInd w:val="0"/>
        <w:spacing w:line="200" w:lineRule="exact"/>
        <w:rPr>
          <w:rFonts w:asciiTheme="minorHAnsi" w:hAnsiTheme="minorHAnsi" w:cstheme="minorHAnsi"/>
          <w:lang w:val="el-GR"/>
        </w:rPr>
      </w:pPr>
    </w:p>
    <w:p w:rsidR="007102FC" w:rsidRPr="009F7B89" w:rsidRDefault="007102FC" w:rsidP="007102FC">
      <w:pPr>
        <w:widowControl w:val="0"/>
        <w:overflowPunct w:val="0"/>
        <w:autoSpaceDE w:val="0"/>
        <w:autoSpaceDN w:val="0"/>
        <w:adjustRightInd w:val="0"/>
        <w:jc w:val="both"/>
        <w:rPr>
          <w:rFonts w:asciiTheme="minorHAnsi" w:hAnsiTheme="minorHAnsi" w:cstheme="minorHAnsi"/>
          <w:lang w:val="el-GR"/>
        </w:rPr>
      </w:pPr>
      <w:r>
        <w:rPr>
          <w:rFonts w:asciiTheme="minorHAnsi" w:hAnsiTheme="minorHAnsi" w:cstheme="minorHAnsi"/>
          <w:lang w:val="el-GR"/>
        </w:rPr>
        <w:t xml:space="preserve">Με συνολική </w:t>
      </w:r>
      <w:r w:rsidRPr="009F7B89">
        <w:rPr>
          <w:rFonts w:asciiTheme="minorHAnsi" w:hAnsiTheme="minorHAnsi" w:cstheme="minorHAnsi"/>
          <w:lang w:val="el-GR"/>
        </w:rPr>
        <w:t xml:space="preserve">έκταση 93.028 </w:t>
      </w:r>
      <w:proofErr w:type="spellStart"/>
      <w:r w:rsidRPr="009F7B89">
        <w:rPr>
          <w:rFonts w:asciiTheme="minorHAnsi" w:hAnsiTheme="minorHAnsi" w:cstheme="minorHAnsi"/>
          <w:lang w:val="el-GR"/>
        </w:rPr>
        <w:t>τ.χλμ</w:t>
      </w:r>
      <w:proofErr w:type="spellEnd"/>
      <w:r w:rsidRPr="009F7B89">
        <w:rPr>
          <w:rFonts w:asciiTheme="minorHAnsi" w:hAnsiTheme="minorHAnsi" w:cstheme="minorHAnsi"/>
          <w:lang w:val="el-GR"/>
        </w:rPr>
        <w:t xml:space="preserve">. </w:t>
      </w:r>
      <w:r>
        <w:rPr>
          <w:rFonts w:asciiTheme="minorHAnsi" w:hAnsiTheme="minorHAnsi" w:cstheme="minorHAnsi"/>
          <w:lang w:val="el-GR"/>
        </w:rPr>
        <w:t xml:space="preserve">και με χερσαία </w:t>
      </w:r>
      <w:r w:rsidRPr="009F7B89">
        <w:rPr>
          <w:rFonts w:asciiTheme="minorHAnsi" w:hAnsiTheme="minorHAnsi" w:cstheme="minorHAnsi"/>
          <w:lang w:val="el-GR"/>
        </w:rPr>
        <w:t>σύνορα</w:t>
      </w:r>
      <w:r>
        <w:rPr>
          <w:rFonts w:asciiTheme="minorHAnsi" w:hAnsiTheme="minorHAnsi" w:cstheme="minorHAnsi"/>
          <w:lang w:val="el-GR"/>
        </w:rPr>
        <w:t xml:space="preserve">, μήκους 2.106 </w:t>
      </w:r>
      <w:proofErr w:type="spellStart"/>
      <w:r>
        <w:rPr>
          <w:rFonts w:asciiTheme="minorHAnsi" w:hAnsiTheme="minorHAnsi" w:cstheme="minorHAnsi"/>
          <w:lang w:val="el-GR"/>
        </w:rPr>
        <w:t>χλμ</w:t>
      </w:r>
      <w:proofErr w:type="spellEnd"/>
      <w:r>
        <w:rPr>
          <w:rFonts w:asciiTheme="minorHAnsi" w:hAnsiTheme="minorHAnsi" w:cstheme="minorHAnsi"/>
          <w:lang w:val="el-GR"/>
        </w:rPr>
        <w:t xml:space="preserve"> , η Ουγγαρία είναι η μοναδική χώρα της Ευρώπης που συνορεύει </w:t>
      </w:r>
      <w:r w:rsidRPr="009F7B89">
        <w:rPr>
          <w:rFonts w:asciiTheme="minorHAnsi" w:hAnsiTheme="minorHAnsi" w:cstheme="minorHAnsi"/>
          <w:lang w:val="el-GR"/>
        </w:rPr>
        <w:t xml:space="preserve">με επτά </w:t>
      </w:r>
      <w:r>
        <w:rPr>
          <w:rFonts w:asciiTheme="minorHAnsi" w:hAnsiTheme="minorHAnsi" w:cstheme="minorHAnsi"/>
          <w:lang w:val="el-GR"/>
        </w:rPr>
        <w:t xml:space="preserve"> χώρες, </w:t>
      </w:r>
      <w:r w:rsidRPr="009F7B89">
        <w:rPr>
          <w:rFonts w:asciiTheme="minorHAnsi" w:hAnsiTheme="minorHAnsi" w:cstheme="minorHAnsi"/>
          <w:lang w:val="el-GR"/>
        </w:rPr>
        <w:t xml:space="preserve">εκ των οποίων οι πέντε </w:t>
      </w:r>
      <w:r>
        <w:rPr>
          <w:rFonts w:asciiTheme="minorHAnsi" w:hAnsiTheme="minorHAnsi" w:cstheme="minorHAnsi"/>
          <w:lang w:val="el-GR"/>
        </w:rPr>
        <w:t xml:space="preserve">είναι </w:t>
      </w:r>
      <w:proofErr w:type="spellStart"/>
      <w:r>
        <w:rPr>
          <w:rFonts w:asciiTheme="minorHAnsi" w:hAnsiTheme="minorHAnsi" w:cstheme="minorHAnsi"/>
          <w:lang w:val="el-GR"/>
        </w:rPr>
        <w:t>κ.μ</w:t>
      </w:r>
      <w:proofErr w:type="spellEnd"/>
      <w:r>
        <w:rPr>
          <w:rFonts w:asciiTheme="minorHAnsi" w:hAnsiTheme="minorHAnsi" w:cstheme="minorHAnsi"/>
          <w:lang w:val="el-GR"/>
        </w:rPr>
        <w:t xml:space="preserve">. της ΕΕ (Αυστρία, Κροατία, Σλοβενία, Ρουμανία και Σλοβακία) και οι άλλες δύο είναι η Σερβία και η Ουκρανία. </w:t>
      </w:r>
      <w:r w:rsidRPr="009F7B89">
        <w:rPr>
          <w:rFonts w:asciiTheme="minorHAnsi" w:hAnsiTheme="minorHAnsi" w:cstheme="minorHAnsi"/>
          <w:lang w:val="el-GR"/>
        </w:rPr>
        <w:t xml:space="preserve">Την Ουγγαρία διασχίζουν δύο μεγάλοι ποταμοί: α) </w:t>
      </w:r>
      <w:r>
        <w:rPr>
          <w:rFonts w:asciiTheme="minorHAnsi" w:hAnsiTheme="minorHAnsi" w:cstheme="minorHAnsi"/>
          <w:lang w:val="el-GR"/>
        </w:rPr>
        <w:t xml:space="preserve">ο Δούναβης που συνιστά την βασική υδάτινη οδό </w:t>
      </w:r>
      <w:r w:rsidRPr="009F7B89">
        <w:rPr>
          <w:rFonts w:asciiTheme="minorHAnsi" w:hAnsiTheme="minorHAnsi" w:cstheme="minorHAnsi"/>
          <w:lang w:val="el-GR"/>
        </w:rPr>
        <w:t>ναυσ</w:t>
      </w:r>
      <w:r>
        <w:rPr>
          <w:rFonts w:asciiTheme="minorHAnsi" w:hAnsiTheme="minorHAnsi" w:cstheme="minorHAnsi"/>
          <w:lang w:val="el-GR"/>
        </w:rPr>
        <w:t xml:space="preserve">ιπλοΐας της Ευρώπης, </w:t>
      </w:r>
      <w:r w:rsidRPr="009F7B89">
        <w:rPr>
          <w:rFonts w:asciiTheme="minorHAnsi" w:hAnsiTheme="minorHAnsi" w:cstheme="minorHAnsi"/>
          <w:lang w:val="el-GR"/>
        </w:rPr>
        <w:t xml:space="preserve">με μήκος 417 </w:t>
      </w:r>
      <w:proofErr w:type="spellStart"/>
      <w:r w:rsidRPr="009F7B89">
        <w:rPr>
          <w:rFonts w:asciiTheme="minorHAnsi" w:hAnsiTheme="minorHAnsi" w:cstheme="minorHAnsi"/>
          <w:lang w:val="el-GR"/>
        </w:rPr>
        <w:t>χλμ</w:t>
      </w:r>
      <w:proofErr w:type="spellEnd"/>
      <w:r w:rsidRPr="009F7B89">
        <w:rPr>
          <w:rFonts w:asciiTheme="minorHAnsi" w:hAnsiTheme="minorHAnsi" w:cstheme="minorHAnsi"/>
          <w:lang w:val="el-GR"/>
        </w:rPr>
        <w:t xml:space="preserve">. εντός ουγγρικού εδάφους (συνολικό μήκος ποταμού 2.860 </w:t>
      </w:r>
      <w:proofErr w:type="spellStart"/>
      <w:r w:rsidRPr="009F7B89">
        <w:rPr>
          <w:rFonts w:asciiTheme="minorHAnsi" w:hAnsiTheme="minorHAnsi" w:cstheme="minorHAnsi"/>
          <w:lang w:val="el-GR"/>
        </w:rPr>
        <w:t>χλμ</w:t>
      </w:r>
      <w:proofErr w:type="spellEnd"/>
      <w:r w:rsidRPr="009F7B89">
        <w:rPr>
          <w:rFonts w:asciiTheme="minorHAnsi" w:hAnsiTheme="minorHAnsi" w:cstheme="minorHAnsi"/>
          <w:lang w:val="el-GR"/>
        </w:rPr>
        <w:t>.</w:t>
      </w:r>
      <w:r>
        <w:rPr>
          <w:rFonts w:asciiTheme="minorHAnsi" w:hAnsiTheme="minorHAnsi" w:cstheme="minorHAnsi"/>
          <w:lang w:val="el-GR"/>
        </w:rPr>
        <w:t xml:space="preserve">) </w:t>
      </w:r>
      <w:r w:rsidRPr="009F7B89">
        <w:rPr>
          <w:rFonts w:asciiTheme="minorHAnsi" w:hAnsiTheme="minorHAnsi" w:cstheme="minorHAnsi"/>
          <w:lang w:val="el-GR"/>
        </w:rPr>
        <w:t xml:space="preserve">και β) ο </w:t>
      </w:r>
      <w:proofErr w:type="spellStart"/>
      <w:r w:rsidRPr="009F7B89">
        <w:rPr>
          <w:rFonts w:asciiTheme="minorHAnsi" w:hAnsiTheme="minorHAnsi" w:cstheme="minorHAnsi"/>
          <w:lang w:val="el-GR"/>
        </w:rPr>
        <w:t>Τίσα</w:t>
      </w:r>
      <w:proofErr w:type="spellEnd"/>
      <w:r w:rsidRPr="009F7B89">
        <w:rPr>
          <w:rFonts w:asciiTheme="minorHAnsi" w:hAnsiTheme="minorHAnsi" w:cstheme="minorHAnsi"/>
          <w:lang w:val="el-GR"/>
        </w:rPr>
        <w:t xml:space="preserve"> (</w:t>
      </w:r>
      <w:r w:rsidRPr="009F7B89">
        <w:rPr>
          <w:rFonts w:asciiTheme="minorHAnsi" w:hAnsiTheme="minorHAnsi" w:cstheme="minorHAnsi"/>
        </w:rPr>
        <w:t>Tisza</w:t>
      </w:r>
      <w:r w:rsidRPr="009F7B89">
        <w:rPr>
          <w:rFonts w:asciiTheme="minorHAnsi" w:hAnsiTheme="minorHAnsi" w:cstheme="minorHAnsi"/>
          <w:lang w:val="el-GR"/>
        </w:rPr>
        <w:t xml:space="preserve">), με μήκος 596 </w:t>
      </w:r>
      <w:proofErr w:type="spellStart"/>
      <w:r w:rsidRPr="009F7B89">
        <w:rPr>
          <w:rFonts w:asciiTheme="minorHAnsi" w:hAnsiTheme="minorHAnsi" w:cstheme="minorHAnsi"/>
          <w:lang w:val="el-GR"/>
        </w:rPr>
        <w:t>χλμ</w:t>
      </w:r>
      <w:proofErr w:type="spellEnd"/>
      <w:r w:rsidRPr="009F7B89">
        <w:rPr>
          <w:rFonts w:asciiTheme="minorHAnsi" w:hAnsiTheme="minorHAnsi" w:cstheme="minorHAnsi"/>
          <w:lang w:val="el-GR"/>
        </w:rPr>
        <w:t xml:space="preserve">. σε ουγγρικό έδαφος (συνολικό μήκος ποταμού 977 </w:t>
      </w:r>
      <w:proofErr w:type="spellStart"/>
      <w:r w:rsidRPr="009F7B89">
        <w:rPr>
          <w:rFonts w:asciiTheme="minorHAnsi" w:hAnsiTheme="minorHAnsi" w:cstheme="minorHAnsi"/>
          <w:lang w:val="el-GR"/>
        </w:rPr>
        <w:t>χλμ</w:t>
      </w:r>
      <w:proofErr w:type="spellEnd"/>
      <w:r w:rsidRPr="009F7B89">
        <w:rPr>
          <w:rFonts w:asciiTheme="minorHAnsi" w:hAnsiTheme="minorHAnsi" w:cstheme="minorHAnsi"/>
          <w:lang w:val="el-GR"/>
        </w:rPr>
        <w:t>.)</w:t>
      </w:r>
      <w:r>
        <w:rPr>
          <w:rFonts w:asciiTheme="minorHAnsi" w:hAnsiTheme="minorHAnsi" w:cstheme="minorHAnsi"/>
          <w:lang w:val="el-GR"/>
        </w:rPr>
        <w:t>.</w:t>
      </w:r>
    </w:p>
    <w:p w:rsidR="007102FC" w:rsidRDefault="007102FC" w:rsidP="007102FC">
      <w:pPr>
        <w:widowControl w:val="0"/>
        <w:overflowPunct w:val="0"/>
        <w:autoSpaceDE w:val="0"/>
        <w:autoSpaceDN w:val="0"/>
        <w:adjustRightInd w:val="0"/>
        <w:jc w:val="both"/>
        <w:rPr>
          <w:rFonts w:asciiTheme="minorHAnsi" w:hAnsiTheme="minorHAnsi" w:cstheme="minorHAnsi"/>
          <w:lang w:val="el-GR"/>
        </w:rPr>
      </w:pPr>
      <w:bookmarkStart w:id="0" w:name="page4"/>
      <w:bookmarkEnd w:id="0"/>
    </w:p>
    <w:p w:rsidR="007102FC" w:rsidRDefault="007102FC" w:rsidP="007102FC">
      <w:pPr>
        <w:widowControl w:val="0"/>
        <w:overflowPunct w:val="0"/>
        <w:autoSpaceDE w:val="0"/>
        <w:autoSpaceDN w:val="0"/>
        <w:adjustRightInd w:val="0"/>
        <w:jc w:val="both"/>
        <w:rPr>
          <w:rFonts w:asciiTheme="minorHAnsi" w:hAnsiTheme="minorHAnsi" w:cstheme="minorHAnsi"/>
          <w:lang w:val="el-GR"/>
        </w:rPr>
      </w:pPr>
      <w:r w:rsidRPr="009F7B89">
        <w:rPr>
          <w:rFonts w:asciiTheme="minorHAnsi" w:hAnsiTheme="minorHAnsi" w:cstheme="minorHAnsi"/>
          <w:lang w:val="el-GR"/>
        </w:rPr>
        <w:t>Ο πληθυσμός της χώρας</w:t>
      </w:r>
      <w:r>
        <w:rPr>
          <w:rFonts w:asciiTheme="minorHAnsi" w:hAnsiTheme="minorHAnsi" w:cstheme="minorHAnsi"/>
          <w:lang w:val="el-GR"/>
        </w:rPr>
        <w:t>, σύμφωνα με την τελευταία απογραφή,</w:t>
      </w:r>
      <w:r w:rsidRPr="009F7B89">
        <w:rPr>
          <w:rFonts w:asciiTheme="minorHAnsi" w:hAnsiTheme="minorHAnsi" w:cstheme="minorHAnsi"/>
          <w:lang w:val="el-GR"/>
        </w:rPr>
        <w:t xml:space="preserve"> το 2020</w:t>
      </w:r>
      <w:r>
        <w:rPr>
          <w:rFonts w:asciiTheme="minorHAnsi" w:hAnsiTheme="minorHAnsi" w:cstheme="minorHAnsi"/>
          <w:lang w:val="el-GR"/>
        </w:rPr>
        <w:t>, ανήλθε</w:t>
      </w:r>
      <w:r w:rsidRPr="009F7B89">
        <w:rPr>
          <w:rFonts w:asciiTheme="minorHAnsi" w:hAnsiTheme="minorHAnsi" w:cstheme="minorHAnsi"/>
          <w:lang w:val="el-GR"/>
        </w:rPr>
        <w:t xml:space="preserve"> σε 9.769.526 κατοίκους </w:t>
      </w:r>
      <w:r>
        <w:rPr>
          <w:rFonts w:asciiTheme="minorHAnsi" w:hAnsiTheme="minorHAnsi" w:cstheme="minorHAnsi"/>
          <w:lang w:val="el-GR"/>
        </w:rPr>
        <w:t>ενώ τ</w:t>
      </w:r>
      <w:r w:rsidRPr="009F7B89">
        <w:rPr>
          <w:rFonts w:asciiTheme="minorHAnsi" w:hAnsiTheme="minorHAnsi" w:cstheme="minorHAnsi"/>
          <w:lang w:val="el-GR"/>
        </w:rPr>
        <w:t xml:space="preserve">ο προσδόκιμο ζωής για τους άνδρες είναι τα 72,8 χρόνια </w:t>
      </w:r>
      <w:r>
        <w:rPr>
          <w:rFonts w:asciiTheme="minorHAnsi" w:hAnsiTheme="minorHAnsi" w:cstheme="minorHAnsi"/>
          <w:lang w:val="el-GR"/>
        </w:rPr>
        <w:t xml:space="preserve">και </w:t>
      </w:r>
      <w:r w:rsidRPr="009F7B89">
        <w:rPr>
          <w:rFonts w:asciiTheme="minorHAnsi" w:hAnsiTheme="minorHAnsi" w:cstheme="minorHAnsi"/>
          <w:lang w:val="el-GR"/>
        </w:rPr>
        <w:t>για τις γυναίκες τα 79,33</w:t>
      </w:r>
      <w:r>
        <w:rPr>
          <w:rFonts w:asciiTheme="minorHAnsi" w:hAnsiTheme="minorHAnsi" w:cstheme="minorHAnsi"/>
          <w:lang w:val="el-GR"/>
        </w:rPr>
        <w:t>.</w:t>
      </w:r>
      <w:r w:rsidRPr="009F7B89">
        <w:rPr>
          <w:rFonts w:asciiTheme="minorHAnsi" w:hAnsiTheme="minorHAnsi" w:cstheme="minorHAnsi"/>
          <w:lang w:val="el-GR"/>
        </w:rPr>
        <w:t xml:space="preserve"> Για ακόμη μία χρονιά, ο πληθυσμός της Ουγγαρίας διαμορφώνεται κάτω από το ψυχολογικό όριο των 10 εκατ. κατοίκων. Η πληθυσμιακή συρρίκνωση οφείλεται τόσο στον αρνητικό ρυθμό αύξησης του πληθυσμού, όσο και στον αυξανόμενο αριθμό Ούγγρων πολιτών που μεταναστεύει</w:t>
      </w:r>
      <w:r>
        <w:rPr>
          <w:rFonts w:asciiTheme="minorHAnsi" w:hAnsiTheme="minorHAnsi" w:cstheme="minorHAnsi"/>
          <w:lang w:val="el-GR"/>
        </w:rPr>
        <w:t>.</w:t>
      </w:r>
      <w:r w:rsidRPr="009F7B89">
        <w:rPr>
          <w:rFonts w:asciiTheme="minorHAnsi" w:hAnsiTheme="minorHAnsi" w:cstheme="minorHAnsi"/>
          <w:lang w:val="el-GR"/>
        </w:rPr>
        <w:t xml:space="preserve"> </w:t>
      </w:r>
      <w:r>
        <w:rPr>
          <w:rFonts w:asciiTheme="minorHAnsi" w:hAnsiTheme="minorHAnsi" w:cstheme="minorHAnsi"/>
          <w:lang w:val="el-GR"/>
        </w:rPr>
        <w:t>Σ</w:t>
      </w:r>
      <w:r w:rsidRPr="009F7B89">
        <w:rPr>
          <w:rFonts w:asciiTheme="minorHAnsi" w:hAnsiTheme="minorHAnsi" w:cstheme="minorHAnsi"/>
          <w:lang w:val="el-GR"/>
        </w:rPr>
        <w:t xml:space="preserve">ύμφωνα με στοιχεία της </w:t>
      </w:r>
      <w:r>
        <w:rPr>
          <w:rFonts w:asciiTheme="minorHAnsi" w:hAnsiTheme="minorHAnsi" w:cstheme="minorHAnsi"/>
          <w:lang w:val="el-GR"/>
        </w:rPr>
        <w:t>εδώ</w:t>
      </w:r>
      <w:r w:rsidRPr="009F7B89">
        <w:rPr>
          <w:rFonts w:asciiTheme="minorHAnsi" w:hAnsiTheme="minorHAnsi" w:cstheme="minorHAnsi"/>
          <w:lang w:val="el-GR"/>
        </w:rPr>
        <w:t xml:space="preserve"> Στατιστικής Υπηρεσίας, ο συνολικός αριθμός των Ούγγρων υπηκόων που μετανάστευσαν από τη χώρα το 2020 διαμορφώθηκε σε 19.300. </w:t>
      </w:r>
      <w:r>
        <w:rPr>
          <w:rFonts w:asciiTheme="minorHAnsi" w:hAnsiTheme="minorHAnsi" w:cstheme="minorHAnsi"/>
          <w:lang w:val="el-GR"/>
        </w:rPr>
        <w:t xml:space="preserve">Οι </w:t>
      </w:r>
      <w:r w:rsidRPr="009F7B89">
        <w:rPr>
          <w:rFonts w:asciiTheme="minorHAnsi" w:hAnsiTheme="minorHAnsi" w:cstheme="minorHAnsi"/>
          <w:lang w:val="el-GR"/>
        </w:rPr>
        <w:t xml:space="preserve"> χώρες της Ε.Ε. </w:t>
      </w:r>
      <w:r>
        <w:rPr>
          <w:rFonts w:asciiTheme="minorHAnsi" w:hAnsiTheme="minorHAnsi" w:cstheme="minorHAnsi"/>
          <w:lang w:val="el-GR"/>
        </w:rPr>
        <w:t xml:space="preserve">που προτιμούνται από τους </w:t>
      </w:r>
      <w:r w:rsidRPr="009F7B89">
        <w:rPr>
          <w:rFonts w:asciiTheme="minorHAnsi" w:hAnsiTheme="minorHAnsi" w:cstheme="minorHAnsi"/>
          <w:lang w:val="el-GR"/>
        </w:rPr>
        <w:t>Ο</w:t>
      </w:r>
      <w:r>
        <w:rPr>
          <w:rFonts w:asciiTheme="minorHAnsi" w:hAnsiTheme="minorHAnsi" w:cstheme="minorHAnsi"/>
          <w:lang w:val="el-GR"/>
        </w:rPr>
        <w:t>ύγγρους υπηκόους</w:t>
      </w:r>
      <w:r w:rsidRPr="009F7B89">
        <w:rPr>
          <w:rFonts w:asciiTheme="minorHAnsi" w:hAnsiTheme="minorHAnsi" w:cstheme="minorHAnsi"/>
          <w:lang w:val="el-GR"/>
        </w:rPr>
        <w:t xml:space="preserve"> για </w:t>
      </w:r>
      <w:r>
        <w:rPr>
          <w:rFonts w:asciiTheme="minorHAnsi" w:hAnsiTheme="minorHAnsi" w:cstheme="minorHAnsi"/>
          <w:lang w:val="el-GR"/>
        </w:rPr>
        <w:t xml:space="preserve">αναζήτηση εργασίας και πιθανότητα εγκατάστασης είναι η </w:t>
      </w:r>
      <w:r w:rsidRPr="009F7B89">
        <w:rPr>
          <w:rFonts w:asciiTheme="minorHAnsi" w:hAnsiTheme="minorHAnsi" w:cstheme="minorHAnsi"/>
          <w:lang w:val="el-GR"/>
        </w:rPr>
        <w:t xml:space="preserve">Αυστρία, </w:t>
      </w:r>
      <w:r>
        <w:rPr>
          <w:rFonts w:asciiTheme="minorHAnsi" w:hAnsiTheme="minorHAnsi" w:cstheme="minorHAnsi"/>
          <w:lang w:val="el-GR"/>
        </w:rPr>
        <w:t xml:space="preserve">η </w:t>
      </w:r>
      <w:r w:rsidRPr="009F7B89">
        <w:rPr>
          <w:rFonts w:asciiTheme="minorHAnsi" w:hAnsiTheme="minorHAnsi" w:cstheme="minorHAnsi"/>
          <w:lang w:val="el-GR"/>
        </w:rPr>
        <w:t xml:space="preserve">Γερμανία και </w:t>
      </w:r>
      <w:r>
        <w:rPr>
          <w:rFonts w:asciiTheme="minorHAnsi" w:hAnsiTheme="minorHAnsi" w:cstheme="minorHAnsi"/>
          <w:lang w:val="el-GR"/>
        </w:rPr>
        <w:t xml:space="preserve">το </w:t>
      </w:r>
      <w:r w:rsidRPr="009F7B89">
        <w:rPr>
          <w:rFonts w:asciiTheme="minorHAnsi" w:hAnsiTheme="minorHAnsi" w:cstheme="minorHAnsi"/>
          <w:lang w:val="el-GR"/>
        </w:rPr>
        <w:t xml:space="preserve">Ην. Βασίλειο (στο οποίο, προ </w:t>
      </w:r>
      <w:r w:rsidRPr="009F7B89">
        <w:rPr>
          <w:rFonts w:asciiTheme="minorHAnsi" w:hAnsiTheme="minorHAnsi" w:cstheme="minorHAnsi"/>
          <w:lang w:val="hu-HU"/>
        </w:rPr>
        <w:t>Brexit</w:t>
      </w:r>
      <w:r w:rsidRPr="009F7B89">
        <w:rPr>
          <w:rFonts w:asciiTheme="minorHAnsi" w:hAnsiTheme="minorHAnsi" w:cstheme="minorHAnsi"/>
          <w:lang w:val="el-GR"/>
        </w:rPr>
        <w:t xml:space="preserve">, κατοικούσαν συνολικά 250 χιλ Ούγγροι). </w:t>
      </w:r>
    </w:p>
    <w:p w:rsidR="007102FC" w:rsidRPr="009F7B89" w:rsidRDefault="007102FC" w:rsidP="007102FC">
      <w:pPr>
        <w:widowControl w:val="0"/>
        <w:overflowPunct w:val="0"/>
        <w:autoSpaceDE w:val="0"/>
        <w:autoSpaceDN w:val="0"/>
        <w:adjustRightInd w:val="0"/>
        <w:jc w:val="both"/>
        <w:rPr>
          <w:rFonts w:asciiTheme="minorHAnsi" w:hAnsiTheme="minorHAnsi" w:cstheme="minorHAnsi"/>
          <w:lang w:val="el-GR"/>
        </w:rPr>
      </w:pPr>
    </w:p>
    <w:p w:rsidR="007102FC" w:rsidRPr="009F7B89" w:rsidRDefault="007102FC" w:rsidP="007102FC">
      <w:pPr>
        <w:widowControl w:val="0"/>
        <w:overflowPunct w:val="0"/>
        <w:autoSpaceDE w:val="0"/>
        <w:autoSpaceDN w:val="0"/>
        <w:adjustRightInd w:val="0"/>
        <w:jc w:val="both"/>
        <w:rPr>
          <w:rFonts w:asciiTheme="minorHAnsi" w:hAnsiTheme="minorHAnsi" w:cstheme="minorHAnsi"/>
          <w:lang w:val="el-GR"/>
        </w:rPr>
      </w:pPr>
      <w:r w:rsidRPr="009F7B89">
        <w:rPr>
          <w:rFonts w:asciiTheme="minorHAnsi" w:hAnsiTheme="minorHAnsi" w:cstheme="minorHAnsi"/>
          <w:lang w:val="el-GR"/>
        </w:rPr>
        <w:t xml:space="preserve">Η εθνική σύνθεση της χώρας παρουσιάζει </w:t>
      </w:r>
      <w:r>
        <w:rPr>
          <w:rFonts w:asciiTheme="minorHAnsi" w:hAnsiTheme="minorHAnsi" w:cstheme="minorHAnsi"/>
          <w:lang w:val="el-GR"/>
        </w:rPr>
        <w:t xml:space="preserve">ιδιαίτερα υψηλή </w:t>
      </w:r>
      <w:r w:rsidRPr="009F7B89">
        <w:rPr>
          <w:rFonts w:asciiTheme="minorHAnsi" w:hAnsiTheme="minorHAnsi" w:cstheme="minorHAnsi"/>
          <w:lang w:val="el-GR"/>
        </w:rPr>
        <w:t>ομοιογένεια, με ποσοστό άνω του 90% να είναι Ουγγρικής καταγωγής, ενώ υπάρχουν και 13 αναγνωρισμένες εθνότητες</w:t>
      </w:r>
      <w:r w:rsidR="00B76918">
        <w:rPr>
          <w:rFonts w:asciiTheme="minorHAnsi" w:hAnsiTheme="minorHAnsi" w:cstheme="minorHAnsi"/>
          <w:lang w:val="el-GR"/>
        </w:rPr>
        <w:t xml:space="preserve">, μεταξύ των οποίων </w:t>
      </w:r>
      <w:r>
        <w:rPr>
          <w:rFonts w:asciiTheme="minorHAnsi" w:hAnsiTheme="minorHAnsi" w:cstheme="minorHAnsi"/>
          <w:lang w:val="el-GR"/>
        </w:rPr>
        <w:t xml:space="preserve">  και η ελληνική (περί τα 3.900 άτομα), με </w:t>
      </w:r>
      <w:r w:rsidRPr="009F7B89">
        <w:rPr>
          <w:rFonts w:asciiTheme="minorHAnsi" w:hAnsiTheme="minorHAnsi" w:cstheme="minorHAnsi"/>
          <w:lang w:val="el-GR"/>
        </w:rPr>
        <w:t xml:space="preserve"> πολυπληθέστερη </w:t>
      </w:r>
      <w:r>
        <w:rPr>
          <w:rFonts w:asciiTheme="minorHAnsi" w:hAnsiTheme="minorHAnsi" w:cstheme="minorHAnsi"/>
          <w:lang w:val="el-GR"/>
        </w:rPr>
        <w:t xml:space="preserve">μακράν την εθνότητα των </w:t>
      </w:r>
      <w:proofErr w:type="spellStart"/>
      <w:r>
        <w:rPr>
          <w:rFonts w:asciiTheme="minorHAnsi" w:hAnsiTheme="minorHAnsi" w:cstheme="minorHAnsi"/>
          <w:lang w:val="el-GR"/>
        </w:rPr>
        <w:t>Ρομά</w:t>
      </w:r>
      <w:proofErr w:type="spellEnd"/>
      <w:r>
        <w:rPr>
          <w:rFonts w:asciiTheme="minorHAnsi" w:hAnsiTheme="minorHAnsi" w:cstheme="minorHAnsi"/>
          <w:lang w:val="el-GR"/>
        </w:rPr>
        <w:t>.</w:t>
      </w:r>
      <w:r w:rsidRPr="009F7B89">
        <w:rPr>
          <w:rFonts w:asciiTheme="minorHAnsi" w:hAnsiTheme="minorHAnsi" w:cstheme="minorHAnsi"/>
          <w:lang w:val="el-GR"/>
        </w:rPr>
        <w:t xml:space="preserve"> </w:t>
      </w:r>
    </w:p>
    <w:p w:rsidR="007102FC" w:rsidRPr="009F7B89" w:rsidRDefault="007102FC" w:rsidP="007102FC">
      <w:pPr>
        <w:widowControl w:val="0"/>
        <w:autoSpaceDE w:val="0"/>
        <w:autoSpaceDN w:val="0"/>
        <w:adjustRightInd w:val="0"/>
        <w:spacing w:line="178" w:lineRule="exact"/>
        <w:rPr>
          <w:rFonts w:asciiTheme="minorHAnsi" w:hAnsiTheme="minorHAnsi" w:cstheme="minorHAnsi"/>
          <w:lang w:val="el-GR"/>
        </w:rPr>
      </w:pPr>
    </w:p>
    <w:p w:rsidR="007102FC" w:rsidRDefault="007102FC" w:rsidP="007102FC">
      <w:pPr>
        <w:widowControl w:val="0"/>
        <w:overflowPunct w:val="0"/>
        <w:autoSpaceDE w:val="0"/>
        <w:autoSpaceDN w:val="0"/>
        <w:adjustRightInd w:val="0"/>
        <w:jc w:val="both"/>
        <w:rPr>
          <w:rFonts w:asciiTheme="minorHAnsi" w:hAnsiTheme="minorHAnsi" w:cstheme="minorHAnsi"/>
          <w:lang w:val="el-GR"/>
        </w:rPr>
      </w:pPr>
      <w:r w:rsidRPr="009F7B89">
        <w:rPr>
          <w:rFonts w:asciiTheme="minorHAnsi" w:hAnsiTheme="minorHAnsi" w:cstheme="minorHAnsi"/>
          <w:lang w:val="el-GR"/>
        </w:rPr>
        <w:t xml:space="preserve">Οι σημαντικότερες πόλεις </w:t>
      </w:r>
      <w:r>
        <w:rPr>
          <w:rFonts w:asciiTheme="minorHAnsi" w:hAnsiTheme="minorHAnsi" w:cstheme="minorHAnsi"/>
          <w:lang w:val="el-GR"/>
        </w:rPr>
        <w:t>εκτός από την</w:t>
      </w:r>
      <w:r w:rsidRPr="009F7B89">
        <w:rPr>
          <w:rFonts w:asciiTheme="minorHAnsi" w:hAnsiTheme="minorHAnsi" w:cstheme="minorHAnsi"/>
          <w:lang w:val="el-GR"/>
        </w:rPr>
        <w:t xml:space="preserve"> πρωτεύουσα Βουδαπέστη, η οποία με 23 Διοικητικά Διαμερίσματα, αποτελεί το οικονομικό, διοικητικό, πολιτιστικό, επιστημονικό και εμπορικό κέντρο της χώρας (πληθυσμός 1.749.734</w:t>
      </w:r>
      <w:r>
        <w:rPr>
          <w:rFonts w:asciiTheme="minorHAnsi" w:hAnsiTheme="minorHAnsi" w:cstheme="minorHAnsi"/>
          <w:lang w:val="el-GR"/>
        </w:rPr>
        <w:t>) και  α</w:t>
      </w:r>
      <w:r w:rsidRPr="009F7B89">
        <w:rPr>
          <w:rFonts w:asciiTheme="minorHAnsi" w:hAnsiTheme="minorHAnsi" w:cstheme="minorHAnsi"/>
          <w:lang w:val="el-GR"/>
        </w:rPr>
        <w:t xml:space="preserve">κολουθούν οι πόλεις </w:t>
      </w:r>
      <w:proofErr w:type="spellStart"/>
      <w:r w:rsidRPr="009F7B89">
        <w:rPr>
          <w:rFonts w:asciiTheme="minorHAnsi" w:hAnsiTheme="minorHAnsi" w:cstheme="minorHAnsi"/>
          <w:lang w:val="el-GR"/>
        </w:rPr>
        <w:t>Ντέμπρετσεν</w:t>
      </w:r>
      <w:proofErr w:type="spellEnd"/>
      <w:r w:rsidRPr="009F7B89">
        <w:rPr>
          <w:rFonts w:asciiTheme="minorHAnsi" w:hAnsiTheme="minorHAnsi" w:cstheme="minorHAnsi"/>
          <w:lang w:val="el-GR"/>
        </w:rPr>
        <w:t xml:space="preserve"> (</w:t>
      </w:r>
      <w:r w:rsidRPr="009F7B89">
        <w:rPr>
          <w:rFonts w:asciiTheme="minorHAnsi" w:hAnsiTheme="minorHAnsi" w:cstheme="minorHAnsi"/>
        </w:rPr>
        <w:t>Debrecen</w:t>
      </w:r>
      <w:r w:rsidRPr="009F7B89">
        <w:rPr>
          <w:rFonts w:asciiTheme="minorHAnsi" w:hAnsiTheme="minorHAnsi" w:cstheme="minorHAnsi"/>
          <w:lang w:val="el-GR"/>
        </w:rPr>
        <w:t xml:space="preserve">, 204 χιλ. κάτ.), </w:t>
      </w:r>
      <w:proofErr w:type="spellStart"/>
      <w:r w:rsidRPr="009F7B89">
        <w:rPr>
          <w:rFonts w:asciiTheme="minorHAnsi" w:hAnsiTheme="minorHAnsi" w:cstheme="minorHAnsi"/>
          <w:lang w:val="el-GR"/>
        </w:rPr>
        <w:t>Σέγκεντ</w:t>
      </w:r>
      <w:proofErr w:type="spellEnd"/>
      <w:r w:rsidRPr="009F7B89">
        <w:rPr>
          <w:rFonts w:asciiTheme="minorHAnsi" w:hAnsiTheme="minorHAnsi" w:cstheme="minorHAnsi"/>
          <w:lang w:val="el-GR"/>
        </w:rPr>
        <w:t xml:space="preserve"> (</w:t>
      </w:r>
      <w:r w:rsidRPr="009F7B89">
        <w:rPr>
          <w:rFonts w:asciiTheme="minorHAnsi" w:hAnsiTheme="minorHAnsi" w:cstheme="minorHAnsi"/>
        </w:rPr>
        <w:t>Szeged</w:t>
      </w:r>
      <w:r w:rsidRPr="009F7B89">
        <w:rPr>
          <w:rFonts w:asciiTheme="minorHAnsi" w:hAnsiTheme="minorHAnsi" w:cstheme="minorHAnsi"/>
          <w:lang w:val="el-GR"/>
        </w:rPr>
        <w:t>, 169 χιλ. κάτ.), Μίσκολτς (</w:t>
      </w:r>
      <w:proofErr w:type="spellStart"/>
      <w:r w:rsidRPr="009F7B89">
        <w:rPr>
          <w:rFonts w:asciiTheme="minorHAnsi" w:hAnsiTheme="minorHAnsi" w:cstheme="minorHAnsi"/>
        </w:rPr>
        <w:t>Miscolc</w:t>
      </w:r>
      <w:proofErr w:type="spellEnd"/>
      <w:r w:rsidRPr="009F7B89">
        <w:rPr>
          <w:rFonts w:asciiTheme="minorHAnsi" w:hAnsiTheme="minorHAnsi" w:cstheme="minorHAnsi"/>
          <w:lang w:val="el-GR"/>
        </w:rPr>
        <w:t>, 162 χιλ. κάτ.), Πετς (</w:t>
      </w:r>
      <w:r w:rsidRPr="009F7B89">
        <w:rPr>
          <w:rFonts w:asciiTheme="minorHAnsi" w:hAnsiTheme="minorHAnsi" w:cstheme="minorHAnsi"/>
        </w:rPr>
        <w:t>P</w:t>
      </w:r>
      <w:r w:rsidRPr="009F7B89">
        <w:rPr>
          <w:rFonts w:asciiTheme="minorHAnsi" w:hAnsiTheme="minorHAnsi" w:cstheme="minorHAnsi"/>
          <w:lang w:val="el-GR"/>
        </w:rPr>
        <w:t>é</w:t>
      </w:r>
      <w:proofErr w:type="spellStart"/>
      <w:r w:rsidRPr="009F7B89">
        <w:rPr>
          <w:rFonts w:asciiTheme="minorHAnsi" w:hAnsiTheme="minorHAnsi" w:cstheme="minorHAnsi"/>
        </w:rPr>
        <w:t>cs</w:t>
      </w:r>
      <w:proofErr w:type="spellEnd"/>
      <w:r w:rsidRPr="009F7B89">
        <w:rPr>
          <w:rFonts w:asciiTheme="minorHAnsi" w:hAnsiTheme="minorHAnsi" w:cstheme="minorHAnsi"/>
          <w:lang w:val="el-GR"/>
        </w:rPr>
        <w:t xml:space="preserve">, 147 χιλ. κάτ.), </w:t>
      </w:r>
      <w:proofErr w:type="spellStart"/>
      <w:r w:rsidRPr="009F7B89">
        <w:rPr>
          <w:rFonts w:asciiTheme="minorHAnsi" w:hAnsiTheme="minorHAnsi" w:cstheme="minorHAnsi"/>
          <w:lang w:val="el-GR"/>
        </w:rPr>
        <w:t>Γκιορ</w:t>
      </w:r>
      <w:proofErr w:type="spellEnd"/>
      <w:r w:rsidRPr="009F7B89">
        <w:rPr>
          <w:rFonts w:asciiTheme="minorHAnsi" w:hAnsiTheme="minorHAnsi" w:cstheme="minorHAnsi"/>
          <w:lang w:val="el-GR"/>
        </w:rPr>
        <w:t xml:space="preserve"> (</w:t>
      </w:r>
      <w:proofErr w:type="spellStart"/>
      <w:r w:rsidRPr="009F7B89">
        <w:rPr>
          <w:rFonts w:asciiTheme="minorHAnsi" w:hAnsiTheme="minorHAnsi" w:cstheme="minorHAnsi"/>
        </w:rPr>
        <w:t>Gy</w:t>
      </w:r>
      <w:proofErr w:type="spellEnd"/>
      <w:r w:rsidRPr="009F7B89">
        <w:rPr>
          <w:rFonts w:asciiTheme="minorHAnsi" w:hAnsiTheme="minorHAnsi" w:cstheme="minorHAnsi"/>
          <w:lang w:val="el-GR"/>
        </w:rPr>
        <w:t>ő</w:t>
      </w:r>
      <w:r w:rsidRPr="009F7B89">
        <w:rPr>
          <w:rFonts w:asciiTheme="minorHAnsi" w:hAnsiTheme="minorHAnsi" w:cstheme="minorHAnsi"/>
        </w:rPr>
        <w:t>r</w:t>
      </w:r>
      <w:r w:rsidRPr="009F7B89">
        <w:rPr>
          <w:rFonts w:asciiTheme="minorHAnsi" w:hAnsiTheme="minorHAnsi" w:cstheme="minorHAnsi"/>
          <w:lang w:val="el-GR"/>
        </w:rPr>
        <w:t xml:space="preserve">, 128 χιλ. κάτ.), </w:t>
      </w:r>
      <w:proofErr w:type="spellStart"/>
      <w:r w:rsidRPr="009F7B89">
        <w:rPr>
          <w:rFonts w:asciiTheme="minorHAnsi" w:hAnsiTheme="minorHAnsi" w:cstheme="minorHAnsi"/>
          <w:lang w:val="el-GR"/>
        </w:rPr>
        <w:t>Νιρεγκιχάζα</w:t>
      </w:r>
      <w:proofErr w:type="spellEnd"/>
      <w:r w:rsidRPr="009F7B89">
        <w:rPr>
          <w:rFonts w:asciiTheme="minorHAnsi" w:hAnsiTheme="minorHAnsi" w:cstheme="minorHAnsi"/>
          <w:lang w:val="el-GR"/>
        </w:rPr>
        <w:t xml:space="preserve"> (</w:t>
      </w:r>
      <w:proofErr w:type="spellStart"/>
      <w:r w:rsidRPr="009F7B89">
        <w:rPr>
          <w:rFonts w:asciiTheme="minorHAnsi" w:hAnsiTheme="minorHAnsi" w:cstheme="minorHAnsi"/>
        </w:rPr>
        <w:t>Ny</w:t>
      </w:r>
      <w:proofErr w:type="spellEnd"/>
      <w:r w:rsidRPr="009F7B89">
        <w:rPr>
          <w:rFonts w:asciiTheme="minorHAnsi" w:hAnsiTheme="minorHAnsi" w:cstheme="minorHAnsi"/>
          <w:lang w:val="el-GR"/>
        </w:rPr>
        <w:t>í</w:t>
      </w:r>
      <w:proofErr w:type="spellStart"/>
      <w:r w:rsidRPr="009F7B89">
        <w:rPr>
          <w:rFonts w:asciiTheme="minorHAnsi" w:hAnsiTheme="minorHAnsi" w:cstheme="minorHAnsi"/>
        </w:rPr>
        <w:t>regyh</w:t>
      </w:r>
      <w:proofErr w:type="spellEnd"/>
      <w:r w:rsidRPr="009F7B89">
        <w:rPr>
          <w:rFonts w:asciiTheme="minorHAnsi" w:hAnsiTheme="minorHAnsi" w:cstheme="minorHAnsi"/>
          <w:lang w:val="el-GR"/>
        </w:rPr>
        <w:t>á</w:t>
      </w:r>
      <w:proofErr w:type="spellStart"/>
      <w:r w:rsidRPr="009F7B89">
        <w:rPr>
          <w:rFonts w:asciiTheme="minorHAnsi" w:hAnsiTheme="minorHAnsi" w:cstheme="minorHAnsi"/>
        </w:rPr>
        <w:t>za</w:t>
      </w:r>
      <w:proofErr w:type="spellEnd"/>
      <w:r w:rsidRPr="009F7B89">
        <w:rPr>
          <w:rFonts w:asciiTheme="minorHAnsi" w:hAnsiTheme="minorHAnsi" w:cstheme="minorHAnsi"/>
          <w:lang w:val="el-GR"/>
        </w:rPr>
        <w:t xml:space="preserve">, 118 χιλ. κάτ.), </w:t>
      </w:r>
      <w:proofErr w:type="spellStart"/>
      <w:r w:rsidRPr="009F7B89">
        <w:rPr>
          <w:rFonts w:asciiTheme="minorHAnsi" w:hAnsiTheme="minorHAnsi" w:cstheme="minorHAnsi"/>
          <w:lang w:val="el-GR"/>
        </w:rPr>
        <w:t>Κέτσκεμετ</w:t>
      </w:r>
      <w:proofErr w:type="spellEnd"/>
      <w:r w:rsidRPr="009F7B89">
        <w:rPr>
          <w:rFonts w:asciiTheme="minorHAnsi" w:hAnsiTheme="minorHAnsi" w:cstheme="minorHAnsi"/>
          <w:lang w:val="el-GR"/>
        </w:rPr>
        <w:t xml:space="preserve"> (</w:t>
      </w:r>
      <w:proofErr w:type="spellStart"/>
      <w:r w:rsidRPr="009F7B89">
        <w:rPr>
          <w:rFonts w:asciiTheme="minorHAnsi" w:hAnsiTheme="minorHAnsi" w:cstheme="minorHAnsi"/>
        </w:rPr>
        <w:t>Kecskem</w:t>
      </w:r>
      <w:proofErr w:type="spellEnd"/>
      <w:r w:rsidRPr="009F7B89">
        <w:rPr>
          <w:rFonts w:asciiTheme="minorHAnsi" w:hAnsiTheme="minorHAnsi" w:cstheme="minorHAnsi"/>
          <w:lang w:val="el-GR"/>
        </w:rPr>
        <w:t>é</w:t>
      </w:r>
      <w:r w:rsidRPr="009F7B89">
        <w:rPr>
          <w:rFonts w:asciiTheme="minorHAnsi" w:hAnsiTheme="minorHAnsi" w:cstheme="minorHAnsi"/>
        </w:rPr>
        <w:t>t</w:t>
      </w:r>
      <w:r w:rsidRPr="009F7B89">
        <w:rPr>
          <w:rFonts w:asciiTheme="minorHAnsi" w:hAnsiTheme="minorHAnsi" w:cstheme="minorHAnsi"/>
          <w:lang w:val="el-GR"/>
        </w:rPr>
        <w:t xml:space="preserve">, 111 χιλ. κάτ.) και </w:t>
      </w:r>
      <w:proofErr w:type="spellStart"/>
      <w:r w:rsidRPr="009F7B89">
        <w:rPr>
          <w:rFonts w:asciiTheme="minorHAnsi" w:hAnsiTheme="minorHAnsi" w:cstheme="minorHAnsi"/>
          <w:lang w:val="el-GR"/>
        </w:rPr>
        <w:t>Σεκεσφεχερβάρ</w:t>
      </w:r>
      <w:proofErr w:type="spellEnd"/>
      <w:r w:rsidRPr="009F7B89">
        <w:rPr>
          <w:rFonts w:asciiTheme="minorHAnsi" w:hAnsiTheme="minorHAnsi" w:cstheme="minorHAnsi"/>
          <w:lang w:val="el-GR"/>
        </w:rPr>
        <w:t xml:space="preserve"> (</w:t>
      </w:r>
      <w:proofErr w:type="spellStart"/>
      <w:r w:rsidRPr="009F7B89">
        <w:rPr>
          <w:rFonts w:asciiTheme="minorHAnsi" w:hAnsiTheme="minorHAnsi" w:cstheme="minorHAnsi"/>
        </w:rPr>
        <w:t>Sz</w:t>
      </w:r>
      <w:proofErr w:type="spellEnd"/>
      <w:r w:rsidRPr="009F7B89">
        <w:rPr>
          <w:rFonts w:asciiTheme="minorHAnsi" w:hAnsiTheme="minorHAnsi" w:cstheme="minorHAnsi"/>
          <w:lang w:val="el-GR"/>
        </w:rPr>
        <w:t>é</w:t>
      </w:r>
      <w:proofErr w:type="spellStart"/>
      <w:r w:rsidRPr="009F7B89">
        <w:rPr>
          <w:rFonts w:asciiTheme="minorHAnsi" w:hAnsiTheme="minorHAnsi" w:cstheme="minorHAnsi"/>
        </w:rPr>
        <w:t>kesfeh</w:t>
      </w:r>
      <w:proofErr w:type="spellEnd"/>
      <w:r w:rsidRPr="009F7B89">
        <w:rPr>
          <w:rFonts w:asciiTheme="minorHAnsi" w:hAnsiTheme="minorHAnsi" w:cstheme="minorHAnsi"/>
          <w:lang w:val="el-GR"/>
        </w:rPr>
        <w:t>é</w:t>
      </w:r>
      <w:proofErr w:type="spellStart"/>
      <w:r w:rsidRPr="009F7B89">
        <w:rPr>
          <w:rFonts w:asciiTheme="minorHAnsi" w:hAnsiTheme="minorHAnsi" w:cstheme="minorHAnsi"/>
        </w:rPr>
        <w:t>rv</w:t>
      </w:r>
      <w:proofErr w:type="spellEnd"/>
      <w:r w:rsidRPr="009F7B89">
        <w:rPr>
          <w:rFonts w:asciiTheme="minorHAnsi" w:hAnsiTheme="minorHAnsi" w:cstheme="minorHAnsi"/>
          <w:lang w:val="el-GR"/>
        </w:rPr>
        <w:t>á</w:t>
      </w:r>
      <w:r w:rsidRPr="009F7B89">
        <w:rPr>
          <w:rFonts w:asciiTheme="minorHAnsi" w:hAnsiTheme="minorHAnsi" w:cstheme="minorHAnsi"/>
        </w:rPr>
        <w:t>r</w:t>
      </w:r>
      <w:r w:rsidRPr="009F7B89">
        <w:rPr>
          <w:rFonts w:asciiTheme="minorHAnsi" w:hAnsiTheme="minorHAnsi" w:cstheme="minorHAnsi"/>
          <w:lang w:val="el-GR"/>
        </w:rPr>
        <w:t xml:space="preserve">, 99 χιλ. κάτ.). </w:t>
      </w:r>
      <w:r>
        <w:rPr>
          <w:rFonts w:asciiTheme="minorHAnsi" w:hAnsiTheme="minorHAnsi" w:cstheme="minorHAnsi"/>
          <w:lang w:val="el-GR"/>
        </w:rPr>
        <w:t xml:space="preserve"> </w:t>
      </w:r>
      <w:r w:rsidRPr="009F7B89">
        <w:rPr>
          <w:rFonts w:asciiTheme="minorHAnsi" w:hAnsiTheme="minorHAnsi" w:cstheme="minorHAnsi"/>
          <w:lang w:val="el-GR"/>
        </w:rPr>
        <w:t xml:space="preserve">Επίσημη γλώσσα της χώρας είναι η ουγγρική (99,6%) που αποτελεί την μητρική γλώσσα για το 98,9% του πληθυσμού. </w:t>
      </w:r>
      <w:r>
        <w:rPr>
          <w:rFonts w:asciiTheme="minorHAnsi" w:hAnsiTheme="minorHAnsi" w:cstheme="minorHAnsi"/>
          <w:lang w:val="el-GR"/>
        </w:rPr>
        <w:t>Οι</w:t>
      </w:r>
      <w:r w:rsidRPr="009F7B89">
        <w:rPr>
          <w:rFonts w:asciiTheme="minorHAnsi" w:hAnsiTheme="minorHAnsi" w:cstheme="minorHAnsi"/>
          <w:lang w:val="el-GR"/>
        </w:rPr>
        <w:t xml:space="preserve"> κυριότερες θρησκείες είναι: </w:t>
      </w:r>
      <w:proofErr w:type="spellStart"/>
      <w:r w:rsidRPr="009F7B89">
        <w:rPr>
          <w:rFonts w:asciiTheme="minorHAnsi" w:hAnsiTheme="minorHAnsi" w:cstheme="minorHAnsi"/>
          <w:lang w:val="el-GR"/>
        </w:rPr>
        <w:t>Ρωμαιο</w:t>
      </w:r>
      <w:proofErr w:type="spellEnd"/>
      <w:r w:rsidRPr="009F7B89">
        <w:rPr>
          <w:rFonts w:asciiTheme="minorHAnsi" w:hAnsiTheme="minorHAnsi" w:cstheme="minorHAnsi"/>
          <w:lang w:val="el-GR"/>
        </w:rPr>
        <w:t>-Καθολικισμός (37,2%), Καλβινισμός (11,6%), Λουθηρανισμός (2,2%), Ελληνορθόδοξος Χριστιανισμός (1,8%)</w:t>
      </w:r>
      <w:r w:rsidRPr="009F7B89">
        <w:rPr>
          <w:rStyle w:val="FootnoteReference"/>
          <w:rFonts w:asciiTheme="minorHAnsi" w:hAnsiTheme="minorHAnsi" w:cstheme="minorHAnsi"/>
          <w:lang w:val="el-GR"/>
        </w:rPr>
        <w:footnoteReference w:id="1"/>
      </w:r>
      <w:r w:rsidRPr="009F7B89">
        <w:rPr>
          <w:rFonts w:asciiTheme="minorHAnsi" w:hAnsiTheme="minorHAnsi" w:cstheme="minorHAnsi"/>
          <w:lang w:val="el-GR"/>
        </w:rPr>
        <w:t xml:space="preserve">, άλλες (1,9%), άθρησκοι (18,2%), αδιευκρίνιστοι (27,2%). </w:t>
      </w:r>
      <w:bookmarkStart w:id="1" w:name="page5"/>
      <w:bookmarkEnd w:id="1"/>
      <w:r>
        <w:rPr>
          <w:rFonts w:asciiTheme="minorHAnsi" w:hAnsiTheme="minorHAnsi" w:cstheme="minorHAnsi"/>
          <w:lang w:val="el-GR"/>
        </w:rPr>
        <w:t xml:space="preserve"> </w:t>
      </w:r>
    </w:p>
    <w:p w:rsidR="007102FC" w:rsidRDefault="007102FC" w:rsidP="007102FC">
      <w:pPr>
        <w:widowControl w:val="0"/>
        <w:overflowPunct w:val="0"/>
        <w:autoSpaceDE w:val="0"/>
        <w:autoSpaceDN w:val="0"/>
        <w:adjustRightInd w:val="0"/>
        <w:jc w:val="both"/>
        <w:rPr>
          <w:rFonts w:asciiTheme="minorHAnsi" w:hAnsiTheme="minorHAnsi" w:cstheme="minorHAnsi"/>
          <w:lang w:val="el-GR"/>
        </w:rPr>
      </w:pPr>
    </w:p>
    <w:p w:rsidR="007102FC" w:rsidRPr="00D7655E" w:rsidRDefault="007102FC" w:rsidP="007102FC">
      <w:pPr>
        <w:widowControl w:val="0"/>
        <w:overflowPunct w:val="0"/>
        <w:autoSpaceDE w:val="0"/>
        <w:autoSpaceDN w:val="0"/>
        <w:adjustRightInd w:val="0"/>
        <w:jc w:val="both"/>
        <w:rPr>
          <w:rFonts w:asciiTheme="minorHAnsi" w:hAnsiTheme="minorHAnsi" w:cstheme="minorHAnsi"/>
          <w:lang w:val="el-GR"/>
        </w:rPr>
      </w:pPr>
      <w:r w:rsidRPr="009F7B89">
        <w:rPr>
          <w:rFonts w:asciiTheme="minorHAnsi" w:hAnsiTheme="minorHAnsi" w:cstheme="minorHAnsi"/>
          <w:color w:val="000000" w:themeColor="text1"/>
          <w:lang w:val="el-GR"/>
        </w:rPr>
        <w:t>Το πολίτευμα της Ουγγαρίας είν</w:t>
      </w:r>
      <w:r>
        <w:rPr>
          <w:rFonts w:asciiTheme="minorHAnsi" w:hAnsiTheme="minorHAnsi" w:cstheme="minorHAnsi"/>
          <w:color w:val="000000" w:themeColor="text1"/>
          <w:lang w:val="el-GR"/>
        </w:rPr>
        <w:t xml:space="preserve">αι Προεδρευόμενη Δημοκρατία. </w:t>
      </w:r>
      <w:r w:rsidRPr="009F7B89">
        <w:rPr>
          <w:rFonts w:asciiTheme="minorHAnsi" w:hAnsiTheme="minorHAnsi" w:cstheme="minorHAnsi"/>
          <w:color w:val="000000" w:themeColor="text1"/>
          <w:lang w:val="el-GR"/>
        </w:rPr>
        <w:t>Πρόεδρος της χώρας</w:t>
      </w:r>
      <w:r>
        <w:rPr>
          <w:rFonts w:asciiTheme="minorHAnsi" w:hAnsiTheme="minorHAnsi" w:cstheme="minorHAnsi"/>
          <w:color w:val="000000" w:themeColor="text1"/>
          <w:lang w:val="el-GR"/>
        </w:rPr>
        <w:t xml:space="preserve">, </w:t>
      </w:r>
      <w:r w:rsidRPr="009F7B89">
        <w:rPr>
          <w:rFonts w:asciiTheme="minorHAnsi" w:hAnsiTheme="minorHAnsi" w:cstheme="minorHAnsi"/>
          <w:color w:val="000000" w:themeColor="text1"/>
          <w:lang w:val="el-GR"/>
        </w:rPr>
        <w:t xml:space="preserve">από τις 10 Μαΐου 2022 </w:t>
      </w:r>
      <w:r>
        <w:rPr>
          <w:rFonts w:asciiTheme="minorHAnsi" w:hAnsiTheme="minorHAnsi" w:cstheme="minorHAnsi"/>
          <w:color w:val="000000" w:themeColor="text1"/>
          <w:lang w:val="el-GR"/>
        </w:rPr>
        <w:t xml:space="preserve">είναι </w:t>
      </w:r>
      <w:r w:rsidRPr="009F7B89">
        <w:rPr>
          <w:rFonts w:asciiTheme="minorHAnsi" w:hAnsiTheme="minorHAnsi" w:cstheme="minorHAnsi"/>
          <w:color w:val="000000" w:themeColor="text1"/>
          <w:lang w:val="el-GR"/>
        </w:rPr>
        <w:t>η κα</w:t>
      </w:r>
      <w:r w:rsidRPr="009F7B89">
        <w:rPr>
          <w:rFonts w:asciiTheme="minorHAnsi" w:hAnsiTheme="minorHAnsi" w:cstheme="minorHAnsi"/>
          <w:color w:val="000000" w:themeColor="text1"/>
          <w:shd w:val="clear" w:color="auto" w:fill="F8F9FA"/>
          <w:lang w:val="el-GR"/>
        </w:rPr>
        <w:t xml:space="preserve"> </w:t>
      </w:r>
      <w:r w:rsidRPr="009F7B89">
        <w:rPr>
          <w:rFonts w:asciiTheme="minorHAnsi" w:hAnsiTheme="minorHAnsi" w:cstheme="minorHAnsi"/>
          <w:color w:val="000000" w:themeColor="text1"/>
          <w:shd w:val="clear" w:color="auto" w:fill="F8F9FA"/>
        </w:rPr>
        <w:t>Katalin</w:t>
      </w:r>
      <w:r w:rsidRPr="009F7B89">
        <w:rPr>
          <w:rFonts w:asciiTheme="minorHAnsi" w:hAnsiTheme="minorHAnsi" w:cstheme="minorHAnsi"/>
          <w:color w:val="000000" w:themeColor="text1"/>
          <w:shd w:val="clear" w:color="auto" w:fill="F8F9FA"/>
          <w:lang w:val="el-GR"/>
        </w:rPr>
        <w:t xml:space="preserve"> </w:t>
      </w:r>
      <w:r w:rsidRPr="009F7B89">
        <w:rPr>
          <w:rFonts w:asciiTheme="minorHAnsi" w:hAnsiTheme="minorHAnsi" w:cstheme="minorHAnsi"/>
          <w:color w:val="000000" w:themeColor="text1"/>
          <w:shd w:val="clear" w:color="auto" w:fill="F8F9FA"/>
        </w:rPr>
        <w:t>Nov</w:t>
      </w:r>
      <w:r w:rsidRPr="009F7B89">
        <w:rPr>
          <w:rFonts w:asciiTheme="minorHAnsi" w:hAnsiTheme="minorHAnsi" w:cstheme="minorHAnsi"/>
          <w:color w:val="000000" w:themeColor="text1"/>
          <w:shd w:val="clear" w:color="auto" w:fill="F8F9FA"/>
          <w:lang w:val="el-GR"/>
        </w:rPr>
        <w:t>á</w:t>
      </w:r>
      <w:r w:rsidRPr="009F7B89">
        <w:rPr>
          <w:rFonts w:asciiTheme="minorHAnsi" w:hAnsiTheme="minorHAnsi" w:cstheme="minorHAnsi"/>
          <w:color w:val="000000" w:themeColor="text1"/>
          <w:shd w:val="clear" w:color="auto" w:fill="F8F9FA"/>
        </w:rPr>
        <w:t>k</w:t>
      </w:r>
      <w:r>
        <w:rPr>
          <w:rFonts w:asciiTheme="minorHAnsi" w:hAnsiTheme="minorHAnsi" w:cstheme="minorHAnsi"/>
          <w:color w:val="000000" w:themeColor="text1"/>
          <w:lang w:val="el-GR"/>
        </w:rPr>
        <w:t xml:space="preserve"> ενώ, για τέταρτη συνεχόμενη θητεία έχει εκλεγεί και παραμένει  </w:t>
      </w:r>
      <w:r w:rsidRPr="009F7B89">
        <w:rPr>
          <w:rFonts w:asciiTheme="minorHAnsi" w:hAnsiTheme="minorHAnsi" w:cstheme="minorHAnsi"/>
          <w:color w:val="000000" w:themeColor="text1"/>
          <w:lang w:val="el-GR"/>
        </w:rPr>
        <w:t xml:space="preserve">Πρωθυπουργός της χώρας ο κ. </w:t>
      </w:r>
      <w:r w:rsidRPr="009F7B89">
        <w:rPr>
          <w:rFonts w:asciiTheme="minorHAnsi" w:hAnsiTheme="minorHAnsi" w:cstheme="minorHAnsi"/>
          <w:color w:val="000000" w:themeColor="text1"/>
        </w:rPr>
        <w:t>Viktor</w:t>
      </w:r>
      <w:r w:rsidRPr="009F7B89">
        <w:rPr>
          <w:rFonts w:asciiTheme="minorHAnsi" w:hAnsiTheme="minorHAnsi" w:cstheme="minorHAnsi"/>
          <w:color w:val="000000" w:themeColor="text1"/>
          <w:lang w:val="el-GR"/>
        </w:rPr>
        <w:t xml:space="preserve"> </w:t>
      </w:r>
      <w:r w:rsidRPr="009F7B89">
        <w:rPr>
          <w:rFonts w:asciiTheme="minorHAnsi" w:hAnsiTheme="minorHAnsi" w:cstheme="minorHAnsi"/>
          <w:color w:val="000000" w:themeColor="text1"/>
        </w:rPr>
        <w:t>ORBAN</w:t>
      </w:r>
      <w:r w:rsidRPr="009F7B89">
        <w:rPr>
          <w:rFonts w:asciiTheme="minorHAnsi" w:hAnsiTheme="minorHAnsi" w:cstheme="minorHAnsi"/>
          <w:color w:val="000000" w:themeColor="text1"/>
          <w:lang w:val="el-GR"/>
        </w:rPr>
        <w:t>. Ο κυβερνητικός σχηματισμός (</w:t>
      </w:r>
      <w:r w:rsidRPr="009F7B89">
        <w:rPr>
          <w:rFonts w:asciiTheme="minorHAnsi" w:hAnsiTheme="minorHAnsi" w:cstheme="minorHAnsi"/>
          <w:color w:val="000000" w:themeColor="text1"/>
          <w:lang w:val="hu-HU"/>
        </w:rPr>
        <w:t>54</w:t>
      </w:r>
      <w:r w:rsidRPr="009F7B89">
        <w:rPr>
          <w:rFonts w:asciiTheme="minorHAnsi" w:hAnsiTheme="minorHAnsi" w:cstheme="minorHAnsi"/>
          <w:color w:val="000000" w:themeColor="text1"/>
          <w:lang w:val="el-GR"/>
        </w:rPr>
        <w:t>,</w:t>
      </w:r>
      <w:r w:rsidRPr="009F7B89">
        <w:rPr>
          <w:rFonts w:asciiTheme="minorHAnsi" w:hAnsiTheme="minorHAnsi" w:cstheme="minorHAnsi"/>
          <w:color w:val="000000" w:themeColor="text1"/>
          <w:lang w:val="hu-HU"/>
        </w:rPr>
        <w:t>1</w:t>
      </w:r>
      <w:r w:rsidRPr="009F7B89">
        <w:rPr>
          <w:rFonts w:asciiTheme="minorHAnsi" w:hAnsiTheme="minorHAnsi" w:cstheme="minorHAnsi"/>
          <w:color w:val="000000" w:themeColor="text1"/>
          <w:lang w:val="el-GR"/>
        </w:rPr>
        <w:t>3%) με 13</w:t>
      </w:r>
      <w:r w:rsidRPr="009F7B89">
        <w:rPr>
          <w:rFonts w:asciiTheme="minorHAnsi" w:hAnsiTheme="minorHAnsi" w:cstheme="minorHAnsi"/>
          <w:color w:val="000000" w:themeColor="text1"/>
          <w:lang w:val="hu-HU"/>
        </w:rPr>
        <w:t>5</w:t>
      </w:r>
      <w:r w:rsidRPr="009F7B89">
        <w:rPr>
          <w:rFonts w:asciiTheme="minorHAnsi" w:hAnsiTheme="minorHAnsi" w:cstheme="minorHAnsi"/>
          <w:color w:val="000000" w:themeColor="text1"/>
          <w:lang w:val="el-GR"/>
        </w:rPr>
        <w:t xml:space="preserve"> έδρες, αποτελείται από το κόμμα </w:t>
      </w:r>
      <w:proofErr w:type="spellStart"/>
      <w:r w:rsidRPr="009F7B89">
        <w:rPr>
          <w:rFonts w:asciiTheme="minorHAnsi" w:hAnsiTheme="minorHAnsi" w:cstheme="minorHAnsi"/>
          <w:color w:val="000000" w:themeColor="text1"/>
          <w:lang w:val="el-GR"/>
        </w:rPr>
        <w:t>Fidesz</w:t>
      </w:r>
      <w:proofErr w:type="spellEnd"/>
      <w:r w:rsidRPr="009F7B89">
        <w:rPr>
          <w:rFonts w:asciiTheme="minorHAnsi" w:hAnsiTheme="minorHAnsi" w:cstheme="minorHAnsi"/>
          <w:color w:val="000000" w:themeColor="text1"/>
          <w:lang w:val="el-GR"/>
        </w:rPr>
        <w:t xml:space="preserve"> (</w:t>
      </w:r>
      <w:proofErr w:type="spellStart"/>
      <w:r w:rsidRPr="009F7B89">
        <w:rPr>
          <w:rFonts w:asciiTheme="minorHAnsi" w:hAnsiTheme="minorHAnsi" w:cstheme="minorHAnsi"/>
          <w:color w:val="000000" w:themeColor="text1"/>
          <w:lang w:val="el-GR"/>
        </w:rPr>
        <w:t>Hungarian</w:t>
      </w:r>
      <w:proofErr w:type="spellEnd"/>
      <w:r w:rsidRPr="009F7B89">
        <w:rPr>
          <w:rFonts w:asciiTheme="minorHAnsi" w:hAnsiTheme="minorHAnsi" w:cstheme="minorHAnsi"/>
          <w:color w:val="000000" w:themeColor="text1"/>
          <w:lang w:val="el-GR"/>
        </w:rPr>
        <w:t xml:space="preserve"> </w:t>
      </w:r>
      <w:proofErr w:type="spellStart"/>
      <w:r w:rsidRPr="009F7B89">
        <w:rPr>
          <w:rFonts w:asciiTheme="minorHAnsi" w:hAnsiTheme="minorHAnsi" w:cstheme="minorHAnsi"/>
          <w:color w:val="000000" w:themeColor="text1"/>
          <w:lang w:val="el-GR"/>
        </w:rPr>
        <w:t>Civic</w:t>
      </w:r>
      <w:proofErr w:type="spellEnd"/>
      <w:r w:rsidRPr="009F7B89">
        <w:rPr>
          <w:rFonts w:asciiTheme="minorHAnsi" w:hAnsiTheme="minorHAnsi" w:cstheme="minorHAnsi"/>
          <w:color w:val="000000" w:themeColor="text1"/>
          <w:lang w:val="el-GR"/>
        </w:rPr>
        <w:t xml:space="preserve"> </w:t>
      </w:r>
      <w:proofErr w:type="spellStart"/>
      <w:r w:rsidRPr="009F7B89">
        <w:rPr>
          <w:rFonts w:asciiTheme="minorHAnsi" w:hAnsiTheme="minorHAnsi" w:cstheme="minorHAnsi"/>
          <w:color w:val="000000" w:themeColor="text1"/>
          <w:lang w:val="el-GR"/>
        </w:rPr>
        <w:t>Alliance</w:t>
      </w:r>
      <w:proofErr w:type="spellEnd"/>
      <w:r w:rsidRPr="009F7B89">
        <w:rPr>
          <w:rFonts w:asciiTheme="minorHAnsi" w:hAnsiTheme="minorHAnsi" w:cstheme="minorHAnsi"/>
          <w:color w:val="000000" w:themeColor="text1"/>
          <w:lang w:val="el-GR"/>
        </w:rPr>
        <w:t xml:space="preserve">) με αρχηγό τον κ. </w:t>
      </w:r>
      <w:proofErr w:type="spellStart"/>
      <w:r w:rsidRPr="009F7B89">
        <w:rPr>
          <w:rFonts w:asciiTheme="minorHAnsi" w:hAnsiTheme="minorHAnsi" w:cstheme="minorHAnsi"/>
          <w:color w:val="000000" w:themeColor="text1"/>
          <w:lang w:val="el-GR"/>
        </w:rPr>
        <w:t>Viktor</w:t>
      </w:r>
      <w:proofErr w:type="spellEnd"/>
      <w:r w:rsidRPr="009F7B89">
        <w:rPr>
          <w:rFonts w:asciiTheme="minorHAnsi" w:hAnsiTheme="minorHAnsi" w:cstheme="minorHAnsi"/>
          <w:color w:val="000000" w:themeColor="text1"/>
          <w:lang w:val="el-GR"/>
        </w:rPr>
        <w:t xml:space="preserve"> ORBAN και το κόμμα των </w:t>
      </w:r>
      <w:proofErr w:type="spellStart"/>
      <w:r w:rsidRPr="009F7B89">
        <w:rPr>
          <w:rFonts w:asciiTheme="minorHAnsi" w:hAnsiTheme="minorHAnsi" w:cstheme="minorHAnsi"/>
          <w:color w:val="000000" w:themeColor="text1"/>
          <w:lang w:val="el-GR"/>
        </w:rPr>
        <w:t>Χριαστιανο</w:t>
      </w:r>
      <w:proofErr w:type="spellEnd"/>
      <w:r w:rsidRPr="009F7B89">
        <w:rPr>
          <w:rFonts w:asciiTheme="minorHAnsi" w:hAnsiTheme="minorHAnsi" w:cstheme="minorHAnsi"/>
          <w:color w:val="000000" w:themeColor="text1"/>
          <w:lang w:val="el-GR"/>
        </w:rPr>
        <w:t>-δημοκρατών KDNP (</w:t>
      </w:r>
      <w:proofErr w:type="spellStart"/>
      <w:r w:rsidRPr="009F7B89">
        <w:rPr>
          <w:rFonts w:asciiTheme="minorHAnsi" w:hAnsiTheme="minorHAnsi" w:cstheme="minorHAnsi"/>
          <w:color w:val="000000" w:themeColor="text1"/>
          <w:lang w:val="el-GR"/>
        </w:rPr>
        <w:t>Christian</w:t>
      </w:r>
      <w:proofErr w:type="spellEnd"/>
      <w:r w:rsidRPr="009F7B89">
        <w:rPr>
          <w:rFonts w:asciiTheme="minorHAnsi" w:hAnsiTheme="minorHAnsi" w:cstheme="minorHAnsi"/>
          <w:color w:val="000000" w:themeColor="text1"/>
          <w:lang w:val="el-GR"/>
        </w:rPr>
        <w:t xml:space="preserve"> </w:t>
      </w:r>
      <w:proofErr w:type="spellStart"/>
      <w:r w:rsidRPr="009F7B89">
        <w:rPr>
          <w:rFonts w:asciiTheme="minorHAnsi" w:hAnsiTheme="minorHAnsi" w:cstheme="minorHAnsi"/>
          <w:color w:val="000000" w:themeColor="text1"/>
          <w:lang w:val="el-GR"/>
        </w:rPr>
        <w:t>Democratic</w:t>
      </w:r>
      <w:proofErr w:type="spellEnd"/>
      <w:r w:rsidRPr="009F7B89">
        <w:rPr>
          <w:rFonts w:asciiTheme="minorHAnsi" w:hAnsiTheme="minorHAnsi" w:cstheme="minorHAnsi"/>
          <w:color w:val="000000" w:themeColor="text1"/>
          <w:lang w:val="el-GR"/>
        </w:rPr>
        <w:t xml:space="preserve"> </w:t>
      </w:r>
      <w:proofErr w:type="spellStart"/>
      <w:r w:rsidRPr="009F7B89">
        <w:rPr>
          <w:rFonts w:asciiTheme="minorHAnsi" w:hAnsiTheme="minorHAnsi" w:cstheme="minorHAnsi"/>
          <w:color w:val="000000" w:themeColor="text1"/>
          <w:lang w:val="el-GR"/>
        </w:rPr>
        <w:t>People's</w:t>
      </w:r>
      <w:proofErr w:type="spellEnd"/>
      <w:r w:rsidRPr="009F7B89">
        <w:rPr>
          <w:rFonts w:asciiTheme="minorHAnsi" w:hAnsiTheme="minorHAnsi" w:cstheme="minorHAnsi"/>
          <w:color w:val="000000" w:themeColor="text1"/>
          <w:lang w:val="el-GR"/>
        </w:rPr>
        <w:t xml:space="preserve"> </w:t>
      </w:r>
      <w:proofErr w:type="spellStart"/>
      <w:r w:rsidRPr="009F7B89">
        <w:rPr>
          <w:rFonts w:asciiTheme="minorHAnsi" w:hAnsiTheme="minorHAnsi" w:cstheme="minorHAnsi"/>
          <w:color w:val="000000" w:themeColor="text1"/>
          <w:lang w:val="el-GR"/>
        </w:rPr>
        <w:t>Part</w:t>
      </w:r>
      <w:proofErr w:type="spellEnd"/>
      <w:r w:rsidRPr="009F7B89">
        <w:rPr>
          <w:rFonts w:asciiTheme="minorHAnsi" w:hAnsiTheme="minorHAnsi" w:cstheme="minorHAnsi"/>
          <w:color w:val="000000" w:themeColor="text1"/>
        </w:rPr>
        <w:t>y</w:t>
      </w:r>
      <w:r w:rsidRPr="009F7B89">
        <w:rPr>
          <w:rFonts w:asciiTheme="minorHAnsi" w:hAnsiTheme="minorHAnsi" w:cstheme="minorHAnsi"/>
          <w:color w:val="000000" w:themeColor="text1"/>
          <w:lang w:val="el-GR"/>
        </w:rPr>
        <w:t xml:space="preserve">) του οποίου αρχηγός είναι ο κ. Zsolt SEMJEN. </w:t>
      </w:r>
    </w:p>
    <w:p w:rsidR="007102FC" w:rsidRPr="009F7B89" w:rsidRDefault="007102FC" w:rsidP="007102FC">
      <w:pPr>
        <w:widowControl w:val="0"/>
        <w:overflowPunct w:val="0"/>
        <w:autoSpaceDE w:val="0"/>
        <w:autoSpaceDN w:val="0"/>
        <w:adjustRightInd w:val="0"/>
        <w:spacing w:line="229" w:lineRule="auto"/>
        <w:jc w:val="both"/>
        <w:rPr>
          <w:rFonts w:asciiTheme="minorHAnsi" w:hAnsiTheme="minorHAnsi" w:cstheme="minorHAnsi"/>
          <w:lang w:val="el-GR"/>
        </w:rPr>
      </w:pPr>
    </w:p>
    <w:p w:rsidR="007102FC" w:rsidRDefault="007102FC" w:rsidP="007102FC">
      <w:pPr>
        <w:jc w:val="center"/>
        <w:rPr>
          <w:rFonts w:asciiTheme="minorHAnsi" w:hAnsiTheme="minorHAnsi" w:cstheme="minorHAnsi"/>
          <w:b/>
          <w:bCs/>
          <w:color w:val="0000FF"/>
          <w:u w:val="single"/>
          <w:vertAlign w:val="superscript"/>
          <w:lang w:val="el-GR"/>
        </w:rPr>
      </w:pPr>
      <w:r w:rsidRPr="003D5F6A">
        <w:rPr>
          <w:rFonts w:asciiTheme="minorHAnsi" w:hAnsiTheme="minorHAnsi" w:cstheme="minorHAnsi"/>
          <w:b/>
          <w:bCs/>
          <w:color w:val="0000FF"/>
          <w:u w:val="single"/>
          <w:lang w:val="el-GR"/>
        </w:rPr>
        <w:lastRenderedPageBreak/>
        <w:t>Κεφάλαιο 2</w:t>
      </w:r>
      <w:r w:rsidRPr="003D5F6A">
        <w:rPr>
          <w:rFonts w:asciiTheme="minorHAnsi" w:hAnsiTheme="minorHAnsi" w:cstheme="minorHAnsi"/>
          <w:b/>
          <w:bCs/>
          <w:color w:val="0000FF"/>
          <w:u w:val="single"/>
          <w:vertAlign w:val="superscript"/>
          <w:lang w:val="el-GR"/>
        </w:rPr>
        <w:t>ο</w:t>
      </w:r>
    </w:p>
    <w:p w:rsidR="000A3CA5" w:rsidRPr="003D5F6A" w:rsidRDefault="000A3CA5" w:rsidP="007102FC">
      <w:pPr>
        <w:jc w:val="center"/>
        <w:rPr>
          <w:rFonts w:asciiTheme="minorHAnsi" w:hAnsiTheme="minorHAnsi" w:cstheme="minorHAnsi"/>
          <w:b/>
          <w:bCs/>
          <w:color w:val="0000FF"/>
          <w:lang w:val="el-GR"/>
        </w:rPr>
      </w:pPr>
    </w:p>
    <w:p w:rsidR="007102FC" w:rsidRDefault="007102FC" w:rsidP="007102FC">
      <w:pPr>
        <w:jc w:val="center"/>
        <w:rPr>
          <w:rFonts w:asciiTheme="minorHAnsi" w:hAnsiTheme="minorHAnsi" w:cstheme="minorHAnsi"/>
          <w:b/>
          <w:bCs/>
          <w:color w:val="0000FF"/>
          <w:lang w:val="el-GR"/>
        </w:rPr>
      </w:pPr>
      <w:r w:rsidRPr="003D5F6A">
        <w:rPr>
          <w:rFonts w:asciiTheme="minorHAnsi" w:hAnsiTheme="minorHAnsi" w:cstheme="minorHAnsi"/>
          <w:b/>
          <w:bCs/>
          <w:color w:val="0000FF"/>
          <w:lang w:val="el-GR"/>
        </w:rPr>
        <w:t>ΟΙΚΟΝΟΜΙΑ ΚΑΙ ΕΞΩΤΕΡΙΚΟ ΕΜΠΟΡΙΟ</w:t>
      </w:r>
    </w:p>
    <w:p w:rsidR="007102FC" w:rsidRDefault="007102FC" w:rsidP="007102FC">
      <w:pPr>
        <w:jc w:val="both"/>
        <w:rPr>
          <w:rFonts w:asciiTheme="minorHAnsi" w:hAnsiTheme="minorHAnsi" w:cstheme="minorHAnsi"/>
          <w:lang w:val="el-GR"/>
        </w:rPr>
      </w:pPr>
    </w:p>
    <w:p w:rsidR="007102FC" w:rsidRDefault="007102FC" w:rsidP="007102FC">
      <w:pPr>
        <w:jc w:val="both"/>
        <w:rPr>
          <w:rFonts w:asciiTheme="minorHAnsi" w:hAnsiTheme="minorHAnsi" w:cstheme="minorHAnsi"/>
          <w:lang w:val="el-GR"/>
        </w:rPr>
      </w:pPr>
      <w:r>
        <w:rPr>
          <w:rFonts w:asciiTheme="minorHAnsi" w:hAnsiTheme="minorHAnsi" w:cstheme="minorHAnsi"/>
          <w:lang w:val="el-GR"/>
        </w:rPr>
        <w:t xml:space="preserve">Η Ουγγαρία έγινε μέλος </w:t>
      </w:r>
      <w:r w:rsidRPr="00E73B8D">
        <w:rPr>
          <w:rFonts w:asciiTheme="minorHAnsi" w:hAnsiTheme="minorHAnsi" w:cstheme="minorHAnsi"/>
          <w:lang w:val="el-GR"/>
        </w:rPr>
        <w:t xml:space="preserve">του </w:t>
      </w:r>
      <w:r>
        <w:rPr>
          <w:rFonts w:asciiTheme="minorHAnsi" w:hAnsiTheme="minorHAnsi" w:cstheme="minorHAnsi"/>
          <w:lang w:val="el-GR"/>
        </w:rPr>
        <w:t>Διεθνούς Νομισματικού Ταμείου (</w:t>
      </w:r>
      <w:r w:rsidRPr="00E73B8D">
        <w:rPr>
          <w:rFonts w:asciiTheme="minorHAnsi" w:hAnsiTheme="minorHAnsi" w:cstheme="minorHAnsi"/>
          <w:lang w:val="el-GR"/>
        </w:rPr>
        <w:t>ΔΝΤ</w:t>
      </w:r>
      <w:r>
        <w:rPr>
          <w:rFonts w:asciiTheme="minorHAnsi" w:hAnsiTheme="minorHAnsi" w:cstheme="minorHAnsi"/>
          <w:lang w:val="el-GR"/>
        </w:rPr>
        <w:t>)</w:t>
      </w:r>
      <w:r w:rsidRPr="00E73B8D">
        <w:rPr>
          <w:rFonts w:asciiTheme="minorHAnsi" w:hAnsiTheme="minorHAnsi" w:cstheme="minorHAnsi"/>
          <w:lang w:val="el-GR"/>
        </w:rPr>
        <w:t xml:space="preserve"> και της Παγκόσμιας Τράπεζας </w:t>
      </w:r>
      <w:r>
        <w:rPr>
          <w:rFonts w:asciiTheme="minorHAnsi" w:hAnsiTheme="minorHAnsi" w:cstheme="minorHAnsi"/>
          <w:lang w:val="el-GR"/>
        </w:rPr>
        <w:t xml:space="preserve"> το 1982 </w:t>
      </w:r>
      <w:r w:rsidR="00B76918">
        <w:rPr>
          <w:rFonts w:asciiTheme="minorHAnsi" w:hAnsiTheme="minorHAnsi" w:cstheme="minorHAnsi"/>
          <w:lang w:val="el-GR"/>
        </w:rPr>
        <w:t xml:space="preserve">(αντίστοιχα στις 6 </w:t>
      </w:r>
      <w:proofErr w:type="spellStart"/>
      <w:r w:rsidR="00B76918">
        <w:rPr>
          <w:rFonts w:asciiTheme="minorHAnsi" w:hAnsiTheme="minorHAnsi" w:cstheme="minorHAnsi"/>
          <w:lang w:val="el-GR"/>
        </w:rPr>
        <w:t>Μαίου</w:t>
      </w:r>
      <w:proofErr w:type="spellEnd"/>
      <w:r w:rsidR="00B76918">
        <w:rPr>
          <w:rFonts w:asciiTheme="minorHAnsi" w:hAnsiTheme="minorHAnsi" w:cstheme="minorHAnsi"/>
          <w:lang w:val="el-GR"/>
        </w:rPr>
        <w:t xml:space="preserve"> </w:t>
      </w:r>
      <w:r>
        <w:rPr>
          <w:rFonts w:asciiTheme="minorHAnsi" w:hAnsiTheme="minorHAnsi" w:cstheme="minorHAnsi"/>
          <w:lang w:val="el-GR"/>
        </w:rPr>
        <w:t>και 7</w:t>
      </w:r>
      <w:r w:rsidR="00B76918">
        <w:rPr>
          <w:rFonts w:asciiTheme="minorHAnsi" w:hAnsiTheme="minorHAnsi" w:cstheme="minorHAnsi"/>
          <w:lang w:val="el-GR"/>
        </w:rPr>
        <w:t xml:space="preserve"> Ιουλίου)</w:t>
      </w:r>
      <w:r>
        <w:rPr>
          <w:rFonts w:asciiTheme="minorHAnsi" w:hAnsiTheme="minorHAnsi" w:cstheme="minorHAnsi"/>
          <w:lang w:val="el-GR"/>
        </w:rPr>
        <w:t>. Μετά την πτώση του κομμουνισμού (1989-1990) και την αποχώρηση της χώρα</w:t>
      </w:r>
      <w:r w:rsidRPr="00E73B8D">
        <w:rPr>
          <w:rFonts w:asciiTheme="minorHAnsi" w:hAnsiTheme="minorHAnsi" w:cstheme="minorHAnsi"/>
          <w:lang w:val="el-GR"/>
        </w:rPr>
        <w:t xml:space="preserve">ς από το ανατολικό μπλοκ </w:t>
      </w:r>
      <w:r>
        <w:rPr>
          <w:rFonts w:asciiTheme="minorHAnsi" w:hAnsiTheme="minorHAnsi" w:cstheme="minorHAnsi"/>
          <w:lang w:val="el-GR"/>
        </w:rPr>
        <w:t>η παύση</w:t>
      </w:r>
      <w:r w:rsidRPr="00E73B8D">
        <w:rPr>
          <w:rFonts w:asciiTheme="minorHAnsi" w:hAnsiTheme="minorHAnsi" w:cstheme="minorHAnsi"/>
          <w:lang w:val="el-GR"/>
        </w:rPr>
        <w:t xml:space="preserve"> των χρηματικών εισροών από την Ρωσία, </w:t>
      </w:r>
      <w:r>
        <w:rPr>
          <w:rFonts w:asciiTheme="minorHAnsi" w:hAnsiTheme="minorHAnsi" w:cstheme="minorHAnsi"/>
          <w:lang w:val="el-GR"/>
        </w:rPr>
        <w:t xml:space="preserve">οδήγησαν  την οικονομία στα πρόθυρα της </w:t>
      </w:r>
      <w:r w:rsidRPr="00E73B8D">
        <w:rPr>
          <w:rFonts w:asciiTheme="minorHAnsi" w:hAnsiTheme="minorHAnsi" w:cstheme="minorHAnsi"/>
          <w:lang w:val="el-GR"/>
        </w:rPr>
        <w:t xml:space="preserve">κατάρρευσης. Η κρίση αποφεύχθηκε με την υιοθέτηση ενός προγράμματος </w:t>
      </w:r>
      <w:r>
        <w:rPr>
          <w:rFonts w:asciiTheme="minorHAnsi" w:hAnsiTheme="minorHAnsi" w:cstheme="minorHAnsi"/>
          <w:lang w:val="el-GR"/>
        </w:rPr>
        <w:t xml:space="preserve">αυστηρότατης </w:t>
      </w:r>
      <w:r w:rsidRPr="00E73B8D">
        <w:rPr>
          <w:rFonts w:asciiTheme="minorHAnsi" w:hAnsiTheme="minorHAnsi" w:cstheme="minorHAnsi"/>
          <w:lang w:val="el-GR"/>
        </w:rPr>
        <w:t>οικονομικής λιτότητας, γνωστό και ω</w:t>
      </w:r>
      <w:r>
        <w:rPr>
          <w:rFonts w:asciiTheme="minorHAnsi" w:hAnsiTheme="minorHAnsi" w:cstheme="minorHAnsi"/>
          <w:lang w:val="el-GR"/>
        </w:rPr>
        <w:t>ς  πακέτο «</w:t>
      </w:r>
      <w:proofErr w:type="spellStart"/>
      <w:r>
        <w:rPr>
          <w:rFonts w:asciiTheme="minorHAnsi" w:hAnsiTheme="minorHAnsi" w:cstheme="minorHAnsi"/>
          <w:lang w:val="el-GR"/>
        </w:rPr>
        <w:t>Bokros</w:t>
      </w:r>
      <w:proofErr w:type="spellEnd"/>
      <w:r>
        <w:rPr>
          <w:rFonts w:asciiTheme="minorHAnsi" w:hAnsiTheme="minorHAnsi" w:cstheme="minorHAnsi"/>
          <w:lang w:val="el-GR"/>
        </w:rPr>
        <w:t>»</w:t>
      </w:r>
      <w:r w:rsidRPr="00860F84">
        <w:rPr>
          <w:rFonts w:asciiTheme="minorHAnsi" w:hAnsiTheme="minorHAnsi" w:cstheme="minorHAnsi"/>
          <w:lang w:val="el-GR"/>
        </w:rPr>
        <w:t>,</w:t>
      </w:r>
      <w:r>
        <w:rPr>
          <w:rFonts w:asciiTheme="minorHAnsi" w:hAnsiTheme="minorHAnsi" w:cstheme="minorHAnsi"/>
          <w:lang w:val="el-GR"/>
        </w:rPr>
        <w:t xml:space="preserve"> το ποίο ανακοινώθηκε </w:t>
      </w:r>
      <w:r w:rsidR="00B76918">
        <w:rPr>
          <w:rFonts w:asciiTheme="minorHAnsi" w:hAnsiTheme="minorHAnsi" w:cstheme="minorHAnsi"/>
          <w:lang w:val="el-GR"/>
        </w:rPr>
        <w:t xml:space="preserve">και ξεκίνησε η εφαρμογή του στις 12.3.1995, </w:t>
      </w:r>
      <w:r>
        <w:rPr>
          <w:rFonts w:asciiTheme="minorHAnsi" w:hAnsiTheme="minorHAnsi" w:cstheme="minorHAnsi"/>
          <w:lang w:val="el-GR"/>
        </w:rPr>
        <w:t xml:space="preserve">από τον τότε Υπουργό Οικονομικών κ. </w:t>
      </w:r>
      <w:proofErr w:type="spellStart"/>
      <w:r>
        <w:rPr>
          <w:rFonts w:asciiTheme="minorHAnsi" w:hAnsiTheme="minorHAnsi" w:cstheme="minorHAnsi"/>
        </w:rPr>
        <w:t>Lajos</w:t>
      </w:r>
      <w:proofErr w:type="spellEnd"/>
      <w:r w:rsidRPr="00860F84">
        <w:rPr>
          <w:rFonts w:asciiTheme="minorHAnsi" w:hAnsiTheme="minorHAnsi" w:cstheme="minorHAnsi"/>
          <w:lang w:val="el-GR"/>
        </w:rPr>
        <w:t xml:space="preserve"> </w:t>
      </w:r>
      <w:proofErr w:type="spellStart"/>
      <w:r>
        <w:rPr>
          <w:rFonts w:asciiTheme="minorHAnsi" w:hAnsiTheme="minorHAnsi" w:cstheme="minorHAnsi"/>
        </w:rPr>
        <w:t>Bokros</w:t>
      </w:r>
      <w:proofErr w:type="spellEnd"/>
      <w:r>
        <w:rPr>
          <w:rFonts w:asciiTheme="minorHAnsi" w:hAnsiTheme="minorHAnsi" w:cstheme="minorHAnsi"/>
          <w:lang w:val="el-GR"/>
        </w:rPr>
        <w:t>. Μ</w:t>
      </w:r>
      <w:r w:rsidRPr="00E73B8D">
        <w:rPr>
          <w:rFonts w:asciiTheme="minorHAnsi" w:hAnsiTheme="minorHAnsi" w:cstheme="minorHAnsi"/>
          <w:lang w:val="el-GR"/>
        </w:rPr>
        <w:t>ε ιδιωτικοπ</w:t>
      </w:r>
      <w:r>
        <w:rPr>
          <w:rFonts w:asciiTheme="minorHAnsi" w:hAnsiTheme="minorHAnsi" w:cstheme="minorHAnsi"/>
          <w:lang w:val="el-GR"/>
        </w:rPr>
        <w:t xml:space="preserve">οιήσεις κρατικών οργανισμών, </w:t>
      </w:r>
      <w:r w:rsidRPr="00E73B8D">
        <w:rPr>
          <w:rFonts w:asciiTheme="minorHAnsi" w:hAnsiTheme="minorHAnsi" w:cstheme="minorHAnsi"/>
          <w:lang w:val="el-GR"/>
        </w:rPr>
        <w:t>μείωση των κοινωνικώ</w:t>
      </w:r>
      <w:r>
        <w:rPr>
          <w:rFonts w:asciiTheme="minorHAnsi" w:hAnsiTheme="minorHAnsi" w:cstheme="minorHAnsi"/>
          <w:lang w:val="el-GR"/>
        </w:rPr>
        <w:t xml:space="preserve">ν δαπανών και με </w:t>
      </w:r>
      <w:r w:rsidRPr="00E73B8D">
        <w:rPr>
          <w:rFonts w:asciiTheme="minorHAnsi" w:hAnsiTheme="minorHAnsi" w:cstheme="minorHAnsi"/>
          <w:lang w:val="el-GR"/>
        </w:rPr>
        <w:t>ατμομηχανή της οικονομίας τις εξαγωγές, η Ουγγαρία σημείωσε θετικούς ρυθμούς ανάπτυξης.</w:t>
      </w:r>
    </w:p>
    <w:p w:rsidR="007102FC" w:rsidRDefault="007102FC" w:rsidP="007102FC">
      <w:pPr>
        <w:jc w:val="both"/>
        <w:rPr>
          <w:rFonts w:asciiTheme="minorHAnsi" w:hAnsiTheme="minorHAnsi" w:cstheme="minorHAnsi"/>
          <w:lang w:val="el-GR"/>
        </w:rPr>
      </w:pPr>
    </w:p>
    <w:p w:rsidR="007102FC" w:rsidRPr="00433B1E" w:rsidRDefault="007102FC" w:rsidP="007102FC">
      <w:pPr>
        <w:jc w:val="both"/>
        <w:rPr>
          <w:rFonts w:asciiTheme="minorHAnsi" w:hAnsiTheme="minorHAnsi" w:cstheme="minorHAnsi"/>
          <w:color w:val="2E2E2E"/>
          <w:lang w:val="el-GR"/>
        </w:rPr>
      </w:pPr>
      <w:r w:rsidRPr="00E73B8D">
        <w:rPr>
          <w:rFonts w:asciiTheme="minorHAnsi" w:hAnsiTheme="minorHAnsi" w:cstheme="minorHAnsi"/>
          <w:lang w:val="el-GR"/>
        </w:rPr>
        <w:t xml:space="preserve"> Το 2004 έγινε μέλος της Ε.Ε., </w:t>
      </w:r>
      <w:r>
        <w:rPr>
          <w:rFonts w:asciiTheme="minorHAnsi" w:hAnsiTheme="minorHAnsi" w:cstheme="minorHAnsi"/>
          <w:lang w:val="el-GR"/>
        </w:rPr>
        <w:t xml:space="preserve">με </w:t>
      </w:r>
      <w:r w:rsidRPr="00E73B8D">
        <w:rPr>
          <w:rFonts w:asciiTheme="minorHAnsi" w:hAnsiTheme="minorHAnsi" w:cstheme="minorHAnsi"/>
          <w:lang w:val="el-GR"/>
        </w:rPr>
        <w:t xml:space="preserve"> κατά κεφαλήν εισόδημα </w:t>
      </w:r>
      <w:r>
        <w:rPr>
          <w:rFonts w:asciiTheme="minorHAnsi" w:hAnsiTheme="minorHAnsi" w:cstheme="minorHAnsi"/>
          <w:lang w:val="el-GR"/>
        </w:rPr>
        <w:t xml:space="preserve">περί </w:t>
      </w:r>
      <w:r w:rsidRPr="00E73B8D">
        <w:rPr>
          <w:rFonts w:asciiTheme="minorHAnsi" w:hAnsiTheme="minorHAnsi" w:cstheme="minorHAnsi"/>
          <w:lang w:val="el-GR"/>
        </w:rPr>
        <w:t xml:space="preserve">τα 2/3 του μέσου όρου των χωρών της Ε.Ε. </w:t>
      </w:r>
      <w:r>
        <w:rPr>
          <w:rFonts w:asciiTheme="minorHAnsi" w:hAnsiTheme="minorHAnsi" w:cstheme="minorHAnsi"/>
          <w:lang w:val="el-GR"/>
        </w:rPr>
        <w:t xml:space="preserve">Τα τελευταία χρόνια, εξαιρουμένης της  περιόδου της  πανδημίας, η οικονομία της χώρας διατηρεί, σχετικά με υπόλοιπες χώρες μέλη της ΕΕ, υψηλούς ρυθμούς ανάπτυξης  και είναι από τις λίγες οικονομίες, παγκοσμίως,  που παρουσιάζουν πλεόνασμα στο εμπορικό τους ισοζύγιο. Σημειώνουμε επίσης ότι στη διάρκεια της μεγάλης κρίσης που ξεκίνησε στις ΗΠΑ  με την «φούσκα» των κόκκινων δανείων και των ενυπόθηκων κατοικιών και στη συνέχεια επεκτάθηκε και στην Ευρώπη, η </w:t>
      </w:r>
      <w:r w:rsidR="00934882">
        <w:rPr>
          <w:rFonts w:asciiTheme="minorHAnsi" w:hAnsiTheme="minorHAnsi" w:cstheme="minorHAnsi"/>
          <w:lang w:val="el-GR"/>
        </w:rPr>
        <w:t xml:space="preserve">τότε κυβέρνηση υπέγραψε, </w:t>
      </w:r>
      <w:r w:rsidRPr="005157EA">
        <w:rPr>
          <w:rFonts w:asciiTheme="minorHAnsi" w:hAnsiTheme="minorHAnsi" w:cstheme="minorHAnsi"/>
          <w:lang w:val="el-GR"/>
        </w:rPr>
        <w:t>το</w:t>
      </w:r>
      <w:r w:rsidR="004A70F7">
        <w:rPr>
          <w:rFonts w:asciiTheme="minorHAnsi" w:hAnsiTheme="minorHAnsi" w:cstheme="minorHAnsi"/>
          <w:lang w:val="el-GR"/>
        </w:rPr>
        <w:t xml:space="preserve"> Νοέμβριο του</w:t>
      </w:r>
      <w:r w:rsidRPr="005157EA">
        <w:rPr>
          <w:rFonts w:asciiTheme="minorHAnsi" w:hAnsiTheme="minorHAnsi" w:cstheme="minorHAnsi"/>
          <w:lang w:val="el-GR"/>
        </w:rPr>
        <w:t xml:space="preserve"> 2008, συμφωνία με το Διεθνές Νομισματικό Ταμείο, την Ε.Ε. και την  Παγκόσμια Τράπεζα, για παροχή δα</w:t>
      </w:r>
      <w:r w:rsidR="004A70F7">
        <w:rPr>
          <w:rFonts w:asciiTheme="minorHAnsi" w:hAnsiTheme="minorHAnsi" w:cstheme="minorHAnsi"/>
          <w:lang w:val="el-GR"/>
        </w:rPr>
        <w:t xml:space="preserve">νείου συνολικού ύψους </w:t>
      </w:r>
      <w:r w:rsidR="004A70F7" w:rsidRPr="004A70F7">
        <w:rPr>
          <w:rFonts w:asciiTheme="minorHAnsi" w:hAnsiTheme="minorHAnsi" w:cstheme="minorHAnsi"/>
          <w:lang w:val="el-GR"/>
        </w:rPr>
        <w:t xml:space="preserve">15,7 </w:t>
      </w:r>
      <w:proofErr w:type="spellStart"/>
      <w:r w:rsidR="004A70F7">
        <w:rPr>
          <w:rFonts w:asciiTheme="minorHAnsi" w:hAnsiTheme="minorHAnsi" w:cstheme="minorHAnsi"/>
          <w:lang w:val="el-GR"/>
        </w:rPr>
        <w:t>δισεκ</w:t>
      </w:r>
      <w:proofErr w:type="spellEnd"/>
      <w:r w:rsidR="004A70F7">
        <w:rPr>
          <w:rFonts w:asciiTheme="minorHAnsi" w:hAnsiTheme="minorHAnsi" w:cstheme="minorHAnsi"/>
          <w:lang w:val="el-GR"/>
        </w:rPr>
        <w:t xml:space="preserve">. </w:t>
      </w:r>
      <w:proofErr w:type="spellStart"/>
      <w:r w:rsidR="004A70F7">
        <w:rPr>
          <w:rFonts w:asciiTheme="minorHAnsi" w:hAnsiTheme="minorHAnsi" w:cstheme="minorHAnsi"/>
          <w:lang w:val="el-GR"/>
        </w:rPr>
        <w:t>δολ</w:t>
      </w:r>
      <w:proofErr w:type="spellEnd"/>
      <w:r w:rsidR="004A70F7">
        <w:rPr>
          <w:rFonts w:asciiTheme="minorHAnsi" w:hAnsiTheme="minorHAnsi" w:cstheme="minorHAnsi"/>
          <w:lang w:val="el-GR"/>
        </w:rPr>
        <w:t>.</w:t>
      </w:r>
      <w:r w:rsidR="00934882">
        <w:rPr>
          <w:rFonts w:asciiTheme="minorHAnsi" w:hAnsiTheme="minorHAnsi" w:cstheme="minorHAnsi"/>
          <w:lang w:val="el-GR"/>
        </w:rPr>
        <w:t xml:space="preserve"> </w:t>
      </w:r>
      <w:r w:rsidRPr="005157EA">
        <w:rPr>
          <w:rFonts w:asciiTheme="minorHAnsi" w:hAnsiTheme="minorHAnsi" w:cstheme="minorHAnsi"/>
          <w:lang w:val="el-GR"/>
        </w:rPr>
        <w:t xml:space="preserve"> </w:t>
      </w:r>
      <w:r w:rsidR="004A70F7">
        <w:rPr>
          <w:rFonts w:asciiTheme="minorHAnsi" w:hAnsiTheme="minorHAnsi" w:cstheme="minorHAnsi"/>
          <w:lang w:val="el-GR"/>
        </w:rPr>
        <w:t>με την προϋπόθεση ότι θα τεθούν σε εφαρμογή όλα τα αναγκα</w:t>
      </w:r>
      <w:r w:rsidR="00651B1C">
        <w:rPr>
          <w:rFonts w:asciiTheme="minorHAnsi" w:hAnsiTheme="minorHAnsi" w:cstheme="minorHAnsi"/>
          <w:lang w:val="el-GR"/>
        </w:rPr>
        <w:t>ί</w:t>
      </w:r>
      <w:r w:rsidR="004A70F7">
        <w:rPr>
          <w:rFonts w:asciiTheme="minorHAnsi" w:hAnsiTheme="minorHAnsi" w:cstheme="minorHAnsi"/>
          <w:lang w:val="el-GR"/>
        </w:rPr>
        <w:t xml:space="preserve">α μέτρα </w:t>
      </w:r>
      <w:r w:rsidR="00651B1C">
        <w:rPr>
          <w:rFonts w:asciiTheme="minorHAnsi" w:hAnsiTheme="minorHAnsi" w:cstheme="minorHAnsi"/>
          <w:lang w:val="el-GR"/>
        </w:rPr>
        <w:t xml:space="preserve">για τον περιορισμό των κρατικών δαπανών και την </w:t>
      </w:r>
      <w:r w:rsidR="00D13F3A">
        <w:rPr>
          <w:rFonts w:asciiTheme="minorHAnsi" w:hAnsiTheme="minorHAnsi" w:cstheme="minorHAnsi"/>
          <w:lang w:val="el-GR"/>
        </w:rPr>
        <w:t>αναδιάρθρωση των τραπεζών.</w:t>
      </w:r>
    </w:p>
    <w:p w:rsidR="007102FC" w:rsidRDefault="007102FC" w:rsidP="007102FC">
      <w:pPr>
        <w:jc w:val="both"/>
        <w:rPr>
          <w:rFonts w:asciiTheme="minorHAnsi" w:hAnsiTheme="minorHAnsi" w:cstheme="minorHAnsi"/>
          <w:color w:val="2E2E2E"/>
          <w:lang w:val="el-GR"/>
        </w:rPr>
      </w:pPr>
    </w:p>
    <w:p w:rsidR="007102FC" w:rsidRDefault="00344851" w:rsidP="007102FC">
      <w:pPr>
        <w:jc w:val="both"/>
        <w:rPr>
          <w:rFonts w:asciiTheme="minorHAnsi" w:hAnsiTheme="minorHAnsi" w:cstheme="minorHAnsi"/>
          <w:lang w:val="el-GR"/>
        </w:rPr>
      </w:pPr>
      <w:r>
        <w:rPr>
          <w:rFonts w:asciiTheme="minorHAnsi" w:hAnsiTheme="minorHAnsi" w:cstheme="minorHAnsi"/>
          <w:color w:val="2E2E2E"/>
          <w:lang w:val="el-GR"/>
        </w:rPr>
        <w:t xml:space="preserve">Μετά τις βουλευτικές </w:t>
      </w:r>
      <w:r>
        <w:rPr>
          <w:rFonts w:asciiTheme="minorHAnsi" w:hAnsiTheme="minorHAnsi" w:cstheme="minorHAnsi"/>
          <w:lang w:val="el-GR"/>
        </w:rPr>
        <w:t xml:space="preserve">εκλογές τον Απρίλιο του 2010, ο νέος Πρωθυπουργός </w:t>
      </w:r>
      <w:r w:rsidR="007102FC" w:rsidRPr="005157EA">
        <w:rPr>
          <w:rFonts w:asciiTheme="minorHAnsi" w:hAnsiTheme="minorHAnsi" w:cstheme="minorHAnsi"/>
          <w:lang w:val="el-GR"/>
        </w:rPr>
        <w:t xml:space="preserve"> </w:t>
      </w:r>
      <w:proofErr w:type="spellStart"/>
      <w:r w:rsidR="007102FC" w:rsidRPr="005157EA">
        <w:rPr>
          <w:rFonts w:asciiTheme="minorHAnsi" w:hAnsiTheme="minorHAnsi" w:cstheme="minorHAnsi"/>
          <w:b/>
          <w:lang w:val="el-GR"/>
        </w:rPr>
        <w:t>Viktor</w:t>
      </w:r>
      <w:proofErr w:type="spellEnd"/>
      <w:r w:rsidR="007102FC" w:rsidRPr="005157EA">
        <w:rPr>
          <w:rFonts w:asciiTheme="minorHAnsi" w:hAnsiTheme="minorHAnsi" w:cstheme="minorHAnsi"/>
          <w:b/>
          <w:lang w:val="el-GR"/>
        </w:rPr>
        <w:t xml:space="preserve"> </w:t>
      </w:r>
      <w:proofErr w:type="spellStart"/>
      <w:r w:rsidR="007102FC" w:rsidRPr="005157EA">
        <w:rPr>
          <w:rFonts w:asciiTheme="minorHAnsi" w:hAnsiTheme="minorHAnsi" w:cstheme="minorHAnsi"/>
          <w:b/>
          <w:lang w:val="el-GR"/>
        </w:rPr>
        <w:t>Orbán</w:t>
      </w:r>
      <w:proofErr w:type="spellEnd"/>
      <w:r w:rsidR="007102FC" w:rsidRPr="005157EA">
        <w:rPr>
          <w:rFonts w:asciiTheme="minorHAnsi" w:hAnsiTheme="minorHAnsi" w:cstheme="minorHAnsi"/>
          <w:lang w:val="el-GR"/>
        </w:rPr>
        <w:t xml:space="preserve">, </w:t>
      </w:r>
      <w:r>
        <w:rPr>
          <w:rFonts w:asciiTheme="minorHAnsi" w:hAnsiTheme="minorHAnsi" w:cstheme="minorHAnsi"/>
          <w:lang w:val="el-GR"/>
        </w:rPr>
        <w:t>από την πρώτη μέρα ανάληψης των καθηκόντων του</w:t>
      </w:r>
      <w:r w:rsidR="00C056AD">
        <w:rPr>
          <w:rFonts w:asciiTheme="minorHAnsi" w:hAnsiTheme="minorHAnsi" w:cstheme="minorHAnsi"/>
          <w:lang w:val="el-GR"/>
        </w:rPr>
        <w:t xml:space="preserve">, </w:t>
      </w:r>
      <w:r w:rsidR="007102FC" w:rsidRPr="005157EA">
        <w:rPr>
          <w:rFonts w:asciiTheme="minorHAnsi" w:hAnsiTheme="minorHAnsi" w:cstheme="minorHAnsi"/>
          <w:lang w:val="el-GR"/>
        </w:rPr>
        <w:t>εφήρμοσε μια φιλολαϊκή και εθνικιστική οικονομική πολιτική με κύριους άξονες: α) την προώθηση της επιχειρηματικότητας, β) τον περι</w:t>
      </w:r>
      <w:r w:rsidR="007102FC">
        <w:rPr>
          <w:rFonts w:asciiTheme="minorHAnsi" w:hAnsiTheme="minorHAnsi" w:cstheme="minorHAnsi"/>
          <w:lang w:val="el-GR"/>
        </w:rPr>
        <w:t xml:space="preserve">ορισμό των κρατικών δαπανών, γ) </w:t>
      </w:r>
      <w:r w:rsidR="007102FC" w:rsidRPr="005157EA">
        <w:rPr>
          <w:rFonts w:asciiTheme="minorHAnsi" w:hAnsiTheme="minorHAnsi" w:cstheme="minorHAnsi"/>
          <w:lang w:val="el-GR"/>
        </w:rPr>
        <w:t xml:space="preserve">την άντληση πόρων από </w:t>
      </w:r>
      <w:r w:rsidR="00C056AD">
        <w:rPr>
          <w:rFonts w:asciiTheme="minorHAnsi" w:hAnsiTheme="minorHAnsi" w:cstheme="minorHAnsi"/>
          <w:lang w:val="el-GR"/>
        </w:rPr>
        <w:t xml:space="preserve">τους κερδοφόρους κλάδους της </w:t>
      </w:r>
      <w:r w:rsidR="007102FC">
        <w:rPr>
          <w:rFonts w:asciiTheme="minorHAnsi" w:hAnsiTheme="minorHAnsi" w:cstheme="minorHAnsi"/>
          <w:lang w:val="el-GR"/>
        </w:rPr>
        <w:t xml:space="preserve">οικονομίας και δ) την </w:t>
      </w:r>
      <w:r w:rsidR="007102FC" w:rsidRPr="005157EA">
        <w:rPr>
          <w:rFonts w:asciiTheme="minorHAnsi" w:hAnsiTheme="minorHAnsi" w:cstheme="minorHAnsi"/>
          <w:lang w:val="el-GR"/>
        </w:rPr>
        <w:t xml:space="preserve">στήριξη των νοικοκυριών μέσω φορολογικών ελαφρύνσεων. Το νέο μίγμα οικονομικής πολιτικής που εφήρμοσε η κυβέρνηση </w:t>
      </w:r>
      <w:proofErr w:type="spellStart"/>
      <w:r w:rsidR="007102FC" w:rsidRPr="005157EA">
        <w:rPr>
          <w:rFonts w:asciiTheme="minorHAnsi" w:hAnsiTheme="minorHAnsi" w:cstheme="minorHAnsi"/>
          <w:lang w:val="el-GR"/>
        </w:rPr>
        <w:t>Orbán</w:t>
      </w:r>
      <w:proofErr w:type="spellEnd"/>
      <w:r w:rsidR="007102FC" w:rsidRPr="005157EA">
        <w:rPr>
          <w:rFonts w:asciiTheme="minorHAnsi" w:hAnsiTheme="minorHAnsi" w:cstheme="minorHAnsi"/>
          <w:lang w:val="el-GR"/>
        </w:rPr>
        <w:t xml:space="preserve">, με την </w:t>
      </w:r>
      <w:proofErr w:type="spellStart"/>
      <w:r w:rsidR="007102FC" w:rsidRPr="005157EA">
        <w:rPr>
          <w:rFonts w:asciiTheme="minorHAnsi" w:hAnsiTheme="minorHAnsi" w:cstheme="minorHAnsi"/>
          <w:lang w:val="el-GR"/>
        </w:rPr>
        <w:t>επανα</w:t>
      </w:r>
      <w:proofErr w:type="spellEnd"/>
      <w:r w:rsidR="007102FC" w:rsidRPr="005157EA">
        <w:rPr>
          <w:rFonts w:asciiTheme="minorHAnsi" w:hAnsiTheme="minorHAnsi" w:cstheme="minorHAnsi"/>
          <w:lang w:val="el-GR"/>
        </w:rPr>
        <w:t>-κρατικοποίη</w:t>
      </w:r>
      <w:r w:rsidR="007102FC">
        <w:rPr>
          <w:rFonts w:asciiTheme="minorHAnsi" w:hAnsiTheme="minorHAnsi" w:cstheme="minorHAnsi"/>
          <w:lang w:val="el-GR"/>
        </w:rPr>
        <w:t>ση των ασφαλιστικών ταμείων, την ρύθμιση</w:t>
      </w:r>
      <w:r w:rsidR="007102FC" w:rsidRPr="005157EA">
        <w:rPr>
          <w:rFonts w:asciiTheme="minorHAnsi" w:hAnsiTheme="minorHAnsi" w:cstheme="minorHAnsi"/>
          <w:lang w:val="el-GR"/>
        </w:rPr>
        <w:t xml:space="preserve"> των στεγαστικών δανείων υπέρ των δανειοληπτών και κυρίως την επιβολή έκτακτης ειδικής εισφοράς «</w:t>
      </w:r>
      <w:proofErr w:type="spellStart"/>
      <w:r w:rsidR="007102FC" w:rsidRPr="005157EA">
        <w:rPr>
          <w:rFonts w:asciiTheme="minorHAnsi" w:hAnsiTheme="minorHAnsi" w:cstheme="minorHAnsi"/>
          <w:lang w:val="el-GR"/>
        </w:rPr>
        <w:t>crisis</w:t>
      </w:r>
      <w:proofErr w:type="spellEnd"/>
      <w:r w:rsidR="007102FC" w:rsidRPr="005157EA">
        <w:rPr>
          <w:rFonts w:asciiTheme="minorHAnsi" w:hAnsiTheme="minorHAnsi" w:cstheme="minorHAnsi"/>
          <w:lang w:val="el-GR"/>
        </w:rPr>
        <w:t xml:space="preserve"> </w:t>
      </w:r>
      <w:proofErr w:type="spellStart"/>
      <w:r w:rsidR="007102FC" w:rsidRPr="005157EA">
        <w:rPr>
          <w:rFonts w:asciiTheme="minorHAnsi" w:hAnsiTheme="minorHAnsi" w:cstheme="minorHAnsi"/>
          <w:lang w:val="el-GR"/>
        </w:rPr>
        <w:t>tax</w:t>
      </w:r>
      <w:proofErr w:type="spellEnd"/>
      <w:r w:rsidR="007102FC" w:rsidRPr="005157EA">
        <w:rPr>
          <w:rFonts w:asciiTheme="minorHAnsi" w:hAnsiTheme="minorHAnsi" w:cstheme="minorHAnsi"/>
          <w:lang w:val="el-GR"/>
        </w:rPr>
        <w:t>» (για την τριετία 2010-2012) σε τράπεζες, ασφαλιστικά και χρηματοπιστωτικά ιδρύματα,</w:t>
      </w:r>
      <w:r w:rsidR="007102FC" w:rsidRPr="0087296D">
        <w:rPr>
          <w:rFonts w:asciiTheme="minorHAnsi" w:hAnsiTheme="minorHAnsi" w:cstheme="minorHAnsi"/>
          <w:lang w:val="el-GR"/>
        </w:rPr>
        <w:t xml:space="preserve"> </w:t>
      </w:r>
      <w:r w:rsidR="007102FC">
        <w:rPr>
          <w:rFonts w:asciiTheme="minorHAnsi" w:hAnsiTheme="minorHAnsi" w:cstheme="minorHAnsi"/>
          <w:lang w:val="el-GR"/>
        </w:rPr>
        <w:t>καθώς και σε</w:t>
      </w:r>
      <w:r w:rsidR="007102FC" w:rsidRPr="005157EA">
        <w:rPr>
          <w:rFonts w:asciiTheme="minorHAnsi" w:hAnsiTheme="minorHAnsi" w:cstheme="minorHAnsi"/>
          <w:lang w:val="el-GR"/>
        </w:rPr>
        <w:t xml:space="preserve"> μεγάλες εμπορικές επιχειρήσεις (ως επί το πλείστον πολυεθνικών συμφερόντων), προκάλεσε έντονες αντιδράσεις και υπήρξε η κύρια αιτία να χαρακτηρισθεί «ανορθόδοξη» η </w:t>
      </w:r>
      <w:r w:rsidR="007102FC">
        <w:rPr>
          <w:rFonts w:asciiTheme="minorHAnsi" w:hAnsiTheme="minorHAnsi" w:cstheme="minorHAnsi"/>
          <w:lang w:val="el-GR"/>
        </w:rPr>
        <w:t>οικονομική πολιτική του Ο/</w:t>
      </w:r>
      <w:r w:rsidR="00C056AD">
        <w:rPr>
          <w:rFonts w:asciiTheme="minorHAnsi" w:hAnsiTheme="minorHAnsi" w:cstheme="minorHAnsi"/>
          <w:lang w:val="el-GR"/>
        </w:rPr>
        <w:t xml:space="preserve">Πρωθυπουργού, με </w:t>
      </w:r>
      <w:r w:rsidR="007102FC" w:rsidRPr="005157EA">
        <w:rPr>
          <w:rFonts w:asciiTheme="minorHAnsi" w:hAnsiTheme="minorHAnsi" w:cstheme="minorHAnsi"/>
          <w:lang w:val="el-GR"/>
        </w:rPr>
        <w:t xml:space="preserve"> </w:t>
      </w:r>
      <w:r w:rsidR="00C056AD">
        <w:rPr>
          <w:rFonts w:asciiTheme="minorHAnsi" w:hAnsiTheme="minorHAnsi" w:cstheme="minorHAnsi"/>
          <w:lang w:val="el-GR"/>
        </w:rPr>
        <w:t xml:space="preserve">αποτέλεσμα </w:t>
      </w:r>
      <w:r w:rsidR="007102FC" w:rsidRPr="005157EA">
        <w:rPr>
          <w:rFonts w:asciiTheme="minorHAnsi" w:hAnsiTheme="minorHAnsi" w:cstheme="minorHAnsi"/>
          <w:lang w:val="el-GR"/>
        </w:rPr>
        <w:t>να οδηγηθεί η χώρα σε ρήξη με το ΔΝΤ (Ιούλιος 2010).</w:t>
      </w:r>
    </w:p>
    <w:p w:rsidR="007102FC" w:rsidRDefault="007102FC" w:rsidP="007102FC">
      <w:pPr>
        <w:jc w:val="both"/>
        <w:rPr>
          <w:rFonts w:asciiTheme="minorHAnsi" w:hAnsiTheme="minorHAnsi" w:cstheme="minorHAnsi"/>
          <w:lang w:val="el-GR"/>
        </w:rPr>
      </w:pPr>
    </w:p>
    <w:p w:rsidR="007102FC" w:rsidRPr="005157EA" w:rsidRDefault="007102FC" w:rsidP="007102FC">
      <w:pPr>
        <w:jc w:val="both"/>
        <w:rPr>
          <w:rFonts w:asciiTheme="minorHAnsi" w:hAnsiTheme="minorHAnsi" w:cstheme="minorHAnsi"/>
          <w:lang w:val="el-GR"/>
        </w:rPr>
      </w:pPr>
      <w:r w:rsidRPr="005157EA">
        <w:rPr>
          <w:rFonts w:asciiTheme="minorHAnsi" w:hAnsiTheme="minorHAnsi" w:cstheme="minorHAnsi"/>
          <w:lang w:val="el-GR"/>
        </w:rPr>
        <w:t>Η ασκούμενη κυβερνητική πολιτική, ευνόησε τις εθνικές βιομηχανίες, τις κρατικές επιχειρήσεις, καθώς και τις επιχειρήσεις που με κάποιον τρόπο συνδέονταν με την κυβέρνηση. Ειδικά η επιβολή του «</w:t>
      </w:r>
      <w:proofErr w:type="spellStart"/>
      <w:r w:rsidRPr="005157EA">
        <w:rPr>
          <w:rFonts w:asciiTheme="minorHAnsi" w:hAnsiTheme="minorHAnsi" w:cstheme="minorHAnsi"/>
          <w:lang w:val="el-GR"/>
        </w:rPr>
        <w:t>crisis</w:t>
      </w:r>
      <w:proofErr w:type="spellEnd"/>
      <w:r w:rsidRPr="005157EA">
        <w:rPr>
          <w:rFonts w:asciiTheme="minorHAnsi" w:hAnsiTheme="minorHAnsi" w:cstheme="minorHAnsi"/>
          <w:lang w:val="el-GR"/>
        </w:rPr>
        <w:t xml:space="preserve"> </w:t>
      </w:r>
      <w:proofErr w:type="spellStart"/>
      <w:r w:rsidRPr="005157EA">
        <w:rPr>
          <w:rFonts w:asciiTheme="minorHAnsi" w:hAnsiTheme="minorHAnsi" w:cstheme="minorHAnsi"/>
          <w:lang w:val="el-GR"/>
        </w:rPr>
        <w:t>tax</w:t>
      </w:r>
      <w:proofErr w:type="spellEnd"/>
      <w:r w:rsidRPr="005157EA">
        <w:rPr>
          <w:rFonts w:asciiTheme="minorHAnsi" w:hAnsiTheme="minorHAnsi" w:cstheme="minorHAnsi"/>
          <w:lang w:val="el-GR"/>
        </w:rPr>
        <w:t xml:space="preserve">», ενίσχυσε τα κρατικά ταμεία, μείωσε το έλλειμμα της γενικής κυβέρνησης και επέτρεψε στην Ουγγαρία να συνεχίσει να έχει πρόσβαση σε ευρωπαϊκά αναπτυξιακά κονδύλια. Παράλληλα όμως, απέτρεψε τις επενδύσεις του ιδιωτικού τομέα. Το 2011 και το 2014 η Ουγγαρία εθνικοποίησε τα ιδιωτικά συνταξιοδοτικά ταμεία, αποκλείοντας έτσι από την αγορά ένα μεγάλο μέρος ιδιωτικών χρηματοοικονομικών υπηρεσιών, αλλά πετυχαίνοντας παράλληλα τον περιορισμό του δημόσιου χρέους και την μείωση του ελλείμματος σε ποσοστό κάτω του 3% του ΑΕΠ, αφού οι συνταξιοδοτικές εισφορές/κρατήσεις περιέρχονταν πλέον στα κρατικά συνταξιοδοτικά ταμεία. </w:t>
      </w:r>
    </w:p>
    <w:p w:rsidR="00C056AD" w:rsidRDefault="00C056AD" w:rsidP="007102FC">
      <w:pPr>
        <w:jc w:val="both"/>
        <w:rPr>
          <w:rFonts w:asciiTheme="minorHAnsi" w:hAnsiTheme="minorHAnsi" w:cstheme="minorHAnsi"/>
          <w:lang w:val="el-GR"/>
        </w:rPr>
      </w:pPr>
    </w:p>
    <w:p w:rsidR="007102FC" w:rsidRDefault="007102FC" w:rsidP="007102FC">
      <w:pPr>
        <w:jc w:val="both"/>
        <w:rPr>
          <w:rFonts w:asciiTheme="minorHAnsi" w:hAnsiTheme="minorHAnsi" w:cstheme="minorHAnsi"/>
          <w:lang w:val="el-GR"/>
        </w:rPr>
      </w:pPr>
      <w:r>
        <w:rPr>
          <w:rFonts w:asciiTheme="minorHAnsi" w:hAnsiTheme="minorHAnsi" w:cstheme="minorHAnsi"/>
          <w:lang w:val="el-GR"/>
        </w:rPr>
        <w:t xml:space="preserve">Παρά τις θετικές εξελίξεις στην οικονομία, το </w:t>
      </w:r>
      <w:r w:rsidRPr="005157EA">
        <w:rPr>
          <w:rFonts w:asciiTheme="minorHAnsi" w:hAnsiTheme="minorHAnsi" w:cstheme="minorHAnsi"/>
          <w:lang w:val="el-GR"/>
        </w:rPr>
        <w:t xml:space="preserve">2011 οι τρεις </w:t>
      </w:r>
      <w:r>
        <w:rPr>
          <w:rFonts w:asciiTheme="minorHAnsi" w:hAnsiTheme="minorHAnsi" w:cstheme="minorHAnsi"/>
          <w:lang w:val="el-GR"/>
        </w:rPr>
        <w:t>σημαντικότεροι</w:t>
      </w:r>
      <w:r w:rsidRPr="005157EA">
        <w:rPr>
          <w:rFonts w:asciiTheme="minorHAnsi" w:hAnsiTheme="minorHAnsi" w:cstheme="minorHAnsi"/>
          <w:lang w:val="el-GR"/>
        </w:rPr>
        <w:t xml:space="preserve"> οίκοι αξιολόγησης (</w:t>
      </w:r>
      <w:proofErr w:type="spellStart"/>
      <w:r w:rsidRPr="005157EA">
        <w:rPr>
          <w:rFonts w:asciiTheme="minorHAnsi" w:hAnsiTheme="minorHAnsi" w:cstheme="minorHAnsi"/>
          <w:lang w:val="el-GR"/>
        </w:rPr>
        <w:t>Fitch</w:t>
      </w:r>
      <w:proofErr w:type="spellEnd"/>
      <w:r w:rsidRPr="005157EA">
        <w:rPr>
          <w:rFonts w:asciiTheme="minorHAnsi" w:hAnsiTheme="minorHAnsi" w:cstheme="minorHAnsi"/>
          <w:lang w:val="el-GR"/>
        </w:rPr>
        <w:t xml:space="preserve">, </w:t>
      </w:r>
      <w:proofErr w:type="spellStart"/>
      <w:r w:rsidRPr="005157EA">
        <w:rPr>
          <w:rFonts w:asciiTheme="minorHAnsi" w:hAnsiTheme="minorHAnsi" w:cstheme="minorHAnsi"/>
          <w:lang w:val="el-GR"/>
        </w:rPr>
        <w:t>Moody’s</w:t>
      </w:r>
      <w:proofErr w:type="spellEnd"/>
      <w:r w:rsidRPr="005157EA">
        <w:rPr>
          <w:rFonts w:asciiTheme="minorHAnsi" w:hAnsiTheme="minorHAnsi" w:cstheme="minorHAnsi"/>
          <w:lang w:val="el-GR"/>
        </w:rPr>
        <w:t xml:space="preserve"> και </w:t>
      </w:r>
      <w:proofErr w:type="spellStart"/>
      <w:r w:rsidRPr="005157EA">
        <w:rPr>
          <w:rFonts w:asciiTheme="minorHAnsi" w:hAnsiTheme="minorHAnsi" w:cstheme="minorHAnsi"/>
          <w:lang w:val="el-GR"/>
        </w:rPr>
        <w:t>Standards</w:t>
      </w:r>
      <w:proofErr w:type="spellEnd"/>
      <w:r w:rsidRPr="005157EA">
        <w:rPr>
          <w:rFonts w:asciiTheme="minorHAnsi" w:hAnsiTheme="minorHAnsi" w:cstheme="minorHAnsi"/>
          <w:lang w:val="el-GR"/>
        </w:rPr>
        <w:t xml:space="preserve"> &amp; </w:t>
      </w:r>
      <w:proofErr w:type="spellStart"/>
      <w:r w:rsidRPr="005157EA">
        <w:rPr>
          <w:rFonts w:asciiTheme="minorHAnsi" w:hAnsiTheme="minorHAnsi" w:cstheme="minorHAnsi"/>
          <w:lang w:val="el-GR"/>
        </w:rPr>
        <w:t>Poor’s</w:t>
      </w:r>
      <w:proofErr w:type="spellEnd"/>
      <w:r w:rsidRPr="005157EA">
        <w:rPr>
          <w:rFonts w:asciiTheme="minorHAnsi" w:hAnsiTheme="minorHAnsi" w:cstheme="minorHAnsi"/>
          <w:lang w:val="el-GR"/>
        </w:rPr>
        <w:t>) μείωσαν την πιστοληπτική ικανότητα της Ουγγαρίας υποβαθμίζοντας τα δεκαετή ουγγρικά κρατικά ομόλογα στην κατηγορία «σκουπιδιών» (</w:t>
      </w:r>
      <w:proofErr w:type="spellStart"/>
      <w:r w:rsidRPr="005157EA">
        <w:rPr>
          <w:rFonts w:asciiTheme="minorHAnsi" w:hAnsiTheme="minorHAnsi" w:cstheme="minorHAnsi"/>
          <w:lang w:val="el-GR"/>
        </w:rPr>
        <w:t>junk</w:t>
      </w:r>
      <w:proofErr w:type="spellEnd"/>
      <w:r w:rsidRPr="005157EA">
        <w:rPr>
          <w:rFonts w:asciiTheme="minorHAnsi" w:hAnsiTheme="minorHAnsi" w:cstheme="minorHAnsi"/>
          <w:lang w:val="el-GR"/>
        </w:rPr>
        <w:t xml:space="preserve"> </w:t>
      </w:r>
      <w:proofErr w:type="spellStart"/>
      <w:r w:rsidRPr="005157EA">
        <w:rPr>
          <w:rFonts w:asciiTheme="minorHAnsi" w:hAnsiTheme="minorHAnsi" w:cstheme="minorHAnsi"/>
          <w:lang w:val="el-GR"/>
        </w:rPr>
        <w:t>bonds</w:t>
      </w:r>
      <w:proofErr w:type="spellEnd"/>
      <w:r w:rsidRPr="005157EA">
        <w:rPr>
          <w:rFonts w:asciiTheme="minorHAnsi" w:hAnsiTheme="minorHAnsi" w:cstheme="minorHAnsi"/>
          <w:lang w:val="el-GR"/>
        </w:rPr>
        <w:t xml:space="preserve">). </w:t>
      </w:r>
    </w:p>
    <w:p w:rsidR="007102FC" w:rsidRDefault="007102FC" w:rsidP="007102FC">
      <w:pPr>
        <w:jc w:val="both"/>
        <w:rPr>
          <w:rFonts w:asciiTheme="minorHAnsi" w:hAnsiTheme="minorHAnsi" w:cstheme="minorHAnsi"/>
          <w:lang w:val="el-GR"/>
        </w:rPr>
      </w:pPr>
    </w:p>
    <w:p w:rsidR="007102FC" w:rsidRPr="00280F44" w:rsidRDefault="007102FC" w:rsidP="007102FC">
      <w:pPr>
        <w:jc w:val="both"/>
        <w:rPr>
          <w:rFonts w:asciiTheme="minorHAnsi" w:hAnsiTheme="minorHAnsi" w:cstheme="minorHAnsi"/>
          <w:lang w:val="el-GR"/>
        </w:rPr>
      </w:pPr>
      <w:r>
        <w:rPr>
          <w:rFonts w:asciiTheme="minorHAnsi" w:hAnsiTheme="minorHAnsi" w:cstheme="minorHAnsi"/>
          <w:lang w:val="el-GR"/>
        </w:rPr>
        <w:t>Σε πείσμα της μεγάλης αυτής υποβάθμισης,</w:t>
      </w:r>
      <w:r w:rsidRPr="007F127F">
        <w:rPr>
          <w:rFonts w:asciiTheme="minorHAnsi" w:hAnsiTheme="minorHAnsi" w:cstheme="minorHAnsi"/>
          <w:lang w:val="el-GR"/>
        </w:rPr>
        <w:t xml:space="preserve"> </w:t>
      </w:r>
      <w:r>
        <w:rPr>
          <w:rFonts w:asciiTheme="minorHAnsi" w:hAnsiTheme="minorHAnsi" w:cstheme="minorHAnsi"/>
          <w:lang w:val="el-GR"/>
        </w:rPr>
        <w:t>από το 2015 και μετά</w:t>
      </w:r>
      <w:r w:rsidRPr="007F127F">
        <w:rPr>
          <w:rFonts w:asciiTheme="minorHAnsi" w:hAnsiTheme="minorHAnsi" w:cstheme="minorHAnsi"/>
          <w:lang w:val="el-GR"/>
        </w:rPr>
        <w:t xml:space="preserve">, </w:t>
      </w:r>
      <w:r>
        <w:rPr>
          <w:rFonts w:asciiTheme="minorHAnsi" w:hAnsiTheme="minorHAnsi" w:cstheme="minorHAnsi"/>
          <w:lang w:val="el-GR"/>
        </w:rPr>
        <w:t xml:space="preserve">η </w:t>
      </w:r>
      <w:r w:rsidRPr="007F127F">
        <w:rPr>
          <w:rFonts w:asciiTheme="minorHAnsi" w:hAnsiTheme="minorHAnsi" w:cstheme="minorHAnsi"/>
          <w:lang w:val="el-GR"/>
        </w:rPr>
        <w:t xml:space="preserve">ταυτόχρονη μείωση τόσο του δημοσίου χρέους όσο και του δημοσίου ελλείμματος, </w:t>
      </w:r>
      <w:r>
        <w:rPr>
          <w:rFonts w:asciiTheme="minorHAnsi" w:hAnsiTheme="minorHAnsi" w:cstheme="minorHAnsi"/>
          <w:lang w:val="el-GR"/>
        </w:rPr>
        <w:t>οδήγησαν</w:t>
      </w:r>
      <w:r w:rsidR="00C316F3">
        <w:rPr>
          <w:rFonts w:asciiTheme="minorHAnsi" w:hAnsiTheme="minorHAnsi" w:cstheme="minorHAnsi"/>
          <w:lang w:val="el-GR"/>
        </w:rPr>
        <w:t xml:space="preserve"> </w:t>
      </w:r>
      <w:r w:rsidRPr="007F127F">
        <w:rPr>
          <w:rFonts w:asciiTheme="minorHAnsi" w:hAnsiTheme="minorHAnsi" w:cstheme="minorHAnsi"/>
          <w:lang w:val="el-GR"/>
        </w:rPr>
        <w:t>τους τρεις διεθνείς οίκους αξιολόγησης να αναθεωρήσουν τις εκτιμήσεις τους και να αναβαθμίσουν το κρατικό αξιόχρεο της χώρας στην κατηγορία Baa3 ώστε τα ομόλογά της να θεωρούνται πλέον επένδυση. Στις αρχές του 2019 ο διεθνής οίκος</w:t>
      </w:r>
      <w:r>
        <w:rPr>
          <w:rFonts w:asciiTheme="minorHAnsi" w:hAnsiTheme="minorHAnsi" w:cstheme="minorHAnsi"/>
          <w:lang w:val="el-GR"/>
        </w:rPr>
        <w:t xml:space="preserve"> αξιολόγησης πιστοληπτικής ικανότητας </w:t>
      </w:r>
      <w:r w:rsidRPr="007F127F">
        <w:rPr>
          <w:rFonts w:asciiTheme="minorHAnsi" w:hAnsiTheme="minorHAnsi" w:cstheme="minorHAnsi"/>
          <w:lang w:val="el-GR"/>
        </w:rPr>
        <w:t>«</w:t>
      </w:r>
      <w:r w:rsidRPr="007F127F">
        <w:rPr>
          <w:rFonts w:asciiTheme="minorHAnsi" w:hAnsiTheme="minorHAnsi" w:cstheme="minorHAnsi"/>
        </w:rPr>
        <w:t>Standard</w:t>
      </w:r>
      <w:r w:rsidRPr="007F127F">
        <w:rPr>
          <w:rFonts w:asciiTheme="minorHAnsi" w:hAnsiTheme="minorHAnsi" w:cstheme="minorHAnsi"/>
          <w:lang w:val="el-GR"/>
        </w:rPr>
        <w:t xml:space="preserve"> &amp; </w:t>
      </w:r>
      <w:r w:rsidRPr="007F127F">
        <w:rPr>
          <w:rFonts w:asciiTheme="minorHAnsi" w:hAnsiTheme="minorHAnsi" w:cstheme="minorHAnsi"/>
        </w:rPr>
        <w:t>Poor</w:t>
      </w:r>
      <w:r w:rsidRPr="007F127F">
        <w:rPr>
          <w:rFonts w:asciiTheme="minorHAnsi" w:hAnsiTheme="minorHAnsi" w:cstheme="minorHAnsi"/>
          <w:lang w:val="el-GR"/>
        </w:rPr>
        <w:t>'</w:t>
      </w:r>
      <w:r w:rsidRPr="007F127F">
        <w:rPr>
          <w:rFonts w:asciiTheme="minorHAnsi" w:hAnsiTheme="minorHAnsi" w:cstheme="minorHAnsi"/>
        </w:rPr>
        <w:t>s</w:t>
      </w:r>
      <w:r w:rsidRPr="007F127F">
        <w:rPr>
          <w:rFonts w:asciiTheme="minorHAnsi" w:hAnsiTheme="minorHAnsi" w:cstheme="minorHAnsi"/>
          <w:lang w:val="el-GR"/>
        </w:rPr>
        <w:t xml:space="preserve">» αναβάθμισε την </w:t>
      </w:r>
      <w:r>
        <w:rPr>
          <w:rFonts w:asciiTheme="minorHAnsi" w:hAnsiTheme="minorHAnsi" w:cstheme="minorHAnsi"/>
          <w:lang w:val="el-GR"/>
        </w:rPr>
        <w:t>οικονομία της</w:t>
      </w:r>
      <w:r w:rsidRPr="007F127F">
        <w:rPr>
          <w:rFonts w:asciiTheme="minorHAnsi" w:hAnsiTheme="minorHAnsi" w:cstheme="minorHAnsi"/>
          <w:lang w:val="el-GR"/>
        </w:rPr>
        <w:t xml:space="preserve"> Ουγγαρίας στο επίπεδο "</w:t>
      </w:r>
      <w:r w:rsidRPr="007F127F">
        <w:rPr>
          <w:rFonts w:asciiTheme="minorHAnsi" w:hAnsiTheme="minorHAnsi" w:cstheme="minorHAnsi"/>
        </w:rPr>
        <w:t>BBB</w:t>
      </w:r>
      <w:r w:rsidRPr="007F127F">
        <w:rPr>
          <w:rFonts w:asciiTheme="minorHAnsi" w:hAnsiTheme="minorHAnsi" w:cstheme="minorHAnsi"/>
          <w:lang w:val="el-GR"/>
        </w:rPr>
        <w:t xml:space="preserve">", </w:t>
      </w:r>
      <w:r>
        <w:rPr>
          <w:rFonts w:asciiTheme="minorHAnsi" w:hAnsiTheme="minorHAnsi" w:cstheme="minorHAnsi"/>
          <w:lang w:val="el-GR"/>
        </w:rPr>
        <w:t>δηλαδή, δύο βαθμίδες πάνω</w:t>
      </w:r>
      <w:r w:rsidRPr="00280F44">
        <w:rPr>
          <w:rFonts w:asciiTheme="minorHAnsi" w:hAnsiTheme="minorHAnsi" w:cstheme="minorHAnsi"/>
          <w:lang w:val="el-GR"/>
        </w:rPr>
        <w:t xml:space="preserve"> </w:t>
      </w:r>
      <w:r>
        <w:rPr>
          <w:rFonts w:asciiTheme="minorHAnsi" w:hAnsiTheme="minorHAnsi" w:cstheme="minorHAnsi"/>
          <w:lang w:val="el-GR"/>
        </w:rPr>
        <w:t xml:space="preserve">από το </w:t>
      </w:r>
      <w:r w:rsidRPr="007F127F">
        <w:rPr>
          <w:rFonts w:asciiTheme="minorHAnsi" w:hAnsiTheme="minorHAnsi" w:cstheme="minorHAnsi"/>
          <w:lang w:val="el-GR"/>
        </w:rPr>
        <w:t>όριο των επενδύσεων.</w:t>
      </w:r>
      <w:r w:rsidRPr="003A590E">
        <w:rPr>
          <w:rFonts w:asciiTheme="minorHAnsi" w:hAnsiTheme="minorHAnsi" w:cstheme="minorHAnsi"/>
          <w:b/>
          <w:lang w:val="el-GR"/>
        </w:rPr>
        <w:t xml:space="preserve"> </w:t>
      </w:r>
      <w:r w:rsidRPr="00280F44">
        <w:rPr>
          <w:rFonts w:asciiTheme="minorHAnsi" w:hAnsiTheme="minorHAnsi" w:cstheme="minorHAnsi"/>
          <w:lang w:val="el-GR"/>
        </w:rPr>
        <w:t xml:space="preserve">Την ίδια αξιολόγηση έκανε και ο οίκος </w:t>
      </w:r>
      <w:r w:rsidRPr="00280F44">
        <w:rPr>
          <w:rFonts w:asciiTheme="minorHAnsi" w:hAnsiTheme="minorHAnsi" w:cstheme="minorHAnsi"/>
          <w:bCs/>
          <w:lang w:val="el-GR"/>
        </w:rPr>
        <w:t>«</w:t>
      </w:r>
      <w:r w:rsidRPr="00280F44">
        <w:rPr>
          <w:rFonts w:asciiTheme="minorHAnsi" w:hAnsiTheme="minorHAnsi" w:cstheme="minorHAnsi"/>
          <w:bCs/>
        </w:rPr>
        <w:t>Fitch</w:t>
      </w:r>
      <w:r w:rsidRPr="00280F44">
        <w:rPr>
          <w:rFonts w:asciiTheme="minorHAnsi" w:hAnsiTheme="minorHAnsi" w:cstheme="minorHAnsi"/>
          <w:bCs/>
          <w:lang w:val="el-GR"/>
        </w:rPr>
        <w:t xml:space="preserve"> </w:t>
      </w:r>
      <w:r w:rsidRPr="00280F44">
        <w:rPr>
          <w:rFonts w:asciiTheme="minorHAnsi" w:hAnsiTheme="minorHAnsi" w:cstheme="minorHAnsi"/>
          <w:bCs/>
        </w:rPr>
        <w:t>Ratings</w:t>
      </w:r>
      <w:r w:rsidRPr="00280F44">
        <w:rPr>
          <w:rFonts w:asciiTheme="minorHAnsi" w:hAnsiTheme="minorHAnsi" w:cstheme="minorHAnsi"/>
          <w:bCs/>
          <w:lang w:val="el-GR"/>
        </w:rPr>
        <w:t xml:space="preserve">», </w:t>
      </w:r>
      <w:r w:rsidRPr="00280F44">
        <w:rPr>
          <w:rFonts w:asciiTheme="minorHAnsi" w:hAnsiTheme="minorHAnsi" w:cstheme="minorHAnsi"/>
          <w:lang w:val="el-GR"/>
        </w:rPr>
        <w:t>ενώ ο οίκος «</w:t>
      </w:r>
      <w:r w:rsidRPr="00280F44">
        <w:rPr>
          <w:rFonts w:asciiTheme="minorHAnsi" w:hAnsiTheme="minorHAnsi" w:cstheme="minorHAnsi"/>
        </w:rPr>
        <w:t>Moody</w:t>
      </w:r>
      <w:r w:rsidRPr="00280F44">
        <w:rPr>
          <w:rFonts w:asciiTheme="minorHAnsi" w:hAnsiTheme="minorHAnsi" w:cstheme="minorHAnsi"/>
          <w:lang w:val="el-GR"/>
        </w:rPr>
        <w:t>’</w:t>
      </w:r>
      <w:r w:rsidRPr="00280F44">
        <w:rPr>
          <w:rFonts w:asciiTheme="minorHAnsi" w:hAnsiTheme="minorHAnsi" w:cstheme="minorHAnsi"/>
        </w:rPr>
        <w:t>s</w:t>
      </w:r>
      <w:r w:rsidRPr="00280F44">
        <w:rPr>
          <w:rFonts w:asciiTheme="minorHAnsi" w:hAnsiTheme="minorHAnsi" w:cstheme="minorHAnsi"/>
          <w:lang w:val="el-GR"/>
        </w:rPr>
        <w:t>» διατήρησε την από 2016 αξιολόγησή του για την Ουγγαρία, στην κατηγορία επενδύσεων "</w:t>
      </w:r>
      <w:r w:rsidRPr="00280F44">
        <w:rPr>
          <w:rFonts w:asciiTheme="minorHAnsi" w:hAnsiTheme="minorHAnsi" w:cstheme="minorHAnsi"/>
        </w:rPr>
        <w:t>Baa</w:t>
      </w:r>
      <w:r w:rsidRPr="00280F44">
        <w:rPr>
          <w:rFonts w:asciiTheme="minorHAnsi" w:hAnsiTheme="minorHAnsi" w:cstheme="minorHAnsi"/>
          <w:lang w:val="el-GR"/>
        </w:rPr>
        <w:t xml:space="preserve">3". Τα ίδια επίπεδα αξιολογήσεων της ουγγρική οικονομίας από τους τρεις διεθνείς οίκους, διατηρήθηκαν και το 2020, παρά τις επιπτώσεις από την πανδημία </w:t>
      </w:r>
      <w:r w:rsidRPr="00280F44">
        <w:rPr>
          <w:rFonts w:asciiTheme="minorHAnsi" w:hAnsiTheme="minorHAnsi" w:cstheme="minorHAnsi"/>
        </w:rPr>
        <w:t>COVID</w:t>
      </w:r>
      <w:r w:rsidRPr="00280F44">
        <w:rPr>
          <w:rFonts w:asciiTheme="minorHAnsi" w:hAnsiTheme="minorHAnsi" w:cstheme="minorHAnsi"/>
          <w:lang w:val="el-GR"/>
        </w:rPr>
        <w:t>-19.</w:t>
      </w:r>
    </w:p>
    <w:p w:rsidR="007102FC" w:rsidRDefault="007102FC" w:rsidP="007102FC">
      <w:pPr>
        <w:jc w:val="both"/>
        <w:rPr>
          <w:rFonts w:asciiTheme="minorHAnsi" w:hAnsiTheme="minorHAnsi" w:cstheme="minorHAnsi"/>
          <w:lang w:val="el-GR"/>
        </w:rPr>
      </w:pPr>
    </w:p>
    <w:p w:rsidR="007102FC" w:rsidRDefault="007E4F96" w:rsidP="007102FC">
      <w:pPr>
        <w:jc w:val="both"/>
        <w:rPr>
          <w:rFonts w:asciiTheme="minorHAnsi" w:hAnsiTheme="minorHAnsi" w:cstheme="minorHAnsi"/>
          <w:lang w:val="el-GR"/>
        </w:rPr>
      </w:pPr>
      <w:r>
        <w:rPr>
          <w:rFonts w:asciiTheme="minorHAnsi" w:hAnsiTheme="minorHAnsi" w:cstheme="minorHAnsi"/>
          <w:lang w:val="el-GR"/>
        </w:rPr>
        <w:t xml:space="preserve">Χάρις στο σχετικά </w:t>
      </w:r>
      <w:r w:rsidR="007102FC">
        <w:rPr>
          <w:rFonts w:asciiTheme="minorHAnsi" w:hAnsiTheme="minorHAnsi" w:cstheme="minorHAnsi"/>
          <w:lang w:val="el-GR"/>
        </w:rPr>
        <w:t xml:space="preserve">φιλικό επιχειρηματικό περιβάλλον και το αντίστοιχο θεσμικό πλαίσιο που προστατεύει τις μεγάλες συνήθως πολυεθνικές εταιρείες, οι Άμεσες Ξένες Επενδύσεις ειδικά στον τομέα της αυτοκινητοβιομηχανίας και μάλιστα στην κατασκευή μπαταριών για ηλεκτρικά αυτοκίνητα, αναδεικνύουν το πετυχημένο και βιώσιμο μοντέλο οικονομικής ανάπτυξης, που βασίζεται στην  εξωστρέφεια ήτοι στις εξαγωγές αγαθών και υπηρεσιών υψηλής προστιθέμενης αξίας και στην προσέλκυση παραγωγικών επενδύσεων (νέες θέσεις εργασίας). </w:t>
      </w:r>
    </w:p>
    <w:p w:rsidR="007102FC" w:rsidRDefault="007102FC" w:rsidP="007102FC">
      <w:pPr>
        <w:jc w:val="both"/>
        <w:rPr>
          <w:rFonts w:asciiTheme="minorHAnsi" w:hAnsiTheme="minorHAnsi" w:cstheme="minorHAnsi"/>
          <w:lang w:val="el-GR"/>
        </w:rPr>
      </w:pPr>
    </w:p>
    <w:p w:rsidR="007102FC" w:rsidRDefault="007102FC" w:rsidP="007102FC">
      <w:pPr>
        <w:jc w:val="both"/>
        <w:rPr>
          <w:rFonts w:asciiTheme="minorHAnsi" w:hAnsiTheme="minorHAnsi" w:cstheme="minorHAnsi"/>
          <w:lang w:val="el-GR"/>
        </w:rPr>
      </w:pPr>
      <w:r>
        <w:rPr>
          <w:rFonts w:asciiTheme="minorHAnsi" w:hAnsiTheme="minorHAnsi" w:cstheme="minorHAnsi"/>
          <w:lang w:val="el-GR"/>
        </w:rPr>
        <w:t xml:space="preserve">Η αβεβαιότητα για την εξέλιξη των συγκρούσεων στην Ουκρανία, δεδομένου του πρωταγωνιστικού ρόλου της  Ρωσίας ως προμηθευτού φ/α και πετρελαίου των χωρών της ΕΕ, αλλά και της Ουκρανίας ως προμηθευτού σιτηρών σε παγκόσμιο επίπεδο, είχε σαν άμεσο επακόλουθο την ραγδαία άνοδο της τιμής των καυσίμων, γεγονός που επηρέασε και τις τιμές των βασικών κατηγοριών τροφίμων. Αν και η άνοδος του πληθωρισμού ήταν αναμενόμενη, η ενεργειακή κρίση μετά τον πόλεμο στην Ουκρανία έφερε στην </w:t>
      </w:r>
      <w:r w:rsidRPr="00A6714D">
        <w:rPr>
          <w:rFonts w:asciiTheme="minorHAnsi" w:hAnsiTheme="minorHAnsi" w:cstheme="minorHAnsi"/>
          <w:lang w:val="el-GR"/>
        </w:rPr>
        <w:t xml:space="preserve"> επιφάνεια </w:t>
      </w:r>
      <w:r>
        <w:rPr>
          <w:rFonts w:asciiTheme="minorHAnsi" w:hAnsiTheme="minorHAnsi" w:cstheme="minorHAnsi"/>
          <w:lang w:val="el-GR"/>
        </w:rPr>
        <w:t xml:space="preserve">τα τρωτά σημεία της  χώρας </w:t>
      </w:r>
      <w:r w:rsidRPr="00A6714D">
        <w:rPr>
          <w:rFonts w:asciiTheme="minorHAnsi" w:hAnsiTheme="minorHAnsi" w:cstheme="minorHAnsi"/>
          <w:lang w:val="el-GR"/>
        </w:rPr>
        <w:t xml:space="preserve"> </w:t>
      </w:r>
      <w:r>
        <w:rPr>
          <w:rFonts w:asciiTheme="minorHAnsi" w:hAnsiTheme="minorHAnsi" w:cstheme="minorHAnsi"/>
          <w:lang w:val="el-GR"/>
        </w:rPr>
        <w:t>λόγω και της αμφίσημης στάσης που έχει επιδείξει σε όλες τις αντιπαραθέσεις ΕΕ - Ρωσίας ενώ</w:t>
      </w:r>
      <w:r w:rsidRPr="00A6714D">
        <w:rPr>
          <w:rFonts w:asciiTheme="minorHAnsi" w:hAnsiTheme="minorHAnsi" w:cstheme="minorHAnsi"/>
          <w:lang w:val="el-GR"/>
        </w:rPr>
        <w:t xml:space="preserve"> η επιβράδυνση της </w:t>
      </w:r>
      <w:r>
        <w:rPr>
          <w:rFonts w:asciiTheme="minorHAnsi" w:hAnsiTheme="minorHAnsi" w:cstheme="minorHAnsi"/>
          <w:lang w:val="el-GR"/>
        </w:rPr>
        <w:t xml:space="preserve">κινεζικής οικονομίας ήταν  ένα ακόμα αγκάθι για την παγκόσμια οικονομική ανάπτυξη. </w:t>
      </w:r>
    </w:p>
    <w:p w:rsidR="007102FC" w:rsidRDefault="007102FC" w:rsidP="007102FC">
      <w:pPr>
        <w:jc w:val="both"/>
        <w:rPr>
          <w:rFonts w:asciiTheme="minorHAnsi" w:hAnsiTheme="minorHAnsi" w:cstheme="minorHAnsi"/>
          <w:lang w:val="el-GR"/>
        </w:rPr>
      </w:pPr>
    </w:p>
    <w:p w:rsidR="007102FC" w:rsidRPr="005157EA" w:rsidRDefault="007102FC" w:rsidP="007102FC">
      <w:pPr>
        <w:jc w:val="both"/>
        <w:rPr>
          <w:rFonts w:asciiTheme="minorHAnsi" w:hAnsiTheme="minorHAnsi" w:cstheme="minorHAnsi"/>
          <w:lang w:val="el-GR"/>
        </w:rPr>
      </w:pPr>
    </w:p>
    <w:p w:rsidR="007102FC" w:rsidRPr="005157EA" w:rsidRDefault="007102FC" w:rsidP="007102FC">
      <w:pPr>
        <w:rPr>
          <w:rFonts w:asciiTheme="minorHAnsi" w:hAnsiTheme="minorHAnsi" w:cstheme="minorHAnsi"/>
          <w:b/>
          <w:bCs/>
          <w:lang w:val="el-GR"/>
        </w:rPr>
      </w:pPr>
      <w:r w:rsidRPr="005157EA">
        <w:rPr>
          <w:rFonts w:asciiTheme="minorHAnsi" w:hAnsiTheme="minorHAnsi" w:cstheme="minorHAnsi"/>
          <w:b/>
          <w:bCs/>
          <w:lang w:val="el-GR"/>
        </w:rPr>
        <w:t>Μακροοικονομικά μεγέθη</w:t>
      </w:r>
    </w:p>
    <w:p w:rsidR="007102FC" w:rsidRPr="005157EA" w:rsidRDefault="007102FC" w:rsidP="007102FC">
      <w:pPr>
        <w:jc w:val="both"/>
        <w:rPr>
          <w:rFonts w:asciiTheme="minorHAnsi" w:hAnsiTheme="minorHAnsi" w:cstheme="minorHAnsi"/>
          <w:lang w:val="el-GR"/>
        </w:rPr>
      </w:pPr>
    </w:p>
    <w:p w:rsidR="007102FC" w:rsidRPr="00644F8F" w:rsidRDefault="007102FC" w:rsidP="007102FC">
      <w:pPr>
        <w:jc w:val="both"/>
        <w:rPr>
          <w:rFonts w:asciiTheme="minorHAnsi" w:hAnsiTheme="minorHAnsi" w:cstheme="minorHAnsi"/>
          <w:lang w:val="el-GR"/>
        </w:rPr>
      </w:pPr>
      <w:r w:rsidRPr="005157EA">
        <w:rPr>
          <w:rFonts w:asciiTheme="minorHAnsi" w:hAnsiTheme="minorHAnsi" w:cstheme="minorHAnsi"/>
          <w:lang w:val="el-GR"/>
        </w:rPr>
        <w:t xml:space="preserve">Τα τελευταία χρόνια, η ουγγρική οικονομία επιτυγχάνει πλεονάσματα αντί ελλειμμάτων και το χρέος ως ποσοστό του ΑΕΠ βαίνει μειούμενο, με τις διάφορες μακροοικονομικές ανισορροπίες να ομαλοποιούνται και τους αμυντικούς μηχανισμούς της οικονομίας να ενισχύονται. Με την κυβέρνηση να δίνει ταυτόχρονα έμφαση στη μείωση του δημοσίου χρέους, στη μείωση του κρατικού ελλείμματος, στην αύξηση των εξαγωγών και στην αύξηση των ξένων επενδύσεων, οι οικονομικοί δείκτες της Ουγγαρίας βελτιώθηκαν σημαντικά. </w:t>
      </w:r>
      <w:r w:rsidRPr="00644F8F">
        <w:rPr>
          <w:rFonts w:asciiTheme="minorHAnsi" w:hAnsiTheme="minorHAnsi" w:cstheme="minorHAnsi"/>
          <w:lang w:val="el-GR"/>
        </w:rPr>
        <w:t>Όμως, το 2020, η θετική πορεία της ουγγρικής οικονομίας ανακόπτεται από την πανδημία COVID-19.</w:t>
      </w:r>
    </w:p>
    <w:p w:rsidR="007102FC" w:rsidRPr="00644F8F" w:rsidRDefault="007102FC" w:rsidP="007102FC">
      <w:pPr>
        <w:jc w:val="both"/>
        <w:rPr>
          <w:rFonts w:asciiTheme="minorHAnsi" w:hAnsiTheme="minorHAnsi" w:cstheme="minorHAnsi"/>
          <w:lang w:val="el-GR"/>
        </w:rPr>
      </w:pPr>
    </w:p>
    <w:p w:rsidR="00433B1E" w:rsidRDefault="007102FC" w:rsidP="007102FC">
      <w:pPr>
        <w:jc w:val="both"/>
        <w:rPr>
          <w:rFonts w:asciiTheme="minorHAnsi" w:hAnsiTheme="minorHAnsi" w:cstheme="minorHAnsi"/>
          <w:lang w:val="el-GR"/>
        </w:rPr>
      </w:pPr>
      <w:r>
        <w:rPr>
          <w:rFonts w:asciiTheme="minorHAnsi" w:hAnsiTheme="minorHAnsi" w:cstheme="minorHAnsi"/>
          <w:lang w:val="el-GR"/>
        </w:rPr>
        <w:t>Τ</w:t>
      </w:r>
      <w:r w:rsidRPr="00644F8F">
        <w:rPr>
          <w:rFonts w:asciiTheme="minorHAnsi" w:hAnsiTheme="minorHAnsi" w:cstheme="minorHAnsi"/>
          <w:lang w:val="el-GR"/>
        </w:rPr>
        <w:t xml:space="preserve">ο χρέος της γενικής κυβέρνησης, </w:t>
      </w:r>
      <w:r>
        <w:rPr>
          <w:rFonts w:asciiTheme="minorHAnsi" w:hAnsiTheme="minorHAnsi" w:cstheme="minorHAnsi"/>
          <w:lang w:val="el-GR"/>
        </w:rPr>
        <w:t>αν και γενικά παρουσιάζει πτωτική πορεία τα τελ</w:t>
      </w:r>
      <w:r w:rsidR="00C316F3">
        <w:rPr>
          <w:rFonts w:asciiTheme="minorHAnsi" w:hAnsiTheme="minorHAnsi" w:cstheme="minorHAnsi"/>
          <w:lang w:val="el-GR"/>
        </w:rPr>
        <w:t>ευταία χρόνια, το 2022 ανήλθε στο</w:t>
      </w:r>
      <w:r>
        <w:rPr>
          <w:rFonts w:asciiTheme="minorHAnsi" w:hAnsiTheme="minorHAnsi" w:cstheme="minorHAnsi"/>
          <w:lang w:val="el-GR"/>
        </w:rPr>
        <w:t xml:space="preserve"> </w:t>
      </w:r>
      <w:r w:rsidRPr="00644F8F">
        <w:rPr>
          <w:rFonts w:asciiTheme="minorHAnsi" w:hAnsiTheme="minorHAnsi" w:cstheme="minorHAnsi"/>
          <w:lang w:val="el-GR"/>
        </w:rPr>
        <w:t>7</w:t>
      </w:r>
      <w:r>
        <w:rPr>
          <w:rFonts w:asciiTheme="minorHAnsi" w:hAnsiTheme="minorHAnsi" w:cstheme="minorHAnsi"/>
          <w:lang w:val="el-GR"/>
        </w:rPr>
        <w:t>3,3</w:t>
      </w:r>
      <w:r w:rsidRPr="00644F8F">
        <w:rPr>
          <w:rFonts w:asciiTheme="minorHAnsi" w:hAnsiTheme="minorHAnsi" w:cstheme="minorHAnsi"/>
          <w:lang w:val="el-GR"/>
        </w:rPr>
        <w:t>%</w:t>
      </w:r>
      <w:r>
        <w:rPr>
          <w:rFonts w:asciiTheme="minorHAnsi" w:hAnsiTheme="minorHAnsi" w:cstheme="minorHAnsi"/>
          <w:lang w:val="el-GR"/>
        </w:rPr>
        <w:t xml:space="preserve">  </w:t>
      </w:r>
      <w:r w:rsidRPr="00644F8F">
        <w:rPr>
          <w:rFonts w:asciiTheme="minorHAnsi" w:hAnsiTheme="minorHAnsi" w:cstheme="minorHAnsi"/>
          <w:lang w:val="el-GR"/>
        </w:rPr>
        <w:t xml:space="preserve">ως ποσοστό επί του ΑΕΠ </w:t>
      </w:r>
      <w:r>
        <w:rPr>
          <w:rFonts w:asciiTheme="minorHAnsi" w:hAnsiTheme="minorHAnsi" w:cstheme="minorHAnsi"/>
          <w:lang w:val="el-GR"/>
        </w:rPr>
        <w:t xml:space="preserve">σημειώνοντας μικρή αύξηση ενώ </w:t>
      </w:r>
      <w:r w:rsidRPr="00644F8F">
        <w:rPr>
          <w:rFonts w:asciiTheme="minorHAnsi" w:hAnsiTheme="minorHAnsi" w:cstheme="minorHAnsi"/>
          <w:lang w:val="el-GR"/>
        </w:rPr>
        <w:t xml:space="preserve">ο δείκτης συμμετοχής του εξωτερικού χρέους στο συνολικό χρέος της Ουγγαρίας (χρέος σε ξένο συνάλλαγμα) μειώνεται από 52% σε 23%. </w:t>
      </w:r>
    </w:p>
    <w:p w:rsidR="00433B1E" w:rsidRDefault="00433B1E" w:rsidP="007102FC">
      <w:pPr>
        <w:jc w:val="both"/>
        <w:rPr>
          <w:rFonts w:asciiTheme="minorHAnsi" w:hAnsiTheme="minorHAnsi" w:cstheme="minorHAnsi"/>
          <w:lang w:val="el-GR"/>
        </w:rPr>
      </w:pPr>
    </w:p>
    <w:p w:rsidR="007102FC" w:rsidRDefault="007102FC" w:rsidP="007102FC">
      <w:pPr>
        <w:jc w:val="both"/>
        <w:rPr>
          <w:rFonts w:asciiTheme="minorHAnsi" w:hAnsiTheme="minorHAnsi" w:cstheme="minorHAnsi"/>
          <w:lang w:val="el-GR"/>
        </w:rPr>
      </w:pPr>
      <w:r w:rsidRPr="00644F8F">
        <w:rPr>
          <w:rFonts w:asciiTheme="minorHAnsi" w:hAnsiTheme="minorHAnsi" w:cstheme="minorHAnsi"/>
          <w:lang w:val="el-GR"/>
        </w:rPr>
        <w:t>Ακολούθως, το ίδιο διάστημα, μειώθηκε και το ποσοστό</w:t>
      </w:r>
      <w:r>
        <w:rPr>
          <w:rFonts w:asciiTheme="minorHAnsi" w:hAnsiTheme="minorHAnsi" w:cstheme="minorHAnsi"/>
          <w:lang w:val="el-GR"/>
        </w:rPr>
        <w:t xml:space="preserve"> του εξωτερικού </w:t>
      </w:r>
      <w:r w:rsidRPr="005157EA">
        <w:rPr>
          <w:rFonts w:asciiTheme="minorHAnsi" w:hAnsiTheme="minorHAnsi" w:cstheme="minorHAnsi"/>
          <w:lang w:val="el-GR"/>
        </w:rPr>
        <w:t>χρέους της Ουγγαρίας σε άλλες χώρες από 65% σε 36%, με αποτέλεσμα τη μείωση της εξάρτησης της Ουγγαρίας από εξωτερικούς παράγοντες. Ιστορικά, από το 1995 έως και το 2018, το δημόσιο χρέος της Ουγγαρίας ως ποσοστό επί του ΑΕΠ κυμαίνεται κατά μέσο όρο στο 68,59% με την υψηλότερη τιμή του το 1995 (84%) και την χαμηλότερη το 2001 (51,90%).</w:t>
      </w:r>
    </w:p>
    <w:p w:rsidR="007102FC" w:rsidRPr="005157EA" w:rsidRDefault="007102FC" w:rsidP="007102FC">
      <w:pPr>
        <w:jc w:val="both"/>
        <w:rPr>
          <w:rFonts w:asciiTheme="minorHAnsi" w:hAnsiTheme="minorHAnsi" w:cstheme="minorHAnsi"/>
          <w:lang w:val="el-GR"/>
        </w:rPr>
      </w:pPr>
    </w:p>
    <w:p w:rsidR="007102FC" w:rsidRPr="005157EA" w:rsidRDefault="007102FC" w:rsidP="007102FC">
      <w:pPr>
        <w:jc w:val="both"/>
        <w:rPr>
          <w:rFonts w:asciiTheme="minorHAnsi" w:hAnsiTheme="minorHAnsi" w:cstheme="minorHAnsi"/>
          <w:lang w:val="el-GR"/>
        </w:rPr>
      </w:pPr>
      <w:r w:rsidRPr="005157EA">
        <w:rPr>
          <w:rFonts w:asciiTheme="minorHAnsi" w:hAnsiTheme="minorHAnsi" w:cstheme="minorHAnsi"/>
          <w:lang w:val="el-GR"/>
        </w:rPr>
        <w:t xml:space="preserve">Μέχρι και πριν την εμφάνιση του COVID-19, η κυβέρνηση, δια στόματος Υπουργού Οικονομικών, κ. </w:t>
      </w:r>
      <w:proofErr w:type="spellStart"/>
      <w:r w:rsidRPr="005157EA">
        <w:rPr>
          <w:rFonts w:asciiTheme="minorHAnsi" w:hAnsiTheme="minorHAnsi" w:cstheme="minorHAnsi"/>
          <w:lang w:val="el-GR"/>
        </w:rPr>
        <w:t>Mihály</w:t>
      </w:r>
      <w:proofErr w:type="spellEnd"/>
      <w:r w:rsidRPr="005157EA">
        <w:rPr>
          <w:rFonts w:asciiTheme="minorHAnsi" w:hAnsiTheme="minorHAnsi" w:cstheme="minorHAnsi"/>
          <w:lang w:val="el-GR"/>
        </w:rPr>
        <w:t xml:space="preserve"> </w:t>
      </w:r>
      <w:proofErr w:type="spellStart"/>
      <w:r w:rsidRPr="005157EA">
        <w:rPr>
          <w:rFonts w:asciiTheme="minorHAnsi" w:hAnsiTheme="minorHAnsi" w:cstheme="minorHAnsi"/>
          <w:lang w:val="el-GR"/>
        </w:rPr>
        <w:t>Varga</w:t>
      </w:r>
      <w:proofErr w:type="spellEnd"/>
      <w:r w:rsidRPr="005157EA">
        <w:rPr>
          <w:rFonts w:asciiTheme="minorHAnsi" w:hAnsiTheme="minorHAnsi" w:cstheme="minorHAnsi"/>
          <w:lang w:val="el-GR"/>
        </w:rPr>
        <w:t>, δήλωνε ότι μέχρι το 2022 η χώρα θα έχει μειώσει το χρέος της στο 60% του ΑΕΠ. Εξαιτίας όμως της πανδημίας, το 2020, το ποσοστό χρέους ως προς το ΑΕΠ, αυξήθηκε κατά 15,8 ποσοστιαίες μονάδες (η μεγαλύτερη ετήσια αύξηση που έχει σημειωθεί ποτέ), αγγίζοντας το 80,</w:t>
      </w:r>
      <w:r w:rsidRPr="005157EA">
        <w:rPr>
          <w:rFonts w:asciiTheme="minorHAnsi" w:hAnsiTheme="minorHAnsi" w:cstheme="minorHAnsi"/>
          <w:lang w:val="hu-HU"/>
        </w:rPr>
        <w:t>3</w:t>
      </w:r>
      <w:r w:rsidRPr="005157EA">
        <w:rPr>
          <w:rFonts w:asciiTheme="minorHAnsi" w:hAnsiTheme="minorHAnsi" w:cstheme="minorHAnsi"/>
          <w:lang w:val="el-GR"/>
        </w:rPr>
        <w:t>%.</w:t>
      </w:r>
    </w:p>
    <w:p w:rsidR="007102FC" w:rsidRPr="005157EA" w:rsidRDefault="007102FC" w:rsidP="007102FC">
      <w:pPr>
        <w:jc w:val="both"/>
        <w:rPr>
          <w:rFonts w:asciiTheme="minorHAnsi" w:hAnsiTheme="minorHAnsi" w:cstheme="minorHAnsi"/>
          <w:color w:val="000000" w:themeColor="text1"/>
          <w:lang w:val="el-GR"/>
        </w:rPr>
      </w:pPr>
    </w:p>
    <w:p w:rsidR="007102FC" w:rsidRPr="00433B1E" w:rsidRDefault="007102FC" w:rsidP="007102FC">
      <w:pPr>
        <w:jc w:val="both"/>
        <w:rPr>
          <w:rFonts w:asciiTheme="minorHAnsi" w:hAnsiTheme="minorHAnsi" w:cstheme="minorHAnsi"/>
          <w:lang w:val="el-GR"/>
        </w:rPr>
      </w:pPr>
      <w:r w:rsidRPr="00FB6145">
        <w:rPr>
          <w:rFonts w:asciiTheme="minorHAnsi" w:hAnsiTheme="minorHAnsi" w:cstheme="minorHAnsi"/>
          <w:lang w:val="el-GR"/>
        </w:rPr>
        <w:t>Σύμφωνα με στοιχεία της Στατιστικής Υπηρεσίας της Ουγγαρίας, το δημόσιο χρέος της χώρας για το 2022 υπολογίζεται,</w:t>
      </w:r>
      <w:r>
        <w:rPr>
          <w:rFonts w:asciiTheme="minorHAnsi" w:hAnsiTheme="minorHAnsi" w:cstheme="minorHAnsi"/>
          <w:lang w:val="el-GR"/>
        </w:rPr>
        <w:t xml:space="preserve"> στα 76,</w:t>
      </w:r>
      <w:r w:rsidRPr="002F5860">
        <w:rPr>
          <w:rFonts w:asciiTheme="minorHAnsi" w:hAnsiTheme="minorHAnsi" w:cstheme="minorHAnsi"/>
          <w:lang w:val="el-GR"/>
        </w:rPr>
        <w:t>4</w:t>
      </w:r>
      <w:r w:rsidRPr="00FB6145">
        <w:rPr>
          <w:rFonts w:asciiTheme="minorHAnsi" w:hAnsiTheme="minorHAnsi" w:cstheme="minorHAnsi"/>
          <w:lang w:val="el-GR"/>
        </w:rPr>
        <w:t xml:space="preserve">% του ΑΕΠ, από </w:t>
      </w:r>
      <w:r w:rsidR="00433B1E" w:rsidRPr="00433B1E">
        <w:rPr>
          <w:rFonts w:asciiTheme="minorHAnsi" w:hAnsiTheme="minorHAnsi" w:cstheme="minorHAnsi"/>
          <w:lang w:val="el-GR"/>
        </w:rPr>
        <w:t xml:space="preserve">76,8 </w:t>
      </w:r>
      <w:r w:rsidR="00433B1E">
        <w:rPr>
          <w:rFonts w:asciiTheme="minorHAnsi" w:hAnsiTheme="minorHAnsi" w:cstheme="minorHAnsi"/>
          <w:lang w:val="el-GR"/>
        </w:rPr>
        <w:t xml:space="preserve">του 2021 και 80,3% του </w:t>
      </w:r>
      <w:r w:rsidRPr="00FB6145">
        <w:rPr>
          <w:rFonts w:asciiTheme="minorHAnsi" w:hAnsiTheme="minorHAnsi" w:cstheme="minorHAnsi"/>
          <w:lang w:val="el-GR"/>
        </w:rPr>
        <w:t xml:space="preserve">2020, ποσοστό που σε απόλυτες τιμές προσεγγίζει τα 38,322 </w:t>
      </w:r>
      <w:proofErr w:type="spellStart"/>
      <w:r w:rsidRPr="00FB6145">
        <w:rPr>
          <w:rFonts w:asciiTheme="minorHAnsi" w:hAnsiTheme="minorHAnsi" w:cstheme="minorHAnsi"/>
          <w:lang w:val="el-GR"/>
        </w:rPr>
        <w:t>τρισεκ</w:t>
      </w:r>
      <w:proofErr w:type="spellEnd"/>
      <w:r w:rsidRPr="00FB6145">
        <w:rPr>
          <w:rFonts w:asciiTheme="minorHAnsi" w:hAnsiTheme="minorHAnsi" w:cstheme="minorHAnsi"/>
          <w:lang w:val="el-GR"/>
        </w:rPr>
        <w:t xml:space="preserve">. HUF (66,3% το 2019,  70,2% το 2018 και 72,9% το 2017). </w:t>
      </w:r>
    </w:p>
    <w:p w:rsidR="00433B1E" w:rsidRPr="00433B1E" w:rsidRDefault="00433B1E" w:rsidP="007102FC">
      <w:pPr>
        <w:jc w:val="both"/>
        <w:rPr>
          <w:rFonts w:asciiTheme="minorHAnsi" w:hAnsiTheme="minorHAnsi" w:cstheme="minorHAnsi"/>
          <w:lang w:val="el-GR"/>
        </w:rPr>
      </w:pPr>
    </w:p>
    <w:p w:rsidR="007102FC" w:rsidRPr="00433B1E" w:rsidRDefault="00433B1E" w:rsidP="00433B1E">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l-GR"/>
        </w:rPr>
      </w:pPr>
      <w:r w:rsidRPr="00433B1E">
        <w:rPr>
          <w:rFonts w:asciiTheme="minorHAnsi" w:hAnsiTheme="minorHAnsi" w:cstheme="minorHAnsi"/>
          <w:noProof/>
        </w:rPr>
        <w:drawing>
          <wp:inline distT="0" distB="0" distL="0" distR="0">
            <wp:extent cx="6055743" cy="2432649"/>
            <wp:effectExtent l="0" t="0" r="2157"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02FC" w:rsidRDefault="007102FC" w:rsidP="007102FC">
      <w:pPr>
        <w:ind w:firstLine="720"/>
        <w:jc w:val="both"/>
        <w:rPr>
          <w:sz w:val="18"/>
          <w:szCs w:val="18"/>
          <w:lang w:val="el-GR"/>
        </w:rPr>
      </w:pPr>
      <w:r w:rsidRPr="00D11C57">
        <w:rPr>
          <w:sz w:val="18"/>
          <w:szCs w:val="18"/>
          <w:lang w:val="el-GR"/>
        </w:rPr>
        <w:t>Πηγή</w:t>
      </w:r>
      <w:r w:rsidRPr="00AA37CF">
        <w:rPr>
          <w:sz w:val="18"/>
          <w:szCs w:val="18"/>
          <w:lang w:val="el-GR"/>
        </w:rPr>
        <w:t>:</w:t>
      </w:r>
      <w:r>
        <w:rPr>
          <w:sz w:val="18"/>
          <w:szCs w:val="18"/>
          <w:lang w:val="el-GR"/>
        </w:rPr>
        <w:tab/>
        <w:t>α) Κεντρική Τράπεζα Ουγγαρίας (ΜΝΒ)</w:t>
      </w:r>
    </w:p>
    <w:p w:rsidR="007102FC" w:rsidRDefault="007102FC" w:rsidP="007102FC">
      <w:pPr>
        <w:jc w:val="both"/>
        <w:rPr>
          <w:sz w:val="18"/>
          <w:szCs w:val="18"/>
          <w:lang w:val="el-GR"/>
        </w:rPr>
      </w:pPr>
      <w:r>
        <w:rPr>
          <w:sz w:val="18"/>
          <w:szCs w:val="18"/>
          <w:lang w:val="el-GR"/>
        </w:rPr>
        <w:tab/>
      </w:r>
      <w:r>
        <w:rPr>
          <w:sz w:val="18"/>
          <w:szCs w:val="18"/>
          <w:lang w:val="el-GR"/>
        </w:rPr>
        <w:tab/>
        <w:t xml:space="preserve">β)  </w:t>
      </w:r>
      <w:r w:rsidRPr="00E41C45">
        <w:rPr>
          <w:sz w:val="18"/>
          <w:szCs w:val="18"/>
          <w:lang w:val="el-GR"/>
        </w:rPr>
        <w:t>Στατιστική Υπηρεσία Ουγγαρίας (</w:t>
      </w:r>
      <w:r w:rsidRPr="00E41C45">
        <w:rPr>
          <w:sz w:val="18"/>
          <w:szCs w:val="18"/>
        </w:rPr>
        <w:t>KSH</w:t>
      </w:r>
      <w:r>
        <w:rPr>
          <w:sz w:val="18"/>
          <w:szCs w:val="18"/>
          <w:lang w:val="el-GR"/>
        </w:rPr>
        <w:t>)</w:t>
      </w:r>
    </w:p>
    <w:p w:rsidR="007102FC" w:rsidRDefault="007102FC" w:rsidP="007102FC">
      <w:pPr>
        <w:jc w:val="both"/>
        <w:rPr>
          <w:rFonts w:asciiTheme="minorHAnsi" w:hAnsiTheme="minorHAnsi" w:cstheme="minorHAnsi"/>
          <w:lang w:val="el-GR"/>
        </w:rPr>
      </w:pPr>
    </w:p>
    <w:p w:rsidR="007102FC" w:rsidRPr="00FB6145" w:rsidRDefault="007102FC" w:rsidP="007102FC">
      <w:pPr>
        <w:jc w:val="both"/>
        <w:rPr>
          <w:rFonts w:asciiTheme="minorHAnsi" w:hAnsiTheme="minorHAnsi" w:cstheme="minorHAnsi"/>
          <w:lang w:val="el-GR"/>
        </w:rPr>
      </w:pPr>
      <w:r w:rsidRPr="00FB6145">
        <w:rPr>
          <w:rFonts w:asciiTheme="minorHAnsi" w:hAnsiTheme="minorHAnsi" w:cstheme="minorHAnsi"/>
          <w:lang w:val="el-GR"/>
        </w:rPr>
        <w:t xml:space="preserve">Λόγω της πανδημίας, όλες οι οικονομικές αναλύσεις </w:t>
      </w:r>
      <w:r>
        <w:rPr>
          <w:rFonts w:asciiTheme="minorHAnsi" w:hAnsiTheme="minorHAnsi" w:cstheme="minorHAnsi"/>
          <w:lang w:val="el-GR"/>
        </w:rPr>
        <w:t>προέβλεπαν</w:t>
      </w:r>
      <w:r w:rsidRPr="00FB6145">
        <w:rPr>
          <w:rFonts w:asciiTheme="minorHAnsi" w:hAnsiTheme="minorHAnsi" w:cstheme="minorHAnsi"/>
          <w:lang w:val="el-GR"/>
        </w:rPr>
        <w:t xml:space="preserve"> αύξηση του χρέους για το 2020</w:t>
      </w:r>
      <w:r w:rsidRPr="00FB6145">
        <w:rPr>
          <w:rFonts w:asciiTheme="minorHAnsi" w:hAnsiTheme="minorHAnsi" w:cstheme="minorHAnsi"/>
          <w:lang w:val="hu-HU"/>
        </w:rPr>
        <w:t xml:space="preserve"> </w:t>
      </w:r>
      <w:r w:rsidRPr="00FB6145">
        <w:rPr>
          <w:rFonts w:asciiTheme="minorHAnsi" w:hAnsiTheme="minorHAnsi" w:cstheme="minorHAnsi"/>
          <w:lang w:val="el-GR"/>
        </w:rPr>
        <w:t xml:space="preserve">με προοπτική </w:t>
      </w:r>
      <w:r>
        <w:rPr>
          <w:rFonts w:asciiTheme="minorHAnsi" w:hAnsiTheme="minorHAnsi" w:cstheme="minorHAnsi"/>
          <w:lang w:val="el-GR"/>
        </w:rPr>
        <w:t>περιορισμού του</w:t>
      </w:r>
      <w:r w:rsidRPr="00FB6145">
        <w:rPr>
          <w:rFonts w:asciiTheme="minorHAnsi" w:hAnsiTheme="minorHAnsi" w:cstheme="minorHAnsi"/>
          <w:lang w:val="el-GR"/>
        </w:rPr>
        <w:t xml:space="preserve"> το 2021. Ιδιαίτερα από το 2020 και μετά, σύμφωνα με την Υπηρεσία Διαχείρισης Κρατικού Χρέους (ΑΚΚ), το χρέος της χώρας στα τέλη Ιουνίου, εκτοξεύθηκε στα 31,853 </w:t>
      </w:r>
      <w:proofErr w:type="spellStart"/>
      <w:r w:rsidRPr="00FB6145">
        <w:rPr>
          <w:rFonts w:asciiTheme="minorHAnsi" w:hAnsiTheme="minorHAnsi" w:cstheme="minorHAnsi"/>
          <w:lang w:val="el-GR"/>
        </w:rPr>
        <w:t>τρισεκ</w:t>
      </w:r>
      <w:proofErr w:type="spellEnd"/>
      <w:r w:rsidRPr="00FB6145">
        <w:rPr>
          <w:rFonts w:asciiTheme="minorHAnsi" w:hAnsiTheme="minorHAnsi" w:cstheme="minorHAnsi"/>
          <w:lang w:val="el-GR"/>
        </w:rPr>
        <w:t xml:space="preserve">. HUF (€87,26 </w:t>
      </w:r>
      <w:proofErr w:type="spellStart"/>
      <w:r w:rsidRPr="00FB6145">
        <w:rPr>
          <w:rFonts w:asciiTheme="minorHAnsi" w:hAnsiTheme="minorHAnsi" w:cstheme="minorHAnsi"/>
          <w:lang w:val="el-GR"/>
        </w:rPr>
        <w:t>δισεκ</w:t>
      </w:r>
      <w:proofErr w:type="spellEnd"/>
      <w:r w:rsidRPr="00FB6145">
        <w:rPr>
          <w:rFonts w:asciiTheme="minorHAnsi" w:hAnsiTheme="minorHAnsi" w:cstheme="minorHAnsi"/>
          <w:lang w:val="el-GR"/>
        </w:rPr>
        <w:t xml:space="preserve">.), σημειώνοντας αύξηση 2,171 </w:t>
      </w:r>
      <w:proofErr w:type="spellStart"/>
      <w:r w:rsidRPr="00FB6145">
        <w:rPr>
          <w:rFonts w:asciiTheme="minorHAnsi" w:hAnsiTheme="minorHAnsi" w:cstheme="minorHAnsi"/>
          <w:lang w:val="el-GR"/>
        </w:rPr>
        <w:t>τρισεκ</w:t>
      </w:r>
      <w:proofErr w:type="spellEnd"/>
      <w:r w:rsidRPr="00FB6145">
        <w:rPr>
          <w:rFonts w:asciiTheme="minorHAnsi" w:hAnsiTheme="minorHAnsi" w:cstheme="minorHAnsi"/>
          <w:lang w:val="el-GR"/>
        </w:rPr>
        <w:t xml:space="preserve">. HUF (€5,95 </w:t>
      </w:r>
      <w:proofErr w:type="spellStart"/>
      <w:r w:rsidRPr="00FB6145">
        <w:rPr>
          <w:rFonts w:asciiTheme="minorHAnsi" w:hAnsiTheme="minorHAnsi" w:cstheme="minorHAnsi"/>
          <w:lang w:val="el-GR"/>
        </w:rPr>
        <w:t>δισεκ</w:t>
      </w:r>
      <w:proofErr w:type="spellEnd"/>
      <w:r w:rsidRPr="00FB6145">
        <w:rPr>
          <w:rFonts w:asciiTheme="minorHAnsi" w:hAnsiTheme="minorHAnsi" w:cstheme="minorHAnsi"/>
          <w:lang w:val="el-GR"/>
        </w:rPr>
        <w:t xml:space="preserve">.) σε σχέση με το χρέος του Ιουνίου 2019. </w:t>
      </w:r>
    </w:p>
    <w:p w:rsidR="007102FC" w:rsidRDefault="007102FC">
      <w:pPr>
        <w:widowControl w:val="0"/>
        <w:autoSpaceDE w:val="0"/>
        <w:autoSpaceDN w:val="0"/>
        <w:adjustRightInd w:val="0"/>
        <w:spacing w:line="200" w:lineRule="exact"/>
        <w:rPr>
          <w:rFonts w:ascii="Arial" w:hAnsi="Arial" w:cs="Arial"/>
          <w:lang w:val="el-GR"/>
        </w:rPr>
      </w:pPr>
    </w:p>
    <w:p w:rsidR="007102FC" w:rsidRDefault="007102FC">
      <w:pPr>
        <w:widowControl w:val="0"/>
        <w:autoSpaceDE w:val="0"/>
        <w:autoSpaceDN w:val="0"/>
        <w:adjustRightInd w:val="0"/>
        <w:spacing w:line="200" w:lineRule="exact"/>
        <w:rPr>
          <w:rFonts w:ascii="Arial" w:hAnsi="Arial" w:cs="Arial"/>
          <w:lang w:val="el-GR"/>
        </w:rPr>
      </w:pPr>
    </w:p>
    <w:p w:rsidR="005A7AF8" w:rsidRDefault="009D6653" w:rsidP="001A704D">
      <w:pPr>
        <w:jc w:val="both"/>
        <w:rPr>
          <w:rFonts w:asciiTheme="minorHAnsi" w:hAnsiTheme="minorHAnsi" w:cstheme="minorHAnsi"/>
          <w:lang w:val="el-GR"/>
        </w:rPr>
      </w:pPr>
      <w:r w:rsidRPr="007E4F96">
        <w:rPr>
          <w:rFonts w:asciiTheme="minorHAnsi" w:hAnsiTheme="minorHAnsi" w:cstheme="minorHAnsi"/>
          <w:lang w:val="el-GR"/>
        </w:rPr>
        <w:t>Τα τελευταία έτη, τ</w:t>
      </w:r>
      <w:r w:rsidR="001A704D" w:rsidRPr="007E4F96">
        <w:rPr>
          <w:rFonts w:asciiTheme="minorHAnsi" w:hAnsiTheme="minorHAnsi" w:cstheme="minorHAnsi"/>
          <w:lang w:val="el-GR"/>
        </w:rPr>
        <w:t xml:space="preserve">ο </w:t>
      </w:r>
      <w:r w:rsidR="001A704D" w:rsidRPr="007E4F96">
        <w:rPr>
          <w:rFonts w:asciiTheme="minorHAnsi" w:hAnsiTheme="minorHAnsi" w:cstheme="minorHAnsi"/>
          <w:b/>
          <w:lang w:val="el-GR"/>
        </w:rPr>
        <w:t>έλλειμμα</w:t>
      </w:r>
      <w:r w:rsidR="001A704D" w:rsidRPr="007E4F96">
        <w:rPr>
          <w:rFonts w:asciiTheme="minorHAnsi" w:hAnsiTheme="minorHAnsi" w:cstheme="minorHAnsi"/>
          <w:lang w:val="el-GR"/>
        </w:rPr>
        <w:t xml:space="preserve"> </w:t>
      </w:r>
      <w:r w:rsidRPr="007E4F96">
        <w:rPr>
          <w:rFonts w:asciiTheme="minorHAnsi" w:hAnsiTheme="minorHAnsi" w:cstheme="minorHAnsi"/>
          <w:lang w:val="el-GR"/>
        </w:rPr>
        <w:t xml:space="preserve">ήταν </w:t>
      </w:r>
      <w:r w:rsidR="001A704D" w:rsidRPr="007E4F96">
        <w:rPr>
          <w:rFonts w:asciiTheme="minorHAnsi" w:hAnsiTheme="minorHAnsi" w:cstheme="minorHAnsi"/>
          <w:lang w:val="el-GR"/>
        </w:rPr>
        <w:t xml:space="preserve">υπό έλεγχο </w:t>
      </w:r>
      <w:r w:rsidRPr="007E4F96">
        <w:rPr>
          <w:rFonts w:asciiTheme="minorHAnsi" w:hAnsiTheme="minorHAnsi" w:cstheme="minorHAnsi"/>
          <w:lang w:val="el-GR"/>
        </w:rPr>
        <w:t>και ο κ</w:t>
      </w:r>
      <w:r w:rsidR="001A704D" w:rsidRPr="007E4F96">
        <w:rPr>
          <w:rFonts w:asciiTheme="minorHAnsi" w:hAnsiTheme="minorHAnsi" w:cstheme="minorHAnsi"/>
          <w:lang w:val="el-GR"/>
        </w:rPr>
        <w:t>ρατικό</w:t>
      </w:r>
      <w:r w:rsidRPr="007E4F96">
        <w:rPr>
          <w:rFonts w:asciiTheme="minorHAnsi" w:hAnsiTheme="minorHAnsi" w:cstheme="minorHAnsi"/>
          <w:lang w:val="el-GR"/>
        </w:rPr>
        <w:t>ς</w:t>
      </w:r>
      <w:r w:rsidR="001A704D" w:rsidRPr="007E4F96">
        <w:rPr>
          <w:rFonts w:asciiTheme="minorHAnsi" w:hAnsiTheme="minorHAnsi" w:cstheme="minorHAnsi"/>
          <w:lang w:val="el-GR"/>
        </w:rPr>
        <w:t xml:space="preserve"> προϋπολογισμό</w:t>
      </w:r>
      <w:r w:rsidRPr="007E4F96">
        <w:rPr>
          <w:rFonts w:asciiTheme="minorHAnsi" w:hAnsiTheme="minorHAnsi" w:cstheme="minorHAnsi"/>
          <w:lang w:val="el-GR"/>
        </w:rPr>
        <w:t>ς</w:t>
      </w:r>
      <w:r w:rsidR="001A704D" w:rsidRPr="007E4F96">
        <w:rPr>
          <w:rFonts w:asciiTheme="minorHAnsi" w:hAnsiTheme="minorHAnsi" w:cstheme="minorHAnsi"/>
          <w:lang w:val="el-GR"/>
        </w:rPr>
        <w:t xml:space="preserve"> σχετικά ισορροπημένο</w:t>
      </w:r>
      <w:r w:rsidRPr="007E4F96">
        <w:rPr>
          <w:rFonts w:asciiTheme="minorHAnsi" w:hAnsiTheme="minorHAnsi" w:cstheme="minorHAnsi"/>
          <w:lang w:val="el-GR"/>
        </w:rPr>
        <w:t>ς</w:t>
      </w:r>
      <w:r w:rsidR="001A704D" w:rsidRPr="007E4F96">
        <w:rPr>
          <w:rFonts w:asciiTheme="minorHAnsi" w:hAnsiTheme="minorHAnsi" w:cstheme="minorHAnsi"/>
          <w:lang w:val="el-GR"/>
        </w:rPr>
        <w:t>. Τον Ιούλιο 2016 ο προϋπολογισμός της κυβέρνησης σημείωσε ένα από τα χαμηλότ</w:t>
      </w:r>
      <w:r w:rsidRPr="007E4F96">
        <w:rPr>
          <w:rFonts w:asciiTheme="minorHAnsi" w:hAnsiTheme="minorHAnsi" w:cstheme="minorHAnsi"/>
          <w:lang w:val="el-GR"/>
        </w:rPr>
        <w:t xml:space="preserve">ερα ελλείμματα όλων των εποχών. Η πτωτική τάση του ελλείμματος  συνεχίστηκε και τα επόμενα χρόνια, </w:t>
      </w:r>
      <w:r w:rsidR="00C068B4" w:rsidRPr="007E4F96">
        <w:rPr>
          <w:rFonts w:asciiTheme="minorHAnsi" w:hAnsiTheme="minorHAnsi" w:cstheme="minorHAnsi"/>
          <w:lang w:val="el-GR"/>
        </w:rPr>
        <w:t>και</w:t>
      </w:r>
      <w:r w:rsidRPr="007E4F96">
        <w:rPr>
          <w:rFonts w:asciiTheme="minorHAnsi" w:hAnsiTheme="minorHAnsi" w:cstheme="minorHAnsi"/>
          <w:lang w:val="el-GR"/>
        </w:rPr>
        <w:t xml:space="preserve"> </w:t>
      </w:r>
      <w:r w:rsidR="00C068B4" w:rsidRPr="007E4F96">
        <w:rPr>
          <w:rFonts w:asciiTheme="minorHAnsi" w:hAnsiTheme="minorHAnsi" w:cstheme="minorHAnsi"/>
          <w:lang w:val="el-GR"/>
        </w:rPr>
        <w:t>τ</w:t>
      </w:r>
      <w:r w:rsidR="006E0081" w:rsidRPr="007E4F96">
        <w:rPr>
          <w:rFonts w:asciiTheme="minorHAnsi" w:hAnsiTheme="minorHAnsi" w:cstheme="minorHAnsi"/>
          <w:lang w:val="el-GR"/>
        </w:rPr>
        <w:t>ο 201</w:t>
      </w:r>
      <w:r w:rsidR="00573BA5" w:rsidRPr="007E4F96">
        <w:rPr>
          <w:rFonts w:asciiTheme="minorHAnsi" w:hAnsiTheme="minorHAnsi" w:cstheme="minorHAnsi"/>
          <w:lang w:val="el-GR"/>
        </w:rPr>
        <w:t>9</w:t>
      </w:r>
      <w:r w:rsidR="005A7AF8" w:rsidRPr="007E4F96">
        <w:rPr>
          <w:rFonts w:asciiTheme="minorHAnsi" w:hAnsiTheme="minorHAnsi" w:cstheme="minorHAnsi"/>
          <w:lang w:val="el-GR"/>
        </w:rPr>
        <w:t xml:space="preserve"> το έλλειμμα </w:t>
      </w:r>
      <w:r w:rsidR="006E0081" w:rsidRPr="007E4F96">
        <w:rPr>
          <w:rFonts w:asciiTheme="minorHAnsi" w:hAnsiTheme="minorHAnsi" w:cstheme="minorHAnsi"/>
          <w:lang w:val="el-GR"/>
        </w:rPr>
        <w:t>διαμορφώθηκε σε</w:t>
      </w:r>
      <w:r w:rsidR="00F84588" w:rsidRPr="007E4F96">
        <w:rPr>
          <w:rFonts w:asciiTheme="minorHAnsi" w:hAnsiTheme="minorHAnsi" w:cstheme="minorHAnsi"/>
          <w:color w:val="212529"/>
          <w:shd w:val="clear" w:color="auto" w:fill="FFFFFF"/>
          <w:lang w:val="el-GR"/>
        </w:rPr>
        <w:t xml:space="preserve"> </w:t>
      </w:r>
      <w:r w:rsidR="00F84588" w:rsidRPr="007E4F96">
        <w:rPr>
          <w:rFonts w:asciiTheme="minorHAnsi" w:hAnsiTheme="minorHAnsi" w:cstheme="minorHAnsi"/>
          <w:lang w:val="el-GR"/>
        </w:rPr>
        <w:t xml:space="preserve">958 </w:t>
      </w:r>
      <w:proofErr w:type="spellStart"/>
      <w:r w:rsidR="00F84588" w:rsidRPr="007E4F96">
        <w:rPr>
          <w:rFonts w:asciiTheme="minorHAnsi" w:hAnsiTheme="minorHAnsi" w:cstheme="minorHAnsi"/>
          <w:lang w:val="el-GR"/>
        </w:rPr>
        <w:t>δισεκ</w:t>
      </w:r>
      <w:proofErr w:type="spellEnd"/>
      <w:r w:rsidR="00F84588" w:rsidRPr="007E4F96">
        <w:rPr>
          <w:rFonts w:asciiTheme="minorHAnsi" w:hAnsiTheme="minorHAnsi" w:cstheme="minorHAnsi"/>
          <w:lang w:val="el-GR"/>
        </w:rPr>
        <w:t>. HUF</w:t>
      </w:r>
      <w:r w:rsidR="00F84588" w:rsidRPr="007E4F96">
        <w:rPr>
          <w:rFonts w:asciiTheme="minorHAnsi" w:hAnsiTheme="minorHAnsi" w:cstheme="minorHAnsi"/>
          <w:color w:val="212529"/>
          <w:shd w:val="clear" w:color="auto" w:fill="FFFFFF"/>
          <w:lang w:val="el-GR"/>
        </w:rPr>
        <w:t xml:space="preserve"> ή</w:t>
      </w:r>
      <w:r w:rsidR="005A7AF8" w:rsidRPr="007E4F96">
        <w:rPr>
          <w:rFonts w:asciiTheme="minorHAnsi" w:hAnsiTheme="minorHAnsi" w:cstheme="minorHAnsi"/>
          <w:lang w:val="el-GR"/>
        </w:rPr>
        <w:t xml:space="preserve"> 2,</w:t>
      </w:r>
      <w:r w:rsidR="00573BA5" w:rsidRPr="007E4F96">
        <w:rPr>
          <w:rFonts w:asciiTheme="minorHAnsi" w:hAnsiTheme="minorHAnsi" w:cstheme="minorHAnsi"/>
          <w:lang w:val="el-GR"/>
        </w:rPr>
        <w:t>1</w:t>
      </w:r>
      <w:r w:rsidR="005A7AF8" w:rsidRPr="007E4F96">
        <w:rPr>
          <w:rFonts w:asciiTheme="minorHAnsi" w:hAnsiTheme="minorHAnsi" w:cstheme="minorHAnsi"/>
          <w:lang w:val="el-GR"/>
        </w:rPr>
        <w:t xml:space="preserve">% </w:t>
      </w:r>
      <w:r w:rsidR="006E0081" w:rsidRPr="007E4F96">
        <w:rPr>
          <w:rFonts w:asciiTheme="minorHAnsi" w:hAnsiTheme="minorHAnsi" w:cstheme="minorHAnsi"/>
          <w:lang w:val="el-GR"/>
        </w:rPr>
        <w:t xml:space="preserve">του ΑΕΠ </w:t>
      </w:r>
      <w:r w:rsidR="00573BA5" w:rsidRPr="007E4F96">
        <w:rPr>
          <w:rFonts w:asciiTheme="minorHAnsi" w:hAnsiTheme="minorHAnsi" w:cstheme="minorHAnsi"/>
          <w:lang w:val="el-GR"/>
        </w:rPr>
        <w:t xml:space="preserve">(2,2% το 2018) </w:t>
      </w:r>
      <w:r w:rsidR="00C068B4" w:rsidRPr="007E4F96">
        <w:rPr>
          <w:rFonts w:asciiTheme="minorHAnsi" w:hAnsiTheme="minorHAnsi" w:cstheme="minorHAnsi"/>
          <w:lang w:val="el-GR"/>
        </w:rPr>
        <w:t xml:space="preserve">παραμένοντας </w:t>
      </w:r>
      <w:r w:rsidR="005A7AF8" w:rsidRPr="007E4F96">
        <w:rPr>
          <w:rFonts w:asciiTheme="minorHAnsi" w:hAnsiTheme="minorHAnsi" w:cstheme="minorHAnsi"/>
          <w:lang w:val="el-GR"/>
        </w:rPr>
        <w:t xml:space="preserve">για </w:t>
      </w:r>
      <w:r w:rsidR="00573BA5" w:rsidRPr="007E4F96">
        <w:rPr>
          <w:rFonts w:asciiTheme="minorHAnsi" w:hAnsiTheme="minorHAnsi" w:cstheme="minorHAnsi"/>
          <w:lang w:val="el-GR"/>
        </w:rPr>
        <w:t xml:space="preserve">όγδοη </w:t>
      </w:r>
      <w:r w:rsidR="005A7AF8" w:rsidRPr="007E4F96">
        <w:rPr>
          <w:rFonts w:asciiTheme="minorHAnsi" w:hAnsiTheme="minorHAnsi" w:cstheme="minorHAnsi"/>
          <w:lang w:val="el-GR"/>
        </w:rPr>
        <w:t xml:space="preserve">συνεχόμενη χρονιά κάτω </w:t>
      </w:r>
      <w:r w:rsidR="00C068B4" w:rsidRPr="007E4F96">
        <w:rPr>
          <w:rFonts w:asciiTheme="minorHAnsi" w:hAnsiTheme="minorHAnsi" w:cstheme="minorHAnsi"/>
          <w:lang w:val="el-GR"/>
        </w:rPr>
        <w:t xml:space="preserve">από το όριο </w:t>
      </w:r>
      <w:r w:rsidR="005A7AF8" w:rsidRPr="007E4F96">
        <w:rPr>
          <w:rFonts w:asciiTheme="minorHAnsi" w:hAnsiTheme="minorHAnsi" w:cstheme="minorHAnsi"/>
          <w:lang w:val="el-GR"/>
        </w:rPr>
        <w:t xml:space="preserve">των τριών ποσοστιαίων μονάδων </w:t>
      </w:r>
      <w:r w:rsidR="006E0081" w:rsidRPr="007E4F96">
        <w:rPr>
          <w:rFonts w:asciiTheme="minorHAnsi" w:hAnsiTheme="minorHAnsi" w:cstheme="minorHAnsi"/>
          <w:lang w:val="el-GR"/>
        </w:rPr>
        <w:t>(κριτήριο σύγκλισης για ένταξη στην ευρωζώνη)</w:t>
      </w:r>
      <w:r w:rsidR="005A7AF8" w:rsidRPr="007E4F96">
        <w:rPr>
          <w:rFonts w:asciiTheme="minorHAnsi" w:hAnsiTheme="minorHAnsi" w:cstheme="minorHAnsi"/>
          <w:lang w:val="el-GR"/>
        </w:rPr>
        <w:t>.</w:t>
      </w:r>
      <w:r w:rsidR="0056730B" w:rsidRPr="007E4F96">
        <w:rPr>
          <w:rFonts w:asciiTheme="minorHAnsi" w:hAnsiTheme="minorHAnsi" w:cstheme="minorHAnsi"/>
          <w:lang w:val="el-GR"/>
        </w:rPr>
        <w:t xml:space="preserve"> </w:t>
      </w:r>
    </w:p>
    <w:p w:rsidR="002E7491" w:rsidRDefault="002E7491" w:rsidP="001A704D">
      <w:pPr>
        <w:jc w:val="both"/>
        <w:rPr>
          <w:rFonts w:asciiTheme="minorHAnsi" w:hAnsiTheme="minorHAnsi" w:cstheme="minorHAnsi"/>
          <w:lang w:val="el-GR"/>
        </w:rPr>
      </w:pPr>
    </w:p>
    <w:p w:rsidR="00DD201D" w:rsidRDefault="00DD201D" w:rsidP="001A704D">
      <w:pPr>
        <w:jc w:val="both"/>
        <w:rPr>
          <w:rFonts w:asciiTheme="minorHAnsi" w:hAnsiTheme="minorHAnsi" w:cstheme="minorHAnsi"/>
          <w:lang w:val="el-GR"/>
        </w:rPr>
      </w:pPr>
    </w:p>
    <w:p w:rsidR="00DD201D" w:rsidRDefault="00DD201D" w:rsidP="001A704D">
      <w:pPr>
        <w:jc w:val="both"/>
        <w:rPr>
          <w:rFonts w:asciiTheme="minorHAnsi" w:hAnsiTheme="minorHAnsi" w:cstheme="minorHAnsi"/>
          <w:lang w:val="el-GR"/>
        </w:rPr>
      </w:pPr>
    </w:p>
    <w:p w:rsidR="00DD201D" w:rsidRDefault="00DD201D" w:rsidP="001A704D">
      <w:pPr>
        <w:jc w:val="both"/>
        <w:rPr>
          <w:rFonts w:asciiTheme="minorHAnsi" w:hAnsiTheme="minorHAnsi" w:cstheme="minorHAnsi"/>
          <w:lang w:val="el-GR"/>
        </w:rPr>
      </w:pPr>
    </w:p>
    <w:p w:rsidR="00DD201D" w:rsidRDefault="00DD201D" w:rsidP="001A704D">
      <w:pPr>
        <w:jc w:val="both"/>
        <w:rPr>
          <w:rFonts w:asciiTheme="minorHAnsi" w:hAnsiTheme="minorHAnsi" w:cstheme="minorHAnsi"/>
          <w:lang w:val="el-GR"/>
        </w:rPr>
      </w:pPr>
    </w:p>
    <w:p w:rsidR="00DD201D" w:rsidRPr="007E4F96" w:rsidRDefault="00DD201D" w:rsidP="007C1AB7">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l-GR"/>
        </w:rPr>
      </w:pPr>
      <w:r w:rsidRPr="00DD201D">
        <w:rPr>
          <w:rFonts w:asciiTheme="minorHAnsi" w:hAnsiTheme="minorHAnsi" w:cstheme="minorHAnsi"/>
          <w:noProof/>
        </w:rPr>
        <w:drawing>
          <wp:inline distT="0" distB="0" distL="0" distR="0">
            <wp:extent cx="5486400" cy="2534920"/>
            <wp:effectExtent l="0" t="0" r="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379C" w:rsidRDefault="00573BA5" w:rsidP="00F84588">
      <w:pPr>
        <w:ind w:firstLine="720"/>
        <w:jc w:val="both"/>
        <w:rPr>
          <w:sz w:val="18"/>
          <w:szCs w:val="18"/>
          <w:lang w:val="el-GR"/>
        </w:rPr>
      </w:pPr>
      <w:r>
        <w:rPr>
          <w:sz w:val="18"/>
          <w:szCs w:val="18"/>
          <w:lang w:val="el-GR"/>
        </w:rPr>
        <w:t>Πηγή:</w:t>
      </w:r>
      <w:r>
        <w:rPr>
          <w:sz w:val="18"/>
          <w:szCs w:val="18"/>
          <w:lang w:val="el-GR"/>
        </w:rPr>
        <w:tab/>
        <w:t xml:space="preserve">α) </w:t>
      </w:r>
      <w:r w:rsidR="00D11C57" w:rsidRPr="00D11C57">
        <w:rPr>
          <w:sz w:val="18"/>
          <w:szCs w:val="18"/>
          <w:lang w:val="el-GR"/>
        </w:rPr>
        <w:t>ΟΟΣΑ</w:t>
      </w:r>
    </w:p>
    <w:p w:rsidR="00573BA5" w:rsidRDefault="00573BA5" w:rsidP="001A704D">
      <w:pPr>
        <w:jc w:val="both"/>
        <w:rPr>
          <w:sz w:val="18"/>
          <w:szCs w:val="18"/>
          <w:lang w:val="el-GR"/>
        </w:rPr>
      </w:pPr>
      <w:r>
        <w:rPr>
          <w:sz w:val="18"/>
          <w:szCs w:val="18"/>
          <w:lang w:val="el-GR"/>
        </w:rPr>
        <w:tab/>
      </w:r>
      <w:r w:rsidR="00F84588">
        <w:rPr>
          <w:sz w:val="18"/>
          <w:szCs w:val="18"/>
          <w:lang w:val="el-GR"/>
        </w:rPr>
        <w:tab/>
      </w:r>
      <w:r>
        <w:rPr>
          <w:sz w:val="18"/>
          <w:szCs w:val="18"/>
          <w:lang w:val="el-GR"/>
        </w:rPr>
        <w:t xml:space="preserve">β) </w:t>
      </w:r>
      <w:r w:rsidRPr="00E41C45">
        <w:rPr>
          <w:sz w:val="18"/>
          <w:szCs w:val="18"/>
          <w:lang w:val="el-GR"/>
        </w:rPr>
        <w:t>Στατιστική Υπηρεσία Ουγγαρίας (</w:t>
      </w:r>
      <w:r w:rsidRPr="00E41C45">
        <w:rPr>
          <w:sz w:val="18"/>
          <w:szCs w:val="18"/>
        </w:rPr>
        <w:t>KSH</w:t>
      </w:r>
      <w:r>
        <w:rPr>
          <w:sz w:val="18"/>
          <w:szCs w:val="18"/>
          <w:lang w:val="el-GR"/>
        </w:rPr>
        <w:t>)</w:t>
      </w:r>
    </w:p>
    <w:p w:rsidR="00AC7764" w:rsidRDefault="00F84588" w:rsidP="007C6A13">
      <w:pPr>
        <w:jc w:val="both"/>
        <w:rPr>
          <w:lang w:val="el-GR"/>
        </w:rPr>
      </w:pPr>
      <w:r>
        <w:rPr>
          <w:lang w:val="el-GR"/>
        </w:rPr>
        <w:t xml:space="preserve"> </w:t>
      </w:r>
    </w:p>
    <w:p w:rsidR="002E7491" w:rsidRDefault="002E7491" w:rsidP="007E4F96">
      <w:pPr>
        <w:jc w:val="both"/>
        <w:rPr>
          <w:rFonts w:asciiTheme="minorHAnsi" w:hAnsiTheme="minorHAnsi" w:cstheme="minorHAnsi"/>
          <w:lang w:val="el-GR"/>
        </w:rPr>
      </w:pPr>
    </w:p>
    <w:p w:rsidR="007E4F96" w:rsidRPr="00FB6145" w:rsidRDefault="007E4F96" w:rsidP="007E4F96">
      <w:pPr>
        <w:jc w:val="both"/>
        <w:rPr>
          <w:rFonts w:asciiTheme="minorHAnsi" w:hAnsiTheme="minorHAnsi" w:cstheme="minorHAnsi"/>
          <w:lang w:val="el-GR"/>
        </w:rPr>
      </w:pPr>
      <w:r w:rsidRPr="00FB6145">
        <w:rPr>
          <w:rFonts w:asciiTheme="minorHAnsi" w:hAnsiTheme="minorHAnsi" w:cstheme="minorHAnsi"/>
          <w:lang w:val="el-GR"/>
        </w:rPr>
        <w:t xml:space="preserve">Εξαιτίας όμως της πανδημίας το έλλειμμα του κρατικού προϋπολογισμού για το 2020 διευρύνθηκε στα 3,870 </w:t>
      </w:r>
      <w:proofErr w:type="spellStart"/>
      <w:r w:rsidRPr="00FB6145">
        <w:rPr>
          <w:rFonts w:asciiTheme="minorHAnsi" w:hAnsiTheme="minorHAnsi" w:cstheme="minorHAnsi"/>
          <w:lang w:val="el-GR"/>
        </w:rPr>
        <w:t>τρισεκ</w:t>
      </w:r>
      <w:proofErr w:type="spellEnd"/>
      <w:r w:rsidRPr="00FB6145">
        <w:rPr>
          <w:rFonts w:asciiTheme="minorHAnsi" w:hAnsiTheme="minorHAnsi" w:cstheme="minorHAnsi"/>
          <w:lang w:val="el-GR"/>
        </w:rPr>
        <w:t xml:space="preserve">. HUF (8,1% του ΑΕΠ).  Ήδη από το </w:t>
      </w:r>
      <w:proofErr w:type="spellStart"/>
      <w:r w:rsidRPr="00FB6145">
        <w:rPr>
          <w:rFonts w:asciiTheme="minorHAnsi" w:hAnsiTheme="minorHAnsi" w:cstheme="minorHAnsi"/>
          <w:lang w:val="el-GR"/>
        </w:rPr>
        <w:t>α΄</w:t>
      </w:r>
      <w:proofErr w:type="spellEnd"/>
      <w:r w:rsidRPr="00FB6145">
        <w:rPr>
          <w:rFonts w:asciiTheme="minorHAnsi" w:hAnsiTheme="minorHAnsi" w:cstheme="minorHAnsi"/>
          <w:lang w:val="el-GR"/>
        </w:rPr>
        <w:t xml:space="preserve"> εξάμηνο 2021, η κυβέρνηση προχώρησε σε νέα μέτρα αυστηρότερης δημοσιονομικής πολιτικής, θέτοντας ως στόχο τον περιορισμό του ελλείμματος κάτω από 7%, στόχος που τελικά επιτεύχθηκε κλείνοντας τον δείκτη στο </w:t>
      </w:r>
      <w:r w:rsidRPr="00FB6145">
        <w:rPr>
          <w:rFonts w:asciiTheme="minorHAnsi" w:hAnsiTheme="minorHAnsi" w:cstheme="minorHAnsi"/>
          <w:b/>
          <w:lang w:val="el-GR"/>
        </w:rPr>
        <w:t>6,8% για το 2021 και 6,2% για το 2022</w:t>
      </w:r>
      <w:r w:rsidR="00DD201D">
        <w:rPr>
          <w:rFonts w:asciiTheme="minorHAnsi" w:hAnsiTheme="minorHAnsi" w:cstheme="minorHAnsi"/>
          <w:b/>
          <w:lang w:val="el-GR"/>
        </w:rPr>
        <w:t>.</w:t>
      </w:r>
    </w:p>
    <w:p w:rsidR="00BE2F28" w:rsidRPr="007E4F96" w:rsidRDefault="00BE2F28" w:rsidP="007C6A13">
      <w:pPr>
        <w:jc w:val="both"/>
        <w:rPr>
          <w:rFonts w:asciiTheme="minorHAnsi" w:hAnsiTheme="minorHAnsi" w:cstheme="minorHAnsi"/>
          <w:lang w:val="el-GR"/>
        </w:rPr>
      </w:pPr>
    </w:p>
    <w:p w:rsidR="00BE2F28" w:rsidRDefault="00351359" w:rsidP="007C6A13">
      <w:pPr>
        <w:jc w:val="both"/>
        <w:rPr>
          <w:rFonts w:asciiTheme="minorHAnsi" w:hAnsiTheme="minorHAnsi" w:cstheme="minorHAnsi"/>
          <w:lang w:val="el-GR"/>
        </w:rPr>
      </w:pPr>
      <w:r w:rsidRPr="007E4F96">
        <w:rPr>
          <w:rFonts w:asciiTheme="minorHAnsi" w:hAnsiTheme="minorHAnsi" w:cstheme="minorHAnsi"/>
          <w:lang w:val="el-GR"/>
        </w:rPr>
        <w:t xml:space="preserve">Πριν την κρίση του 2008, ο </w:t>
      </w:r>
      <w:r w:rsidRPr="007E4F96">
        <w:rPr>
          <w:rFonts w:asciiTheme="minorHAnsi" w:hAnsiTheme="minorHAnsi" w:cstheme="minorHAnsi"/>
          <w:b/>
          <w:lang w:val="el-GR"/>
        </w:rPr>
        <w:t>ρυθμός ανάπτυξης της ουγγρικής οικονομίας</w:t>
      </w:r>
      <w:r w:rsidRPr="007E4F96">
        <w:rPr>
          <w:rFonts w:asciiTheme="minorHAnsi" w:hAnsiTheme="minorHAnsi" w:cstheme="minorHAnsi"/>
          <w:lang w:val="el-GR"/>
        </w:rPr>
        <w:t xml:space="preserve"> ήταν ταχύτερος σε σύγκριση με άλλες χώρες της περιοχής, εξαιτίας του μεγάλου (και μη βιώσιμου) εξωτερικού δανεισμού. Στη συνέχεια, η οικονομική ανάκαμψη ήταν χαμηλότερη από τις περισσότερες χώρες της περιοχής, μέχρι που τα μέτρα της κυβέρνησης απέδωσαν καρπούς και το 2015 το επίπεδο του ΑΕΠ ξεπέρασε τα προ της κρίσεως επίπεδα. Το 2019, ο ρυθμός οικονομικής ανάπτυξης, υποστηριζόμενος κυρίως από την εγχώρια κατανάλωση, το εξωτερικό εμπόριο, τη βιομηχανία και τις ξένες επενδύσεις, διαμορφώθηκε για στο</w:t>
      </w:r>
      <w:r w:rsidRPr="007E4F96">
        <w:rPr>
          <w:rFonts w:asciiTheme="minorHAnsi" w:hAnsiTheme="minorHAnsi" w:cstheme="minorHAnsi"/>
          <w:b/>
          <w:lang w:val="el-GR"/>
        </w:rPr>
        <w:t xml:space="preserve"> </w:t>
      </w:r>
      <w:r w:rsidRPr="007E4F96">
        <w:rPr>
          <w:rFonts w:asciiTheme="minorHAnsi" w:hAnsiTheme="minorHAnsi" w:cstheme="minorHAnsi"/>
          <w:lang w:val="el-GR"/>
        </w:rPr>
        <w:t xml:space="preserve">4,9% (σε απόλυτες τιμές, υπολογίζεται σε 44,76 </w:t>
      </w:r>
      <w:proofErr w:type="spellStart"/>
      <w:r w:rsidRPr="007E4F96">
        <w:rPr>
          <w:rFonts w:asciiTheme="minorHAnsi" w:hAnsiTheme="minorHAnsi" w:cstheme="minorHAnsi"/>
          <w:lang w:val="el-GR"/>
        </w:rPr>
        <w:t>τρισεκ</w:t>
      </w:r>
      <w:proofErr w:type="spellEnd"/>
      <w:r w:rsidRPr="007E4F96">
        <w:rPr>
          <w:rFonts w:asciiTheme="minorHAnsi" w:hAnsiTheme="minorHAnsi" w:cstheme="minorHAnsi"/>
          <w:lang w:val="el-GR"/>
        </w:rPr>
        <w:t>. HUF). Όμως, εξαιτίας της πανδημίας, ο ρυθμός οικονομικής ανάπτυξης της χώρας μειώθηκε σημαν</w:t>
      </w:r>
      <w:r w:rsidR="00F430AF" w:rsidRPr="007E4F96">
        <w:rPr>
          <w:rFonts w:asciiTheme="minorHAnsi" w:hAnsiTheme="minorHAnsi" w:cstheme="minorHAnsi"/>
          <w:lang w:val="el-GR"/>
        </w:rPr>
        <w:t xml:space="preserve">τικά από </w:t>
      </w:r>
      <w:r w:rsidR="00DA1AAE" w:rsidRPr="007E4F96">
        <w:rPr>
          <w:rFonts w:asciiTheme="minorHAnsi" w:hAnsiTheme="minorHAnsi" w:cstheme="minorHAnsi"/>
          <w:lang w:val="el-GR"/>
        </w:rPr>
        <w:t xml:space="preserve">το πρώτο τρίμηνο </w:t>
      </w:r>
      <w:r w:rsidR="00F430AF" w:rsidRPr="007E4F96">
        <w:rPr>
          <w:rFonts w:asciiTheme="minorHAnsi" w:hAnsiTheme="minorHAnsi" w:cstheme="minorHAnsi"/>
          <w:lang w:val="el-GR"/>
        </w:rPr>
        <w:t xml:space="preserve">του </w:t>
      </w:r>
      <w:r w:rsidR="00DA1AAE" w:rsidRPr="007E4F96">
        <w:rPr>
          <w:rFonts w:asciiTheme="minorHAnsi" w:hAnsiTheme="minorHAnsi" w:cstheme="minorHAnsi"/>
          <w:lang w:val="el-GR"/>
        </w:rPr>
        <w:t xml:space="preserve">2020. </w:t>
      </w:r>
    </w:p>
    <w:p w:rsidR="00214237" w:rsidRDefault="00214237" w:rsidP="007C6A13">
      <w:pPr>
        <w:jc w:val="both"/>
        <w:rPr>
          <w:rFonts w:asciiTheme="minorHAnsi" w:hAnsiTheme="minorHAnsi" w:cstheme="minorHAnsi"/>
          <w:lang w:val="el-GR"/>
        </w:rPr>
      </w:pPr>
    </w:p>
    <w:p w:rsidR="00214237" w:rsidRPr="00214237" w:rsidRDefault="00214237" w:rsidP="00214237">
      <w:pPr>
        <w:jc w:val="both"/>
        <w:rPr>
          <w:rFonts w:asciiTheme="minorHAnsi" w:hAnsiTheme="minorHAnsi" w:cstheme="minorHAnsi"/>
          <w:lang w:val="el-GR"/>
        </w:rPr>
      </w:pPr>
      <w:r w:rsidRPr="00214237">
        <w:rPr>
          <w:rFonts w:asciiTheme="minorHAnsi" w:hAnsiTheme="minorHAnsi" w:cstheme="minorHAnsi"/>
          <w:lang w:val="el-GR"/>
        </w:rPr>
        <w:t xml:space="preserve">Η σύνθεση του ΑΕΠ της χώρας έχει ως ακολούθως: </w:t>
      </w:r>
    </w:p>
    <w:p w:rsidR="00214237" w:rsidRPr="00214237" w:rsidRDefault="00214237" w:rsidP="00214237">
      <w:pPr>
        <w:jc w:val="both"/>
        <w:rPr>
          <w:rFonts w:asciiTheme="minorHAnsi" w:hAnsiTheme="minorHAnsi" w:cstheme="minorHAnsi"/>
          <w:lang w:val="el-GR"/>
        </w:rPr>
      </w:pPr>
    </w:p>
    <w:p w:rsidR="00214237" w:rsidRPr="00214237" w:rsidRDefault="007C1AB7" w:rsidP="00214237">
      <w:pPr>
        <w:jc w:val="both"/>
        <w:rPr>
          <w:rFonts w:asciiTheme="minorHAnsi" w:hAnsiTheme="minorHAnsi" w:cstheme="minorHAnsi"/>
          <w:lang w:val="el-GR"/>
        </w:rPr>
      </w:pPr>
      <w:r>
        <w:rPr>
          <w:rFonts w:asciiTheme="minorHAnsi" w:hAnsiTheme="minorHAnsi" w:cstheme="minorHAnsi"/>
          <w:lang w:val="el-GR"/>
        </w:rPr>
        <w:t>-Αγροτικός τομέας 3,6</w:t>
      </w:r>
      <w:r w:rsidR="00214237" w:rsidRPr="00214237">
        <w:rPr>
          <w:rFonts w:asciiTheme="minorHAnsi" w:hAnsiTheme="minorHAnsi" w:cstheme="minorHAnsi"/>
          <w:lang w:val="el-GR"/>
        </w:rPr>
        <w:t>%</w:t>
      </w:r>
    </w:p>
    <w:p w:rsidR="00214237" w:rsidRPr="00214237" w:rsidRDefault="00214237" w:rsidP="00214237">
      <w:pPr>
        <w:jc w:val="both"/>
        <w:rPr>
          <w:rFonts w:asciiTheme="minorHAnsi" w:hAnsiTheme="minorHAnsi" w:cstheme="minorHAnsi"/>
          <w:lang w:val="el-GR"/>
        </w:rPr>
      </w:pPr>
      <w:r w:rsidRPr="00214237">
        <w:rPr>
          <w:rFonts w:asciiTheme="minorHAnsi" w:hAnsiTheme="minorHAnsi" w:cstheme="minorHAnsi"/>
          <w:lang w:val="el-GR"/>
        </w:rPr>
        <w:t>-Βιομηχανικ</w:t>
      </w:r>
      <w:r w:rsidR="007C1AB7">
        <w:rPr>
          <w:rFonts w:asciiTheme="minorHAnsi" w:hAnsiTheme="minorHAnsi" w:cstheme="minorHAnsi"/>
          <w:lang w:val="el-GR"/>
        </w:rPr>
        <w:t>ός τομέας 23,2</w:t>
      </w:r>
      <w:r w:rsidRPr="00214237">
        <w:rPr>
          <w:rFonts w:asciiTheme="minorHAnsi" w:hAnsiTheme="minorHAnsi" w:cstheme="minorHAnsi"/>
          <w:lang w:val="el-GR"/>
        </w:rPr>
        <w:t>%</w:t>
      </w:r>
    </w:p>
    <w:p w:rsidR="00214237" w:rsidRPr="00214237" w:rsidRDefault="007C1AB7" w:rsidP="00214237">
      <w:pPr>
        <w:jc w:val="both"/>
        <w:rPr>
          <w:rFonts w:asciiTheme="minorHAnsi" w:hAnsiTheme="minorHAnsi" w:cstheme="minorHAnsi"/>
          <w:lang w:val="el-GR"/>
        </w:rPr>
      </w:pPr>
      <w:r>
        <w:rPr>
          <w:rFonts w:asciiTheme="minorHAnsi" w:hAnsiTheme="minorHAnsi" w:cstheme="minorHAnsi"/>
          <w:lang w:val="el-GR"/>
        </w:rPr>
        <w:t>-Τομέας Υπηρεσιών 73,2</w:t>
      </w:r>
      <w:r w:rsidR="00214237" w:rsidRPr="00214237">
        <w:rPr>
          <w:rFonts w:asciiTheme="minorHAnsi" w:hAnsiTheme="minorHAnsi" w:cstheme="minorHAnsi"/>
          <w:lang w:val="el-GR"/>
        </w:rPr>
        <w:t>%</w:t>
      </w:r>
    </w:p>
    <w:p w:rsidR="00D20861" w:rsidRDefault="00D20861" w:rsidP="007C6A13">
      <w:pPr>
        <w:jc w:val="both"/>
        <w:rPr>
          <w:rFonts w:asciiTheme="minorHAnsi" w:hAnsiTheme="minorHAnsi" w:cstheme="minorHAnsi"/>
          <w:lang w:val="el-GR"/>
        </w:rPr>
      </w:pPr>
    </w:p>
    <w:p w:rsidR="002E7491" w:rsidRDefault="002E7491" w:rsidP="007C6A13">
      <w:pPr>
        <w:jc w:val="both"/>
        <w:rPr>
          <w:rFonts w:asciiTheme="minorHAnsi" w:hAnsiTheme="minorHAnsi" w:cstheme="minorHAnsi"/>
          <w:lang w:val="el-GR"/>
        </w:rPr>
      </w:pPr>
    </w:p>
    <w:p w:rsidR="002E7491" w:rsidRDefault="002E7491" w:rsidP="007C6A13">
      <w:pPr>
        <w:jc w:val="both"/>
        <w:rPr>
          <w:rFonts w:asciiTheme="minorHAnsi" w:hAnsiTheme="minorHAnsi" w:cstheme="minorHAnsi"/>
          <w:lang w:val="el-GR"/>
        </w:rPr>
      </w:pPr>
    </w:p>
    <w:p w:rsidR="002E7491" w:rsidRDefault="002E7491" w:rsidP="007C6A13">
      <w:pPr>
        <w:jc w:val="both"/>
        <w:rPr>
          <w:rFonts w:asciiTheme="minorHAnsi" w:hAnsiTheme="minorHAnsi" w:cstheme="minorHAnsi"/>
          <w:lang w:val="el-GR"/>
        </w:rPr>
      </w:pPr>
    </w:p>
    <w:p w:rsidR="002E7491" w:rsidRDefault="002E7491" w:rsidP="007C6A13">
      <w:pPr>
        <w:jc w:val="both"/>
        <w:rPr>
          <w:rFonts w:asciiTheme="minorHAnsi" w:hAnsiTheme="minorHAnsi" w:cstheme="minorHAnsi"/>
          <w:lang w:val="el-GR"/>
        </w:rPr>
      </w:pPr>
    </w:p>
    <w:p w:rsidR="002E7491" w:rsidRDefault="002E7491" w:rsidP="007C6A13">
      <w:pPr>
        <w:jc w:val="both"/>
        <w:rPr>
          <w:rFonts w:asciiTheme="minorHAnsi" w:hAnsiTheme="minorHAnsi" w:cstheme="minorHAnsi"/>
          <w:lang w:val="el-GR"/>
        </w:rPr>
      </w:pPr>
    </w:p>
    <w:p w:rsidR="002E7491" w:rsidRDefault="002E7491" w:rsidP="007C6A13">
      <w:pPr>
        <w:jc w:val="both"/>
        <w:rPr>
          <w:rFonts w:asciiTheme="minorHAnsi" w:hAnsiTheme="minorHAnsi" w:cstheme="minorHAnsi"/>
          <w:lang w:val="el-GR"/>
        </w:rPr>
      </w:pPr>
    </w:p>
    <w:p w:rsidR="002E7491" w:rsidRDefault="002E7491" w:rsidP="007C6A13">
      <w:pPr>
        <w:jc w:val="both"/>
        <w:rPr>
          <w:rFonts w:asciiTheme="minorHAnsi" w:hAnsiTheme="minorHAnsi" w:cstheme="minorHAnsi"/>
          <w:lang w:val="el-GR"/>
        </w:rPr>
      </w:pPr>
    </w:p>
    <w:p w:rsidR="002E7491" w:rsidRDefault="002E7491" w:rsidP="007C6A13">
      <w:pPr>
        <w:jc w:val="both"/>
        <w:rPr>
          <w:rFonts w:asciiTheme="minorHAnsi" w:hAnsiTheme="minorHAnsi" w:cstheme="minorHAnsi"/>
          <w:lang w:val="el-GR"/>
        </w:rPr>
      </w:pPr>
      <w:r w:rsidRPr="002E7491">
        <w:rPr>
          <w:rFonts w:asciiTheme="minorHAnsi" w:hAnsiTheme="minorHAnsi" w:cstheme="minorHAnsi"/>
          <w:noProof/>
        </w:rPr>
        <w:drawing>
          <wp:inline distT="0" distB="0" distL="0" distR="0">
            <wp:extent cx="6226475" cy="3036869"/>
            <wp:effectExtent l="19050" t="0" r="21925"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1969" w:rsidRPr="007E4F96" w:rsidRDefault="00D20861" w:rsidP="00D20861">
      <w:pPr>
        <w:jc w:val="both"/>
        <w:rPr>
          <w:rFonts w:asciiTheme="minorHAnsi" w:hAnsiTheme="minorHAnsi" w:cstheme="minorHAnsi"/>
          <w:lang w:val="el-GR"/>
        </w:rPr>
      </w:pPr>
      <w:r w:rsidRPr="007E4F96">
        <w:rPr>
          <w:rFonts w:asciiTheme="minorHAnsi" w:hAnsiTheme="minorHAnsi" w:cstheme="minorHAnsi"/>
          <w:lang w:val="el-GR"/>
        </w:rPr>
        <w:t xml:space="preserve">      </w:t>
      </w:r>
      <w:r w:rsidR="00DE3A61" w:rsidRPr="007E4F96">
        <w:rPr>
          <w:rFonts w:asciiTheme="minorHAnsi" w:hAnsiTheme="minorHAnsi" w:cstheme="minorHAnsi"/>
          <w:lang w:val="el-GR"/>
        </w:rPr>
        <w:t xml:space="preserve">Πηγή: </w:t>
      </w:r>
      <w:r w:rsidR="005C4F6D" w:rsidRPr="007E4F96">
        <w:rPr>
          <w:rFonts w:asciiTheme="minorHAnsi" w:hAnsiTheme="minorHAnsi" w:cstheme="minorHAnsi"/>
          <w:lang w:val="el-GR"/>
        </w:rPr>
        <w:t>Στατιστική Υπηρεσία Ουγγαρίας (</w:t>
      </w:r>
      <w:r w:rsidR="005C4F6D" w:rsidRPr="007E4F96">
        <w:rPr>
          <w:rFonts w:asciiTheme="minorHAnsi" w:hAnsiTheme="minorHAnsi" w:cstheme="minorHAnsi"/>
        </w:rPr>
        <w:t>KSH</w:t>
      </w:r>
      <w:r w:rsidR="00B94EF9" w:rsidRPr="007E4F96">
        <w:rPr>
          <w:rFonts w:asciiTheme="minorHAnsi" w:hAnsiTheme="minorHAnsi" w:cstheme="minorHAnsi"/>
          <w:lang w:val="el-GR"/>
        </w:rPr>
        <w:t>)</w:t>
      </w:r>
    </w:p>
    <w:p w:rsidR="00791969" w:rsidRPr="007E4F96" w:rsidRDefault="00791969" w:rsidP="00791969">
      <w:pPr>
        <w:jc w:val="both"/>
        <w:rPr>
          <w:rFonts w:asciiTheme="minorHAnsi" w:hAnsiTheme="minorHAnsi" w:cstheme="minorHAnsi"/>
          <w:lang w:val="el-GR"/>
        </w:rPr>
      </w:pPr>
    </w:p>
    <w:p w:rsidR="004E3872" w:rsidRPr="00FB6145" w:rsidRDefault="00214237" w:rsidP="004E3872">
      <w:pPr>
        <w:jc w:val="both"/>
        <w:rPr>
          <w:rFonts w:asciiTheme="minorHAnsi" w:hAnsiTheme="minorHAnsi" w:cstheme="minorHAnsi"/>
          <w:lang w:val="el-GR"/>
        </w:rPr>
      </w:pPr>
      <w:r w:rsidRPr="00214237">
        <w:rPr>
          <w:rFonts w:asciiTheme="minorHAnsi" w:hAnsiTheme="minorHAnsi" w:cstheme="minorHAnsi"/>
          <w:lang w:val="el-GR"/>
        </w:rPr>
        <w:t xml:space="preserve">Συνολικά για το 2021 και σύμφωνα με εκτιμήσεις της Κεντρικής Τράπεζας και του Υπουργείου Οικονομικών, η οικονομία σημείωσε σημαντική βελτίωση κατά 7,1%, συγκαταλέγοντας την χώρα ανάμεσα στις πρώτες της Ε.Ε. με τόσο υψηλή επίδοση. </w:t>
      </w:r>
      <w:r w:rsidR="004E3872">
        <w:rPr>
          <w:rFonts w:asciiTheme="minorHAnsi" w:hAnsiTheme="minorHAnsi" w:cstheme="minorHAnsi"/>
          <w:lang w:val="el-GR"/>
        </w:rPr>
        <w:t>Ομοίως και το 2022 η άνοδος του ΑΕΠ έφθασε το 4,6%.</w:t>
      </w:r>
    </w:p>
    <w:p w:rsidR="004E3872" w:rsidRPr="00FB6145" w:rsidRDefault="004E3872" w:rsidP="004E3872">
      <w:pPr>
        <w:jc w:val="both"/>
        <w:rPr>
          <w:rFonts w:asciiTheme="minorHAnsi" w:hAnsiTheme="minorHAnsi" w:cstheme="minorHAnsi"/>
          <w:lang w:val="el-GR"/>
        </w:rPr>
      </w:pPr>
    </w:p>
    <w:p w:rsidR="004E3872" w:rsidRPr="00FB6145" w:rsidRDefault="004E3872" w:rsidP="004E3872">
      <w:pPr>
        <w:jc w:val="both"/>
        <w:rPr>
          <w:rFonts w:asciiTheme="minorHAnsi" w:hAnsiTheme="minorHAnsi" w:cstheme="minorHAnsi"/>
          <w:lang w:val="el-GR"/>
        </w:rPr>
      </w:pPr>
      <w:r w:rsidRPr="00FB6145">
        <w:rPr>
          <w:rFonts w:asciiTheme="minorHAnsi" w:hAnsiTheme="minorHAnsi" w:cstheme="minorHAnsi"/>
          <w:lang w:val="el-GR"/>
        </w:rPr>
        <w:t xml:space="preserve">Από το τελευταίο τρίμηνο 2019 και όταν η ουγγρική οικονομία αναπτύσσονταν με μέσο ρυθμό 4,5%, ο αυτή μειώθηκε στο 2,2%  εντός του </w:t>
      </w:r>
      <w:proofErr w:type="spellStart"/>
      <w:r w:rsidRPr="00FB6145">
        <w:rPr>
          <w:rFonts w:asciiTheme="minorHAnsi" w:hAnsiTheme="minorHAnsi" w:cstheme="minorHAnsi"/>
          <w:lang w:val="el-GR"/>
        </w:rPr>
        <w:t>α΄</w:t>
      </w:r>
      <w:proofErr w:type="spellEnd"/>
      <w:r w:rsidRPr="00FB6145">
        <w:rPr>
          <w:rFonts w:asciiTheme="minorHAnsi" w:hAnsiTheme="minorHAnsi" w:cstheme="minorHAnsi"/>
          <w:lang w:val="el-GR"/>
        </w:rPr>
        <w:t xml:space="preserve"> τριμήνου 2020. Η μείωση αποδίδεται κυρίως στην αποδυνάμωση της οικονομίας της ΕΕ, καθώς και στα προβλήματα που προκάλεσε διεθνώς η πανδημία του COVID-19 και τα οποία άρχισαν να επηρεάζουν δυσμενώς την Ουγγαρία από τον Μάρτιο 2020. Αναλυτικότερα και κατά κλάδο οικονομικής δραστηριότητας, το Α΄ τρίμηνο παρατηρείται αύξηση της βιομηχανικής παραγωγής κατά 1,7% και του κατασκευαστικού τομέα κατά 3%, ενώ ο αγροτικός τομέας παραμένει στάσιμος. Στον τομέα των υπηρεσιών, σημειώθηκε  σημαντική αύξηση του κλάδου τεχνολογιών πληροφορικής (ΙΤ) κατά 9%, του εμπορίου κατά 5% και του τουρισμού (ο οποίος επλήγη σημαντικά τον Μάρτιο, όταν έκλεισαν τα σύνορα της χώρας και επιβλήθηκαν περιορισμοί στις μετακινήσεις των πολιτών) κατά 5%. Επίσης, αύξηση σημείωσαν οι δαπάνες των νοικοκυριών (4,3%) και οι εισαγωγές κατά 1,3%, ενώ οι επενδύσεις και οι εξαγωγές μειώθηκαν κατά 2,6% και 0,5% αντίστοιχα. </w:t>
      </w:r>
    </w:p>
    <w:p w:rsidR="004E3872" w:rsidRPr="00FB6145" w:rsidRDefault="004E3872" w:rsidP="004E3872">
      <w:pPr>
        <w:jc w:val="both"/>
        <w:rPr>
          <w:rFonts w:asciiTheme="minorHAnsi" w:hAnsiTheme="minorHAnsi" w:cstheme="minorHAnsi"/>
          <w:lang w:val="el-GR"/>
        </w:rPr>
      </w:pPr>
    </w:p>
    <w:p w:rsidR="002E7491" w:rsidRDefault="004E3872" w:rsidP="004E3872">
      <w:pPr>
        <w:jc w:val="both"/>
        <w:rPr>
          <w:rFonts w:asciiTheme="minorHAnsi" w:hAnsiTheme="minorHAnsi" w:cstheme="minorHAnsi"/>
          <w:lang w:val="el-GR"/>
        </w:rPr>
      </w:pPr>
      <w:r w:rsidRPr="002F5860">
        <w:rPr>
          <w:rFonts w:asciiTheme="minorHAnsi" w:hAnsiTheme="minorHAnsi" w:cstheme="minorHAnsi"/>
          <w:lang w:val="el-GR"/>
        </w:rPr>
        <w:t>Ειδικότερα για τον τουρισμό, το 2020, ο αριθμός των διανυκτερεύσεων μειώθηκε κατά 88% σε</w:t>
      </w:r>
      <w:r w:rsidRPr="00FB6145">
        <w:rPr>
          <w:rFonts w:asciiTheme="minorHAnsi" w:hAnsiTheme="minorHAnsi" w:cstheme="minorHAnsi"/>
          <w:lang w:val="el-GR"/>
        </w:rPr>
        <w:t xml:space="preserve"> σχέση με το 2019. Τα μικρά ξενοδοχεία (στα οποία πραγματοποιήθηκε περίπου το 50% των διανυκτερεύσεων) κατέγραψαν 85% μείωση κρατήσεων. Τα έσοδα των καταλυμάτων μειώθηκαν κατά 94,6,% σε σχέση με το 2019. Έτσι, ο οικονομικός σχεδιασμός της κυβέρνησης έθεσε θαρραλέους στόχους, προκειμένου αντιμετωπίσει την οικονομική ύφεση του 2019 (ρυθμός οικονομικής </w:t>
      </w:r>
      <w:r w:rsidRPr="002F5860">
        <w:rPr>
          <w:rFonts w:asciiTheme="minorHAnsi" w:hAnsiTheme="minorHAnsi" w:cstheme="minorHAnsi"/>
          <w:lang w:val="el-GR"/>
        </w:rPr>
        <w:t>ανάπτυξης άνω του 4%, πληθωρισμός σε επίπεδα μικρότερα του 3,0%, περιθώριο ελλείμματος περί</w:t>
      </w:r>
      <w:r w:rsidRPr="00FB6145">
        <w:rPr>
          <w:rFonts w:asciiTheme="minorHAnsi" w:hAnsiTheme="minorHAnsi" w:cstheme="minorHAnsi"/>
          <w:lang w:val="el-GR"/>
        </w:rPr>
        <w:t xml:space="preserve"> το 1% του ΑΕΠ και παράλληλη μείωση του δημοσίου χρέους κάτω του 70% του ΑΕΠ. </w:t>
      </w:r>
    </w:p>
    <w:p w:rsidR="004E3872" w:rsidRPr="00FB6145" w:rsidRDefault="004E3872" w:rsidP="004E3872">
      <w:pPr>
        <w:jc w:val="both"/>
        <w:rPr>
          <w:rFonts w:asciiTheme="minorHAnsi" w:hAnsiTheme="minorHAnsi" w:cstheme="minorHAnsi"/>
          <w:lang w:val="el-GR"/>
        </w:rPr>
      </w:pPr>
      <w:r w:rsidRPr="00FB6145">
        <w:rPr>
          <w:rFonts w:asciiTheme="minorHAnsi" w:hAnsiTheme="minorHAnsi" w:cstheme="minorHAnsi"/>
          <w:lang w:val="el-GR"/>
        </w:rPr>
        <w:t xml:space="preserve">Για την επίτευξη του στόχου, η οικονομική πολιτική θα βασιζόταν σε δύο άξονες: α) μείωση φόρων και δημόσιου χρέους </w:t>
      </w:r>
      <w:r w:rsidR="00214237">
        <w:rPr>
          <w:rFonts w:asciiTheme="minorHAnsi" w:hAnsiTheme="minorHAnsi" w:cstheme="minorHAnsi"/>
          <w:lang w:val="el-GR"/>
        </w:rPr>
        <w:t xml:space="preserve"> </w:t>
      </w:r>
      <w:r w:rsidRPr="00FB6145">
        <w:rPr>
          <w:rFonts w:asciiTheme="minorHAnsi" w:hAnsiTheme="minorHAnsi" w:cstheme="minorHAnsi"/>
          <w:lang w:val="el-GR"/>
        </w:rPr>
        <w:t xml:space="preserve">β) αύξηση μισθών, επενδύσεων και απασχόλησης. </w:t>
      </w:r>
    </w:p>
    <w:p w:rsidR="004E3872" w:rsidRPr="00FB6145" w:rsidRDefault="004E3872" w:rsidP="004E3872">
      <w:pPr>
        <w:jc w:val="both"/>
        <w:rPr>
          <w:rFonts w:asciiTheme="minorHAnsi" w:hAnsiTheme="minorHAnsi" w:cstheme="minorHAnsi"/>
          <w:lang w:val="el-GR"/>
        </w:rPr>
      </w:pPr>
    </w:p>
    <w:p w:rsidR="004E3872" w:rsidRPr="002F5860" w:rsidRDefault="004E3872" w:rsidP="004E3872">
      <w:pPr>
        <w:jc w:val="both"/>
        <w:rPr>
          <w:rFonts w:asciiTheme="minorHAnsi" w:hAnsiTheme="minorHAnsi" w:cstheme="minorHAnsi"/>
          <w:lang w:val="el-GR"/>
        </w:rPr>
      </w:pPr>
      <w:r w:rsidRPr="002F5860">
        <w:rPr>
          <w:rFonts w:asciiTheme="minorHAnsi" w:hAnsiTheme="minorHAnsi" w:cstheme="minorHAnsi"/>
          <w:lang w:val="el-GR"/>
        </w:rPr>
        <w:t xml:space="preserve">Όμως, η εξάπλωση, της πανδημίας του </w:t>
      </w:r>
      <w:r w:rsidRPr="002F5860">
        <w:rPr>
          <w:rFonts w:asciiTheme="minorHAnsi" w:hAnsiTheme="minorHAnsi" w:cstheme="minorHAnsi"/>
          <w:b/>
          <w:lang w:val="el-GR"/>
        </w:rPr>
        <w:t>COVID-19</w:t>
      </w:r>
      <w:r w:rsidRPr="002F5860">
        <w:rPr>
          <w:rFonts w:asciiTheme="minorHAnsi" w:hAnsiTheme="minorHAnsi" w:cstheme="minorHAnsi"/>
          <w:lang w:val="el-GR"/>
        </w:rPr>
        <w:t xml:space="preserve"> και οι οικονομικές επιπτώσεις της, υποχρέωσαν την </w:t>
      </w:r>
    </w:p>
    <w:p w:rsidR="004E3872" w:rsidRDefault="004E3872" w:rsidP="004E3872">
      <w:pPr>
        <w:jc w:val="both"/>
        <w:rPr>
          <w:rFonts w:asciiTheme="minorHAnsi" w:hAnsiTheme="minorHAnsi" w:cstheme="minorHAnsi"/>
          <w:b/>
          <w:lang w:val="el-GR"/>
        </w:rPr>
      </w:pPr>
      <w:r w:rsidRPr="002F5860">
        <w:rPr>
          <w:rFonts w:asciiTheme="minorHAnsi" w:hAnsiTheme="minorHAnsi" w:cstheme="minorHAnsi"/>
          <w:lang w:val="el-GR"/>
        </w:rPr>
        <w:t>κυβέρνηση σε αναθεώρηση των στόχων της. Η Κεντρική Τράπεζα (MNB), στην προσπάθειά της να ελαφρύνει από τα οικονομικά βάρη τις επιχειρήσεις, πρότεινε πάγωμα, μέχρι τέλους του 2020, όλων των υποχρεώσεων αποπληρωμής εταιρικών δανείων. Αυτό προκάλεσε πτώση της συναλλαγματικής</w:t>
      </w:r>
      <w:r w:rsidRPr="00FB6145">
        <w:rPr>
          <w:rFonts w:asciiTheme="minorHAnsi" w:hAnsiTheme="minorHAnsi" w:cstheme="minorHAnsi"/>
          <w:lang w:val="el-GR"/>
        </w:rPr>
        <w:t xml:space="preserve"> ισοτιμίας του εθνικού νομίσματος, αναγκάζοντας την ΜΝΒ να ενσταλάξει 150 </w:t>
      </w:r>
      <w:proofErr w:type="spellStart"/>
      <w:r w:rsidRPr="00FB6145">
        <w:rPr>
          <w:rFonts w:asciiTheme="minorHAnsi" w:hAnsiTheme="minorHAnsi" w:cstheme="minorHAnsi"/>
          <w:lang w:val="el-GR"/>
        </w:rPr>
        <w:t>δισεκ</w:t>
      </w:r>
      <w:proofErr w:type="spellEnd"/>
      <w:r w:rsidRPr="00FB6145">
        <w:rPr>
          <w:rFonts w:asciiTheme="minorHAnsi" w:hAnsiTheme="minorHAnsi" w:cstheme="minorHAnsi"/>
          <w:lang w:val="el-GR"/>
        </w:rPr>
        <w:t>. HUF στο τραπεζικό σύστημα της χώρας για να ενισχύσει τη ρευστότητα. Ταυτόχρονα, ο δείκτης BUX του Χρηματιστηρίου Αξιών Βουδαπέστης υποχώρησε κατά αρκετές μονάδες, αντικατοπτρίζοντας τις ανησυχίες των αγορών για τις οικονομικές επιπτώσεις του COVID-19 στην παγκόσμια οικονομία. Στη συνέχεια, η ΜΝΒ αναγκάστηκε σε νέα παρέμβαση, αυξάνοντας τα  βραχυπρόθεσμα επιτόκια, προκειμένου να ανακόψει τη διολίσθηση του φιορινιού</w:t>
      </w:r>
      <w:r w:rsidRPr="002F5860">
        <w:rPr>
          <w:rFonts w:asciiTheme="minorHAnsi" w:hAnsiTheme="minorHAnsi" w:cstheme="minorHAnsi"/>
          <w:b/>
          <w:lang w:val="el-GR"/>
        </w:rPr>
        <w:t>. Οι δύο αυτές παρεμβάσεις της ΜΝΒ σηματοδότησαν το τέλος μιας εξαιρετικά χαλαρής νομισματικής πολιτικής που ακολουθούσε τα τελευταία χρόνια η Κεντρική Τράπεζα.</w:t>
      </w:r>
    </w:p>
    <w:p w:rsidR="00D45C5C" w:rsidRPr="002F5860" w:rsidRDefault="00D45C5C" w:rsidP="004E3872">
      <w:pPr>
        <w:jc w:val="both"/>
        <w:rPr>
          <w:rFonts w:asciiTheme="minorHAnsi" w:hAnsiTheme="minorHAnsi" w:cstheme="minorHAnsi"/>
          <w:b/>
          <w:lang w:val="el-GR"/>
        </w:rPr>
      </w:pPr>
    </w:p>
    <w:p w:rsidR="004E3872" w:rsidRPr="00FB6145" w:rsidRDefault="004E3872" w:rsidP="004E3872">
      <w:pPr>
        <w:jc w:val="both"/>
        <w:rPr>
          <w:rFonts w:asciiTheme="minorHAnsi" w:hAnsiTheme="minorHAnsi" w:cstheme="minorHAnsi"/>
          <w:lang w:val="el-GR"/>
        </w:rPr>
      </w:pPr>
      <w:r w:rsidRPr="00FB6145">
        <w:rPr>
          <w:rFonts w:asciiTheme="minorHAnsi" w:hAnsiTheme="minorHAnsi" w:cstheme="minorHAnsi"/>
          <w:lang w:val="el-GR"/>
        </w:rPr>
        <w:t>Η αναγκαία πλέον λήψη μέτρων εξαιτίας της κρίσης που προξένησε η πανδημία, εστιάζονταν στην προστασία των θέσεων εργασίας, αλλά και στη δημιουργία νέων θέσεων εργασίας, τουλάχιστον ισάριθμων με αυτών που υπολογίζονταν να χαθούν εξαιτίας της.</w:t>
      </w:r>
    </w:p>
    <w:p w:rsidR="004E3872" w:rsidRPr="00FB6145" w:rsidRDefault="004E3872" w:rsidP="004E3872">
      <w:pPr>
        <w:jc w:val="both"/>
        <w:rPr>
          <w:rFonts w:asciiTheme="minorHAnsi" w:hAnsiTheme="minorHAnsi" w:cstheme="minorHAnsi"/>
          <w:lang w:val="el-GR"/>
        </w:rPr>
      </w:pPr>
    </w:p>
    <w:p w:rsidR="004E3872" w:rsidRPr="002F5860" w:rsidRDefault="004E3872" w:rsidP="004E3872">
      <w:pPr>
        <w:jc w:val="both"/>
        <w:rPr>
          <w:rFonts w:asciiTheme="minorHAnsi" w:hAnsiTheme="minorHAnsi" w:cstheme="minorHAnsi"/>
          <w:lang w:val="el-GR"/>
        </w:rPr>
      </w:pPr>
      <w:r w:rsidRPr="00C42CF3">
        <w:rPr>
          <w:rFonts w:asciiTheme="minorHAnsi" w:hAnsiTheme="minorHAnsi" w:cstheme="minorHAnsi"/>
        </w:rPr>
        <w:t>H</w:t>
      </w:r>
      <w:r w:rsidRPr="00C42CF3">
        <w:rPr>
          <w:rFonts w:asciiTheme="minorHAnsi" w:hAnsiTheme="minorHAnsi" w:cstheme="minorHAnsi"/>
          <w:lang w:val="el-GR"/>
        </w:rPr>
        <w:t xml:space="preserve"> κυβέρνηση, αναθεώρησε τους στόχους της για το 2020, εξήγγειλε, δέσμη μέτρων αναθέρμανσης της οικονομίας, το ύψος της οποίας αντιστοιχούσε στο 18-20% του ΑΕΠ της χώρας, δηλαδή περίπου σε 1,345 </w:t>
      </w:r>
      <w:proofErr w:type="spellStart"/>
      <w:r w:rsidRPr="00C42CF3">
        <w:rPr>
          <w:rFonts w:asciiTheme="minorHAnsi" w:hAnsiTheme="minorHAnsi" w:cstheme="minorHAnsi"/>
          <w:lang w:val="el-GR"/>
        </w:rPr>
        <w:t>τρισεκ</w:t>
      </w:r>
      <w:proofErr w:type="spellEnd"/>
      <w:r w:rsidRPr="00C42CF3">
        <w:rPr>
          <w:rFonts w:asciiTheme="minorHAnsi" w:hAnsiTheme="minorHAnsi" w:cstheme="minorHAnsi"/>
          <w:lang w:val="el-GR"/>
        </w:rPr>
        <w:t xml:space="preserve">. HUF (€3,842 </w:t>
      </w:r>
      <w:proofErr w:type="spellStart"/>
      <w:r w:rsidRPr="00C42CF3">
        <w:rPr>
          <w:rFonts w:asciiTheme="minorHAnsi" w:hAnsiTheme="minorHAnsi" w:cstheme="minorHAnsi"/>
          <w:lang w:val="el-GR"/>
        </w:rPr>
        <w:t>δισεκ</w:t>
      </w:r>
      <w:proofErr w:type="spellEnd"/>
      <w:r w:rsidRPr="00C42CF3">
        <w:rPr>
          <w:rFonts w:asciiTheme="minorHAnsi" w:hAnsiTheme="minorHAnsi" w:cstheme="minorHAnsi"/>
          <w:lang w:val="el-GR"/>
        </w:rPr>
        <w:t>.). Συνοπτικά, τα μέτρα ενίσχυσης της οικονομίας αφορούν σε</w:t>
      </w:r>
      <w:r w:rsidRPr="00FB6145">
        <w:rPr>
          <w:rFonts w:asciiTheme="minorHAnsi" w:hAnsiTheme="minorHAnsi" w:cstheme="minorHAnsi"/>
          <w:lang w:val="el-GR"/>
        </w:rPr>
        <w:t xml:space="preserve"> </w:t>
      </w:r>
      <w:r w:rsidRPr="002F5860">
        <w:rPr>
          <w:rFonts w:asciiTheme="minorHAnsi" w:hAnsiTheme="minorHAnsi" w:cstheme="minorHAnsi"/>
          <w:lang w:val="el-GR"/>
        </w:rPr>
        <w:t xml:space="preserve">αναστολή υποχρεώσεων αποπληρωμής εταιρικών και ιδιωτικών δανείων, αναστολή καταβολής εργοδοτικών εισφορών στους κλάδους της οικονομίας που έχουν πληγεί περισσότερο από τον COVID-19 (τουρισμός, εστίαση, ψυχαγωγία, αθλητισμός, πολιτιστικές εκδηλώσεις, συγκοινωνίες –κυρίως ταξί), μείωση ασφαλιστικών εισφορών των εργαζομένων, μηδενισμό συνταξιοδοτικών εισφορών,  προστασία θέσεων εργασίας, δημιουργία νέων θέσεων εργασίας, ενίσχυση επιλεγμένων τομέων οικονομίας (Τουρισμός, Υγεία, Εστίαση, Γεωργία, Κατασκευές, </w:t>
      </w:r>
      <w:proofErr w:type="spellStart"/>
      <w:r w:rsidRPr="002F5860">
        <w:rPr>
          <w:rFonts w:asciiTheme="minorHAnsi" w:hAnsiTheme="minorHAnsi" w:cstheme="minorHAnsi"/>
          <w:lang w:val="el-GR"/>
        </w:rPr>
        <w:t>Logistics</w:t>
      </w:r>
      <w:proofErr w:type="spellEnd"/>
      <w:r w:rsidRPr="002F5860">
        <w:rPr>
          <w:rFonts w:asciiTheme="minorHAnsi" w:hAnsiTheme="minorHAnsi" w:cstheme="minorHAnsi"/>
          <w:lang w:val="el-GR"/>
        </w:rPr>
        <w:t xml:space="preserve">, Δημόσιες Συγκοινωνίες, Τέχνες &amp; Θεάματα), ενίσχυση εταιρειών (κυβερνητικές εγγυήσεις €1,42 </w:t>
      </w:r>
      <w:proofErr w:type="spellStart"/>
      <w:r w:rsidRPr="002F5860">
        <w:rPr>
          <w:rFonts w:asciiTheme="minorHAnsi" w:hAnsiTheme="minorHAnsi" w:cstheme="minorHAnsi"/>
          <w:lang w:val="el-GR"/>
        </w:rPr>
        <w:t>δισεκ</w:t>
      </w:r>
      <w:proofErr w:type="spellEnd"/>
      <w:r w:rsidRPr="002F5860">
        <w:rPr>
          <w:rFonts w:asciiTheme="minorHAnsi" w:hAnsiTheme="minorHAnsi" w:cstheme="minorHAnsi"/>
          <w:lang w:val="el-GR"/>
        </w:rPr>
        <w:t xml:space="preserve">. και επιδότηση επιτοκίων για δάνεια  ύψους €5,71 </w:t>
      </w:r>
      <w:proofErr w:type="spellStart"/>
      <w:r w:rsidRPr="002F5860">
        <w:rPr>
          <w:rFonts w:asciiTheme="minorHAnsi" w:hAnsiTheme="minorHAnsi" w:cstheme="minorHAnsi"/>
          <w:lang w:val="el-GR"/>
        </w:rPr>
        <w:t>δισεκ</w:t>
      </w:r>
      <w:proofErr w:type="spellEnd"/>
      <w:r w:rsidRPr="002F5860">
        <w:rPr>
          <w:rFonts w:asciiTheme="minorHAnsi" w:hAnsiTheme="minorHAnsi" w:cstheme="minorHAnsi"/>
          <w:lang w:val="el-GR"/>
        </w:rPr>
        <w:t>.), ενίσχυση οικογενειών και συνταξιούχων.</w:t>
      </w:r>
    </w:p>
    <w:p w:rsidR="004E3872" w:rsidRPr="00C42CF3" w:rsidRDefault="004E3872" w:rsidP="004E3872">
      <w:pPr>
        <w:jc w:val="both"/>
        <w:rPr>
          <w:rFonts w:asciiTheme="minorHAnsi" w:hAnsiTheme="minorHAnsi" w:cstheme="minorHAnsi"/>
          <w:lang w:val="el-GR"/>
        </w:rPr>
      </w:pPr>
      <w:r w:rsidRPr="00C42CF3">
        <w:rPr>
          <w:rFonts w:asciiTheme="minorHAnsi" w:hAnsiTheme="minorHAnsi" w:cstheme="minorHAnsi"/>
          <w:lang w:val="el-GR"/>
        </w:rPr>
        <w:t xml:space="preserve">Οι απαιτούμενοι πόροι για την υλοποίηση των μέτρων, προέρχονται από περικοπή 50% της επιδότησης των κομμάτων (€3,2 εκ.), από έσοδα των δήμων (υπολογίζονται έσοδα 34 </w:t>
      </w:r>
      <w:proofErr w:type="spellStart"/>
      <w:r w:rsidRPr="00C42CF3">
        <w:rPr>
          <w:rFonts w:asciiTheme="minorHAnsi" w:hAnsiTheme="minorHAnsi" w:cstheme="minorHAnsi"/>
          <w:lang w:val="el-GR"/>
        </w:rPr>
        <w:t>δισεκ</w:t>
      </w:r>
      <w:proofErr w:type="spellEnd"/>
      <w:r w:rsidRPr="00C42CF3">
        <w:rPr>
          <w:rFonts w:asciiTheme="minorHAnsi" w:hAnsiTheme="minorHAnsi" w:cstheme="minorHAnsi"/>
          <w:lang w:val="el-GR"/>
        </w:rPr>
        <w:t xml:space="preserve">. HUF, περίπου €97,1 εκ.), καθώς και από νέους ειδικούς φόρους που επιβλήθηκαν στις τράπεζες και  στις πολυεθνικές εταιρείες λιανικού εμπορίου. </w:t>
      </w:r>
    </w:p>
    <w:p w:rsidR="004E3872" w:rsidRPr="00C42CF3" w:rsidRDefault="004E3872" w:rsidP="004E3872">
      <w:pPr>
        <w:jc w:val="both"/>
        <w:rPr>
          <w:rFonts w:asciiTheme="minorHAnsi" w:hAnsiTheme="minorHAnsi" w:cstheme="minorHAnsi"/>
          <w:lang w:val="el-GR"/>
        </w:rPr>
      </w:pPr>
    </w:p>
    <w:p w:rsidR="004E3872" w:rsidRPr="005C4B2E" w:rsidRDefault="004E3872" w:rsidP="004E3872">
      <w:pPr>
        <w:jc w:val="both"/>
        <w:rPr>
          <w:rFonts w:asciiTheme="minorHAnsi" w:hAnsiTheme="minorHAnsi" w:cstheme="minorHAnsi"/>
          <w:lang w:val="el-GR"/>
        </w:rPr>
      </w:pPr>
      <w:r w:rsidRPr="005C4B2E">
        <w:rPr>
          <w:rFonts w:asciiTheme="minorHAnsi" w:hAnsiTheme="minorHAnsi" w:cstheme="minorHAnsi"/>
          <w:lang w:val="el-GR"/>
        </w:rPr>
        <w:t xml:space="preserve">Σημαντικό ρόλο στην αντοχή της ουγγρικής οικονομίας εν μέσω πανδημίας, είχαν οι άμεσες ξένες επενδύσεις (ΑΞΕ) στη χώρα. Ο Υπουργός Εξωτερικών και Εμπορίου, κ. </w:t>
      </w:r>
      <w:proofErr w:type="spellStart"/>
      <w:r w:rsidRPr="005C4B2E">
        <w:rPr>
          <w:rFonts w:asciiTheme="minorHAnsi" w:hAnsiTheme="minorHAnsi" w:cstheme="minorHAnsi"/>
          <w:lang w:val="el-GR"/>
        </w:rPr>
        <w:t>Péter</w:t>
      </w:r>
      <w:proofErr w:type="spellEnd"/>
      <w:r w:rsidRPr="005C4B2E">
        <w:rPr>
          <w:rFonts w:asciiTheme="minorHAnsi" w:hAnsiTheme="minorHAnsi" w:cstheme="minorHAnsi"/>
          <w:lang w:val="el-GR"/>
        </w:rPr>
        <w:t xml:space="preserve"> </w:t>
      </w:r>
      <w:proofErr w:type="spellStart"/>
      <w:r w:rsidRPr="005C4B2E">
        <w:rPr>
          <w:rFonts w:asciiTheme="minorHAnsi" w:hAnsiTheme="minorHAnsi" w:cstheme="minorHAnsi"/>
          <w:lang w:val="el-GR"/>
        </w:rPr>
        <w:t>Szijjártó</w:t>
      </w:r>
      <w:proofErr w:type="spellEnd"/>
      <w:r w:rsidRPr="005C4B2E">
        <w:rPr>
          <w:rFonts w:asciiTheme="minorHAnsi" w:hAnsiTheme="minorHAnsi" w:cstheme="minorHAnsi"/>
          <w:lang w:val="el-GR"/>
        </w:rPr>
        <w:t xml:space="preserve">, χαρακτήρισε «εξαιρετικό» το 2020 ως προς την προσέλκυση επενδύσεων στην Ουγγαρία. Με κρατική υποστήριξη, μέσω διαφόρων οικονομικών προγραμμάτων, υλοποιήθηκαν 1.433 επενδύσεις συνολικής αξίας 1.676  </w:t>
      </w:r>
      <w:proofErr w:type="spellStart"/>
      <w:r w:rsidRPr="005C4B2E">
        <w:rPr>
          <w:rFonts w:asciiTheme="minorHAnsi" w:hAnsiTheme="minorHAnsi" w:cstheme="minorHAnsi"/>
          <w:lang w:val="el-GR"/>
        </w:rPr>
        <w:t>τρισεκ</w:t>
      </w:r>
      <w:proofErr w:type="spellEnd"/>
      <w:r w:rsidRPr="005C4B2E">
        <w:rPr>
          <w:rFonts w:asciiTheme="minorHAnsi" w:hAnsiTheme="minorHAnsi" w:cstheme="minorHAnsi"/>
          <w:lang w:val="el-GR"/>
        </w:rPr>
        <w:t xml:space="preserve">. HUF (€4,65 </w:t>
      </w:r>
      <w:proofErr w:type="spellStart"/>
      <w:r w:rsidRPr="005C4B2E">
        <w:rPr>
          <w:rFonts w:asciiTheme="minorHAnsi" w:hAnsiTheme="minorHAnsi" w:cstheme="minorHAnsi"/>
          <w:lang w:val="el-GR"/>
        </w:rPr>
        <w:t>δισεκ</w:t>
      </w:r>
      <w:proofErr w:type="spellEnd"/>
      <w:r w:rsidRPr="005C4B2E">
        <w:rPr>
          <w:rFonts w:asciiTheme="minorHAnsi" w:hAnsiTheme="minorHAnsi" w:cstheme="minorHAnsi"/>
          <w:lang w:val="el-GR"/>
        </w:rPr>
        <w:t xml:space="preserve">.), εκ των οποίων, ποσό 472 </w:t>
      </w:r>
      <w:proofErr w:type="spellStart"/>
      <w:r w:rsidRPr="005C4B2E">
        <w:rPr>
          <w:rFonts w:asciiTheme="minorHAnsi" w:hAnsiTheme="minorHAnsi" w:cstheme="minorHAnsi"/>
          <w:lang w:val="el-GR"/>
        </w:rPr>
        <w:t>δισεκ</w:t>
      </w:r>
      <w:proofErr w:type="spellEnd"/>
      <w:r w:rsidRPr="005C4B2E">
        <w:rPr>
          <w:rFonts w:asciiTheme="minorHAnsi" w:hAnsiTheme="minorHAnsi" w:cstheme="minorHAnsi"/>
          <w:lang w:val="el-GR"/>
        </w:rPr>
        <w:t xml:space="preserve">. HUF (€1,31 </w:t>
      </w:r>
      <w:proofErr w:type="spellStart"/>
      <w:r w:rsidRPr="005C4B2E">
        <w:rPr>
          <w:rFonts w:asciiTheme="minorHAnsi" w:hAnsiTheme="minorHAnsi" w:cstheme="minorHAnsi"/>
          <w:lang w:val="el-GR"/>
        </w:rPr>
        <w:t>δισεκ</w:t>
      </w:r>
      <w:proofErr w:type="spellEnd"/>
      <w:r w:rsidRPr="005C4B2E">
        <w:rPr>
          <w:rFonts w:asciiTheme="minorHAnsi" w:hAnsiTheme="minorHAnsi" w:cstheme="minorHAnsi"/>
          <w:lang w:val="el-GR"/>
        </w:rPr>
        <w:t xml:space="preserve">.) αποτελεί κρατική χρηματοδότηση. Επιπλέον, τα χρηματοδοτούμενα από το κράτος επενδυτικά έργα, δημιούργησαν 12.603 νέες θέσεις εργασίας και βοήθησαν να διατηρηθούν άλλες 264.595. Επισημαίνεται ότι 80% των </w:t>
      </w:r>
      <w:proofErr w:type="spellStart"/>
      <w:r w:rsidRPr="005C4B2E">
        <w:rPr>
          <w:rFonts w:asciiTheme="minorHAnsi" w:hAnsiTheme="minorHAnsi" w:cstheme="minorHAnsi"/>
          <w:lang w:val="el-GR"/>
        </w:rPr>
        <w:t>μικρο</w:t>
      </w:r>
      <w:proofErr w:type="spellEnd"/>
      <w:r w:rsidRPr="005C4B2E">
        <w:rPr>
          <w:rFonts w:asciiTheme="minorHAnsi" w:hAnsiTheme="minorHAnsi" w:cstheme="minorHAnsi"/>
          <w:lang w:val="el-GR"/>
        </w:rPr>
        <w:t>-μεσαίων επιχειρήσεων που ενεπλάκησαν σε επενδυτικά έργα, ήταν ουγγρικών συμφερόντων.</w:t>
      </w:r>
    </w:p>
    <w:p w:rsidR="004E3872" w:rsidRPr="002F5860" w:rsidRDefault="004E3872" w:rsidP="004E3872">
      <w:pPr>
        <w:jc w:val="both"/>
        <w:rPr>
          <w:rFonts w:asciiTheme="minorHAnsi" w:hAnsiTheme="minorHAnsi" w:cstheme="minorHAnsi"/>
          <w:lang w:val="el-GR"/>
        </w:rPr>
      </w:pPr>
    </w:p>
    <w:p w:rsidR="004E3872" w:rsidRPr="004E3872" w:rsidRDefault="004E3872" w:rsidP="004E3872">
      <w:pPr>
        <w:jc w:val="both"/>
        <w:rPr>
          <w:rFonts w:asciiTheme="minorHAnsi" w:hAnsiTheme="minorHAnsi" w:cstheme="minorHAnsi"/>
          <w:lang w:val="el-GR"/>
        </w:rPr>
      </w:pPr>
      <w:r w:rsidRPr="00C42CF3">
        <w:rPr>
          <w:rFonts w:asciiTheme="minorHAnsi" w:hAnsiTheme="minorHAnsi" w:cstheme="minorHAnsi"/>
          <w:lang w:val="el-GR"/>
        </w:rPr>
        <w:t xml:space="preserve">Σύμφωνα, εξάλλου, με επεξεργασμένα στοιχεία της UNCTAD, </w:t>
      </w:r>
      <w:r w:rsidRPr="00C42CF3">
        <w:rPr>
          <w:rFonts w:asciiTheme="minorHAnsi" w:hAnsiTheme="minorHAnsi" w:cstheme="minorHAnsi"/>
        </w:rPr>
        <w:t>o</w:t>
      </w:r>
      <w:r w:rsidRPr="00C42CF3">
        <w:rPr>
          <w:rFonts w:asciiTheme="minorHAnsi" w:hAnsiTheme="minorHAnsi" w:cstheme="minorHAnsi"/>
          <w:lang w:val="el-GR"/>
        </w:rPr>
        <w:t>ι ΑΞΕ υπολογίζονται σε περίπου €</w:t>
      </w:r>
      <w:r w:rsidR="00D45C5C">
        <w:rPr>
          <w:rFonts w:asciiTheme="minorHAnsi" w:hAnsiTheme="minorHAnsi" w:cstheme="minorHAnsi"/>
          <w:lang w:val="el-GR"/>
        </w:rPr>
        <w:t xml:space="preserve"> </w:t>
      </w:r>
      <w:r w:rsidRPr="00C42CF3">
        <w:rPr>
          <w:rFonts w:asciiTheme="minorHAnsi" w:hAnsiTheme="minorHAnsi" w:cstheme="minorHAnsi"/>
          <w:lang w:val="el-GR"/>
        </w:rPr>
        <w:t xml:space="preserve">90 </w:t>
      </w:r>
      <w:proofErr w:type="spellStart"/>
      <w:r w:rsidRPr="00C42CF3">
        <w:rPr>
          <w:rFonts w:asciiTheme="minorHAnsi" w:hAnsiTheme="minorHAnsi" w:cstheme="minorHAnsi"/>
          <w:lang w:val="el-GR"/>
        </w:rPr>
        <w:t>δισεκ</w:t>
      </w:r>
      <w:proofErr w:type="spellEnd"/>
      <w:r w:rsidRPr="00C42CF3">
        <w:rPr>
          <w:rFonts w:asciiTheme="minorHAnsi" w:hAnsiTheme="minorHAnsi" w:cstheme="minorHAnsi"/>
          <w:lang w:val="el-GR"/>
        </w:rPr>
        <w:t xml:space="preserve">., ποσό που σε σχέση με το ΑΕΠ είναι το υψηλότερο μεταξύ των χωρών της Κεντρικής και Ανατολικής Ευρώπης. </w:t>
      </w:r>
    </w:p>
    <w:p w:rsidR="004E3872" w:rsidRPr="004E3872" w:rsidRDefault="004E3872" w:rsidP="004E3872">
      <w:pPr>
        <w:jc w:val="both"/>
        <w:rPr>
          <w:rFonts w:asciiTheme="minorHAnsi" w:hAnsiTheme="minorHAnsi" w:cstheme="minorHAnsi"/>
          <w:lang w:val="el-GR"/>
        </w:rPr>
      </w:pPr>
    </w:p>
    <w:p w:rsidR="004E3872" w:rsidRPr="004E3872" w:rsidRDefault="004E3872" w:rsidP="004E3872">
      <w:pPr>
        <w:jc w:val="both"/>
        <w:rPr>
          <w:rFonts w:asciiTheme="minorHAnsi" w:hAnsiTheme="minorHAnsi" w:cstheme="minorHAnsi"/>
          <w:lang w:val="el-GR"/>
        </w:rPr>
      </w:pPr>
      <w:r w:rsidRPr="00C42CF3">
        <w:rPr>
          <w:rFonts w:asciiTheme="minorHAnsi" w:hAnsiTheme="minorHAnsi" w:cstheme="minorHAnsi"/>
          <w:lang w:val="el-GR"/>
        </w:rPr>
        <w:t xml:space="preserve">Παραδοσιακά, το μεγαλύτερο μέρος (πάνω από 70%) των ΑΞΕ, προέρχεται από κ-μ της Ε.Ε. (εκ του οποίου, πάνω από 20% προέρχεται από την Γερμανία). Υπενθυμίζεται ότι </w:t>
      </w:r>
      <w:r w:rsidRPr="00C42CF3">
        <w:rPr>
          <w:rFonts w:asciiTheme="minorHAnsi" w:hAnsiTheme="minorHAnsi" w:cstheme="minorHAnsi"/>
          <w:b/>
          <w:lang w:val="el-GR"/>
        </w:rPr>
        <w:t>το 2019 το 48% της συνολικής επενδυτικής αξίας των ΑΞΕ προήλθε από την Ν. Κορέα,</w:t>
      </w:r>
      <w:r w:rsidRPr="00C42CF3">
        <w:rPr>
          <w:rFonts w:asciiTheme="minorHAnsi" w:hAnsiTheme="minorHAnsi" w:cstheme="minorHAnsi"/>
          <w:lang w:val="el-GR"/>
        </w:rPr>
        <w:t xml:space="preserve"> η οποία, αξιοποιώντας την πολιτική «Άνοιγμα στην Ανατολή» της ουγγρικής κυβέρνησης, εκτόπισε την Γερμανία στη δεύτερη θέση (παραδοσιακό εμπορικό και επενδυτικό εταίρο της Ουγγαρίας), ενώ ακόμα μία ασιατική χώρα, η Ιαπωνία, κατέλαβε την τρίτη θέση. </w:t>
      </w:r>
    </w:p>
    <w:p w:rsidR="004E3872" w:rsidRPr="004E3872" w:rsidRDefault="004E3872" w:rsidP="004E3872">
      <w:pPr>
        <w:jc w:val="both"/>
        <w:rPr>
          <w:rFonts w:asciiTheme="minorHAnsi" w:hAnsiTheme="minorHAnsi" w:cstheme="minorHAnsi"/>
          <w:lang w:val="el-GR"/>
        </w:rPr>
      </w:pPr>
    </w:p>
    <w:p w:rsidR="004E3872" w:rsidRPr="00C42CF3" w:rsidRDefault="004E3872" w:rsidP="004E3872">
      <w:pPr>
        <w:jc w:val="both"/>
        <w:rPr>
          <w:rFonts w:asciiTheme="minorHAnsi" w:hAnsiTheme="minorHAnsi" w:cstheme="minorHAnsi"/>
          <w:lang w:val="el-GR"/>
        </w:rPr>
      </w:pPr>
      <w:r w:rsidRPr="00C42CF3">
        <w:rPr>
          <w:rFonts w:asciiTheme="minorHAnsi" w:hAnsiTheme="minorHAnsi" w:cstheme="minorHAnsi"/>
          <w:lang w:val="el-GR"/>
        </w:rPr>
        <w:t xml:space="preserve">Εντούτοις, </w:t>
      </w:r>
      <w:r w:rsidRPr="00945BD7">
        <w:rPr>
          <w:rFonts w:asciiTheme="minorHAnsi" w:hAnsiTheme="minorHAnsi" w:cstheme="minorHAnsi"/>
          <w:b/>
          <w:lang w:val="el-GR"/>
        </w:rPr>
        <w:t>το 2020</w:t>
      </w:r>
      <w:r w:rsidRPr="00C42CF3">
        <w:rPr>
          <w:rFonts w:asciiTheme="minorHAnsi" w:hAnsiTheme="minorHAnsi" w:cstheme="minorHAnsi"/>
          <w:lang w:val="el-GR"/>
        </w:rPr>
        <w:t xml:space="preserve">, σύμφωνα με στοιχεία της Εθνικής Στατιστικής Υπηρεσίας Ουγγαρίας, το σύνολο των επενδυμένων κινεζικών κεφαλαίων στην Ουγγαρία, ξεπέρασε τα $5,5 </w:t>
      </w:r>
      <w:proofErr w:type="spellStart"/>
      <w:r w:rsidRPr="00C42CF3">
        <w:rPr>
          <w:rFonts w:asciiTheme="minorHAnsi" w:hAnsiTheme="minorHAnsi" w:cstheme="minorHAnsi"/>
          <w:lang w:val="el-GR"/>
        </w:rPr>
        <w:t>δισεκ</w:t>
      </w:r>
      <w:proofErr w:type="spellEnd"/>
      <w:r w:rsidRPr="00C42CF3">
        <w:rPr>
          <w:rFonts w:asciiTheme="minorHAnsi" w:hAnsiTheme="minorHAnsi" w:cstheme="minorHAnsi"/>
          <w:lang w:val="el-GR"/>
        </w:rPr>
        <w:t xml:space="preserve">., </w:t>
      </w:r>
      <w:r w:rsidRPr="00945BD7">
        <w:rPr>
          <w:rFonts w:asciiTheme="minorHAnsi" w:hAnsiTheme="minorHAnsi" w:cstheme="minorHAnsi"/>
          <w:b/>
          <w:lang w:val="el-GR"/>
        </w:rPr>
        <w:t>αναδεικνύοντας την Κίνα ως τον σημαντικότερο επενδυτικό εταίρο της Ουγγαρίας.</w:t>
      </w:r>
      <w:r w:rsidRPr="00C42CF3">
        <w:rPr>
          <w:rFonts w:asciiTheme="minorHAnsi" w:hAnsiTheme="minorHAnsi" w:cstheme="minorHAnsi"/>
          <w:lang w:val="el-GR"/>
        </w:rPr>
        <w:t xml:space="preserve"> Πράγματι, το 2020, η Κίνα, με επενδύσεις ύψους με €664 εκ. (27,1% του συνόλου των άμεσων ξένων επενδύσεων στην Ουγγαρία) κατατάσσεται στην πρώτη θέση μεταξύ των ξένων επενδυτών, και την δεύτερη θέση καταλαμβάνει η Ν. Κορέα με €436 εκ. (17,8%).</w:t>
      </w:r>
    </w:p>
    <w:p w:rsidR="004E3872" w:rsidRPr="002F5860" w:rsidRDefault="004E3872" w:rsidP="004E3872">
      <w:pPr>
        <w:jc w:val="both"/>
        <w:rPr>
          <w:rFonts w:asciiTheme="minorHAnsi" w:hAnsiTheme="minorHAnsi" w:cstheme="minorHAnsi"/>
          <w:b/>
          <w:lang w:val="el-GR"/>
        </w:rPr>
      </w:pPr>
    </w:p>
    <w:p w:rsidR="004E3872" w:rsidRDefault="004E3872" w:rsidP="004E3872">
      <w:pPr>
        <w:jc w:val="both"/>
        <w:rPr>
          <w:rFonts w:asciiTheme="minorHAnsi" w:hAnsiTheme="minorHAnsi" w:cstheme="minorHAnsi"/>
          <w:lang w:val="el-GR"/>
        </w:rPr>
      </w:pPr>
      <w:r w:rsidRPr="00945BD7">
        <w:rPr>
          <w:rFonts w:asciiTheme="minorHAnsi" w:hAnsiTheme="minorHAnsi" w:cstheme="minorHAnsi"/>
          <w:b/>
          <w:lang w:val="el-GR"/>
        </w:rPr>
        <w:t xml:space="preserve">Το 2021, η Ουγγαρία σημείωσε ρεκόρ επενδυτικού όγκου, ύψους €5,9 </w:t>
      </w:r>
      <w:proofErr w:type="spellStart"/>
      <w:r w:rsidRPr="00945BD7">
        <w:rPr>
          <w:rFonts w:asciiTheme="minorHAnsi" w:hAnsiTheme="minorHAnsi" w:cstheme="minorHAnsi"/>
          <w:b/>
          <w:lang w:val="el-GR"/>
        </w:rPr>
        <w:t>δισεκ</w:t>
      </w:r>
      <w:proofErr w:type="spellEnd"/>
      <w:r w:rsidRPr="00945BD7">
        <w:rPr>
          <w:rFonts w:asciiTheme="minorHAnsi" w:hAnsiTheme="minorHAnsi" w:cstheme="minorHAnsi"/>
          <w:b/>
          <w:lang w:val="el-GR"/>
        </w:rPr>
        <w:t xml:space="preserve">. ευρώ και τη μεγαλύτερη μεμονωμένη επένδυση </w:t>
      </w:r>
      <w:proofErr w:type="spellStart"/>
      <w:r w:rsidRPr="00945BD7">
        <w:rPr>
          <w:rFonts w:asciiTheme="minorHAnsi" w:hAnsiTheme="minorHAnsi" w:cstheme="minorHAnsi"/>
          <w:b/>
          <w:lang w:val="el-GR"/>
        </w:rPr>
        <w:t>Greenfield</w:t>
      </w:r>
      <w:proofErr w:type="spellEnd"/>
      <w:r w:rsidRPr="00945BD7">
        <w:rPr>
          <w:rFonts w:asciiTheme="minorHAnsi" w:hAnsiTheme="minorHAnsi" w:cstheme="minorHAnsi"/>
          <w:b/>
          <w:lang w:val="el-GR"/>
        </w:rPr>
        <w:t xml:space="preserve"> από ποτέ.</w:t>
      </w:r>
      <w:r w:rsidRPr="002F5860">
        <w:rPr>
          <w:rFonts w:asciiTheme="minorHAnsi" w:hAnsiTheme="minorHAnsi" w:cstheme="minorHAnsi"/>
          <w:lang w:val="el-GR"/>
        </w:rPr>
        <w:t xml:space="preserve"> Από τα 96 μεγάλα έργα ΑΞΕ που πραγματοποιήθηκαν, οκτώ συμφωνίες υπερέβησαν το επενδυτικό κεφάλαιο των €100 εκατ. έκαστη. Το 2021, στο τοπίο των ΑΞΕ κυριάρχησαν κεφάλαια προερχόμενα από ασιατικές χώρες κατέχοντας περίπου το 60% του επενδυτικού μεριδίου, ενώ οι τομείς προηγμένης τεχνολογίας προσέλκυσαν τα περισσότερα κεφάλαια από την αλλοδαπή. </w:t>
      </w:r>
    </w:p>
    <w:p w:rsidR="00D45C5C" w:rsidRPr="002F5860" w:rsidRDefault="00D45C5C" w:rsidP="004E3872">
      <w:pPr>
        <w:jc w:val="both"/>
        <w:rPr>
          <w:rFonts w:asciiTheme="minorHAnsi" w:hAnsiTheme="minorHAnsi" w:cstheme="minorHAnsi"/>
          <w:lang w:val="el-GR"/>
        </w:rPr>
      </w:pPr>
    </w:p>
    <w:p w:rsidR="004E3872" w:rsidRPr="002F5860" w:rsidRDefault="004E3872" w:rsidP="004E3872">
      <w:pPr>
        <w:ind w:firstLine="720"/>
        <w:jc w:val="both"/>
        <w:rPr>
          <w:rFonts w:asciiTheme="minorHAnsi" w:hAnsiTheme="minorHAnsi" w:cstheme="minorHAnsi"/>
          <w:lang w:val="el-GR"/>
        </w:rPr>
      </w:pPr>
      <w:r w:rsidRPr="002F5860">
        <w:rPr>
          <w:rFonts w:asciiTheme="minorHAnsi" w:hAnsiTheme="minorHAnsi" w:cstheme="minorHAnsi"/>
          <w:lang w:val="el-GR"/>
        </w:rPr>
        <w:t xml:space="preserve">Οι ΑΞΕ στην Ουγγαρία επικεντρώνονται κυρίως στην αυτοκινητοβιομηχανία, στην πληροφορική, στα ηλεκτρονικά, στις υπηρεσίες </w:t>
      </w:r>
      <w:r w:rsidRPr="002F5860">
        <w:rPr>
          <w:rFonts w:asciiTheme="minorHAnsi" w:hAnsiTheme="minorHAnsi" w:cstheme="minorHAnsi"/>
          <w:lang w:val="hu-HU"/>
        </w:rPr>
        <w:t>logistics</w:t>
      </w:r>
      <w:r w:rsidRPr="002F5860">
        <w:rPr>
          <w:rFonts w:asciiTheme="minorHAnsi" w:hAnsiTheme="minorHAnsi" w:cstheme="minorHAnsi"/>
          <w:lang w:val="el-GR"/>
        </w:rPr>
        <w:t xml:space="preserve"> και πιο πρόσφατα στον τομέα υπηρεσιών (</w:t>
      </w:r>
      <w:r w:rsidRPr="002F5860">
        <w:rPr>
          <w:rFonts w:asciiTheme="minorHAnsi" w:hAnsiTheme="minorHAnsi" w:cstheme="minorHAnsi"/>
          <w:lang w:val="hu-HU"/>
        </w:rPr>
        <w:t>call centers</w:t>
      </w:r>
      <w:r w:rsidRPr="002F5860">
        <w:rPr>
          <w:rFonts w:asciiTheme="minorHAnsi" w:hAnsiTheme="minorHAnsi" w:cstheme="minorHAnsi"/>
          <w:lang w:val="el-GR"/>
        </w:rPr>
        <w:t xml:space="preserve">). Εντούτοις, η αυξημένη εισροή των ΑΞΕ, δημιούργησε σε κάποιες περιπτώσεις μια «διπλή οικονομία». </w:t>
      </w:r>
      <w:r w:rsidRPr="005C4B2E">
        <w:rPr>
          <w:rFonts w:asciiTheme="minorHAnsi" w:hAnsiTheme="minorHAnsi" w:cstheme="minorHAnsi"/>
          <w:lang w:val="el-GR"/>
        </w:rPr>
        <w:t>Οι ΑΞΕ, κυρίως προήλθαν από πολυεθνικές οι οποίες μετέφεραν την παραγωγική τους διαδικασία στην Ουγγαρία.</w:t>
      </w:r>
      <w:r w:rsidRPr="002F5860">
        <w:rPr>
          <w:rFonts w:asciiTheme="minorHAnsi" w:hAnsiTheme="minorHAnsi" w:cstheme="minorHAnsi"/>
          <w:lang w:val="el-GR"/>
        </w:rPr>
        <w:t xml:space="preserve"> Η μείωση του συντελεστή φορολογίας των εταιρειών, δημιούργησε ακόμη πιο φιλικό επιχειρηματικό περιβάλλον στην Ουγγαρία και σύμφωνα με εκτιμήσεις του ΟΟΣΑ, θα οδηγήσει, σε βάθος δεκαετίας, σε αύξηση του ρυθμού οικονομικής ανάπτυξης</w:t>
      </w:r>
      <w:r w:rsidR="00D45C5C">
        <w:rPr>
          <w:rFonts w:asciiTheme="minorHAnsi" w:hAnsiTheme="minorHAnsi" w:cstheme="minorHAnsi"/>
          <w:lang w:val="el-GR"/>
        </w:rPr>
        <w:t xml:space="preserve"> κατά</w:t>
      </w:r>
      <w:r>
        <w:rPr>
          <w:rFonts w:asciiTheme="minorHAnsi" w:hAnsiTheme="minorHAnsi" w:cstheme="minorHAnsi"/>
          <w:lang w:val="el-GR"/>
        </w:rPr>
        <w:t xml:space="preserve"> 0,2%.</w:t>
      </w:r>
      <w:r w:rsidRPr="002F5860">
        <w:rPr>
          <w:rFonts w:asciiTheme="minorHAnsi" w:hAnsiTheme="minorHAnsi" w:cstheme="minorHAnsi"/>
          <w:lang w:val="el-GR"/>
        </w:rPr>
        <w:t xml:space="preserve"> Όμως, τα ενδιάμεσα προϊόντα και πρώτες ύλες που απαιτούνται για την παραγωγή, προέρχονται, συνήθως, από εισαγωγές ή από ξένων συμφερόντων προμηθεύτριες εταιρείες στην Ουγγαρία. Κατά συνέπεια οι εταιρείες ουγγρικής ιδιοκτησίας και κυρίως οι μικρομεσαίες, δεν ωφελούνται από τις ΑΞΕ ούτε ως προς τις πωλήσεις τους, ούτε ως προς την απασχόληση, ούτε και ως προς την παραγωγικότητά τους. Επιπροσθέτως, οι ΑΞΕ ενισχύουν περισσότερο την περιοχή της πρωτευούσης καθώς και τις κοντινότερες σε αυτήν περιφέρειες, αφήνοντας εντελώς ανεπηρέαστες τις πιο απομακρυσμένες και περιοχές της χώρας. </w:t>
      </w:r>
    </w:p>
    <w:p w:rsidR="004E3872" w:rsidRDefault="004E3872" w:rsidP="004E3872">
      <w:pPr>
        <w:ind w:firstLine="720"/>
        <w:jc w:val="both"/>
        <w:rPr>
          <w:rFonts w:asciiTheme="minorHAnsi" w:hAnsiTheme="minorHAnsi" w:cstheme="minorHAnsi"/>
          <w:color w:val="000000" w:themeColor="text1"/>
          <w:lang w:val="el-GR"/>
        </w:rPr>
      </w:pPr>
      <w:r>
        <w:rPr>
          <w:rFonts w:asciiTheme="minorHAnsi" w:hAnsiTheme="minorHAnsi" w:cstheme="minorHAnsi"/>
          <w:lang w:val="el-GR"/>
        </w:rPr>
        <w:t>Σ</w:t>
      </w:r>
      <w:r w:rsidRPr="002F5860">
        <w:rPr>
          <w:rFonts w:asciiTheme="minorHAnsi" w:hAnsiTheme="minorHAnsi" w:cstheme="minorHAnsi"/>
          <w:lang w:val="el-GR"/>
        </w:rPr>
        <w:t xml:space="preserve">ύμφωνα </w:t>
      </w:r>
      <w:r w:rsidRPr="005C4B2E">
        <w:rPr>
          <w:rFonts w:asciiTheme="minorHAnsi" w:hAnsiTheme="minorHAnsi" w:cstheme="minorHAnsi"/>
          <w:lang w:val="el-GR"/>
        </w:rPr>
        <w:t>με το επίσημο περιοδικό «</w:t>
      </w:r>
      <w:proofErr w:type="spellStart"/>
      <w:r w:rsidRPr="005C4B2E">
        <w:rPr>
          <w:rFonts w:asciiTheme="minorHAnsi" w:hAnsiTheme="minorHAnsi" w:cstheme="minorHAnsi"/>
          <w:lang w:val="el-GR"/>
        </w:rPr>
        <w:t>Site</w:t>
      </w:r>
      <w:proofErr w:type="spellEnd"/>
      <w:r w:rsidRPr="005C4B2E">
        <w:rPr>
          <w:rFonts w:asciiTheme="minorHAnsi" w:hAnsiTheme="minorHAnsi" w:cstheme="minorHAnsi"/>
          <w:lang w:val="el-GR"/>
        </w:rPr>
        <w:t xml:space="preserve"> </w:t>
      </w:r>
      <w:proofErr w:type="spellStart"/>
      <w:r w:rsidRPr="005C4B2E">
        <w:rPr>
          <w:rFonts w:asciiTheme="minorHAnsi" w:hAnsiTheme="minorHAnsi" w:cstheme="minorHAnsi"/>
          <w:lang w:val="el-GR"/>
        </w:rPr>
        <w:t>Selection</w:t>
      </w:r>
      <w:proofErr w:type="spellEnd"/>
      <w:r w:rsidRPr="005C4B2E">
        <w:rPr>
          <w:rFonts w:asciiTheme="minorHAnsi" w:hAnsiTheme="minorHAnsi" w:cstheme="minorHAnsi"/>
          <w:lang w:val="el-GR"/>
        </w:rPr>
        <w:t>» του Συμβουλίου Διαχείρισης Βιομηχανικών Περιουσιακών Στοιχείων των ΗΠΑ (</w:t>
      </w:r>
      <w:proofErr w:type="spellStart"/>
      <w:r w:rsidRPr="005C4B2E">
        <w:rPr>
          <w:rFonts w:asciiTheme="minorHAnsi" w:hAnsiTheme="minorHAnsi" w:cstheme="minorHAnsi"/>
          <w:lang w:val="el-GR"/>
        </w:rPr>
        <w:t>Industrial</w:t>
      </w:r>
      <w:proofErr w:type="spellEnd"/>
      <w:r w:rsidRPr="005C4B2E">
        <w:rPr>
          <w:rFonts w:asciiTheme="minorHAnsi" w:hAnsiTheme="minorHAnsi" w:cstheme="minorHAnsi"/>
          <w:lang w:val="el-GR"/>
        </w:rPr>
        <w:t xml:space="preserve"> </w:t>
      </w:r>
      <w:proofErr w:type="spellStart"/>
      <w:r w:rsidRPr="005C4B2E">
        <w:rPr>
          <w:rFonts w:asciiTheme="minorHAnsi" w:hAnsiTheme="minorHAnsi" w:cstheme="minorHAnsi"/>
          <w:lang w:val="el-GR"/>
        </w:rPr>
        <w:t>Asset</w:t>
      </w:r>
      <w:proofErr w:type="spellEnd"/>
      <w:r w:rsidRPr="005C4B2E">
        <w:rPr>
          <w:rFonts w:asciiTheme="minorHAnsi" w:hAnsiTheme="minorHAnsi" w:cstheme="minorHAnsi"/>
          <w:lang w:val="el-GR"/>
        </w:rPr>
        <w:t xml:space="preserve"> </w:t>
      </w:r>
      <w:proofErr w:type="spellStart"/>
      <w:r w:rsidRPr="005C4B2E">
        <w:rPr>
          <w:rFonts w:asciiTheme="minorHAnsi" w:hAnsiTheme="minorHAnsi" w:cstheme="minorHAnsi"/>
          <w:lang w:val="el-GR"/>
        </w:rPr>
        <w:t>Management</w:t>
      </w:r>
      <w:proofErr w:type="spellEnd"/>
      <w:r w:rsidRPr="005C4B2E">
        <w:rPr>
          <w:rFonts w:asciiTheme="minorHAnsi" w:hAnsiTheme="minorHAnsi" w:cstheme="minorHAnsi"/>
          <w:lang w:val="el-GR"/>
        </w:rPr>
        <w:t xml:space="preserve"> </w:t>
      </w:r>
      <w:proofErr w:type="spellStart"/>
      <w:r w:rsidRPr="005C4B2E">
        <w:rPr>
          <w:rFonts w:asciiTheme="minorHAnsi" w:hAnsiTheme="minorHAnsi" w:cstheme="minorHAnsi"/>
          <w:lang w:val="el-GR"/>
        </w:rPr>
        <w:t>Council</w:t>
      </w:r>
      <w:proofErr w:type="spellEnd"/>
      <w:r w:rsidRPr="005C4B2E">
        <w:rPr>
          <w:rFonts w:asciiTheme="minorHAnsi" w:hAnsiTheme="minorHAnsi" w:cstheme="minorHAnsi"/>
          <w:lang w:val="el-GR"/>
        </w:rPr>
        <w:t xml:space="preserve">), </w:t>
      </w:r>
      <w:r w:rsidRPr="005C4B2E">
        <w:rPr>
          <w:rFonts w:asciiTheme="minorHAnsi" w:hAnsiTheme="minorHAnsi" w:cstheme="minorHAnsi"/>
          <w:b/>
          <w:lang w:val="el-GR"/>
        </w:rPr>
        <w:t>η Ουγγαρία κατατάσσεται στην 8η θέση μεταξύ των πιο ελκυστικών για επενδύσεις κρατών του κόσμου.</w:t>
      </w:r>
      <w:r w:rsidRPr="005C4B2E">
        <w:rPr>
          <w:rFonts w:asciiTheme="minorHAnsi" w:hAnsiTheme="minorHAnsi" w:cstheme="minorHAnsi"/>
          <w:lang w:val="el-GR"/>
        </w:rPr>
        <w:t xml:space="preserve"> Γερμανία, Μεγάλη Βρετανία και η Κίνα, επίσης συμπεριλαμβάνονται μεταξύ των 10 κορυφαίων επενδυτικών προορισμών παγκοσμίως</w:t>
      </w:r>
      <w:r w:rsidRPr="002F5860">
        <w:rPr>
          <w:rFonts w:asciiTheme="minorHAnsi" w:hAnsiTheme="minorHAnsi" w:cstheme="minorHAnsi"/>
          <w:lang w:val="el-GR"/>
        </w:rPr>
        <w:t>. Στην ίδια θέση κατέταξε επενδυτικά την Ουγγαρία και το περιοδικό «</w:t>
      </w:r>
      <w:proofErr w:type="spellStart"/>
      <w:r w:rsidRPr="002F5860">
        <w:rPr>
          <w:rFonts w:asciiTheme="minorHAnsi" w:hAnsiTheme="minorHAnsi" w:cstheme="minorHAnsi"/>
          <w:lang w:val="el-GR"/>
        </w:rPr>
        <w:t>Global</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Best</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to</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Invest</w:t>
      </w:r>
      <w:proofErr w:type="spellEnd"/>
      <w:r w:rsidRPr="002F5860">
        <w:rPr>
          <w:rFonts w:asciiTheme="minorHAnsi" w:hAnsiTheme="minorHAnsi" w:cstheme="minorHAnsi"/>
          <w:lang w:val="el-GR"/>
        </w:rPr>
        <w:t>», ενώ παράλληλα, ο Ουγγρικός Οργανισμός Προώθησης Επενδύσεων (</w:t>
      </w:r>
      <w:proofErr w:type="spellStart"/>
      <w:r w:rsidRPr="002F5860">
        <w:rPr>
          <w:rFonts w:asciiTheme="minorHAnsi" w:hAnsiTheme="minorHAnsi" w:cstheme="minorHAnsi"/>
          <w:lang w:val="el-GR"/>
        </w:rPr>
        <w:t>Hungarian</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Investment</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Promotion</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Agency</w:t>
      </w:r>
      <w:proofErr w:type="spellEnd"/>
      <w:r w:rsidRPr="002F5860">
        <w:rPr>
          <w:rFonts w:asciiTheme="minorHAnsi" w:hAnsiTheme="minorHAnsi" w:cstheme="minorHAnsi"/>
          <w:lang w:val="el-GR"/>
        </w:rPr>
        <w:t xml:space="preserve">-HIPA), αναγνωρίστηκε ως ο καλύτερος κρατικός επενδυτικός οργανισμός στην Ανατολική Ευρώπη και την Κεντρική Ασία. Για την προσέλκυση νέων επενδύσεων, ο HIPA εστιάζει σε επενδυτικά έργα με μεγάλη προστιθέμενη αξία στους τομείς της βιομηχανίας και της παροχής υπηρεσιών, προσφέροντας κίνητρα σε εταιρείες που υιοθετούν τεχνολογίες ψηφιοποίησης και ρομποτικής και σε όσες εταιρείες προωθούν την έρευνα </w:t>
      </w:r>
      <w:r w:rsidRPr="002F5860">
        <w:rPr>
          <w:rFonts w:asciiTheme="minorHAnsi" w:hAnsiTheme="minorHAnsi" w:cstheme="minorHAnsi"/>
          <w:lang w:val="el-GR"/>
        </w:rPr>
        <w:lastRenderedPageBreak/>
        <w:t>και ανάπτυξη (R&amp;D).</w:t>
      </w:r>
      <w:r>
        <w:rPr>
          <w:rFonts w:asciiTheme="minorHAnsi" w:hAnsiTheme="minorHAnsi" w:cstheme="minorHAnsi"/>
          <w:lang w:val="el-GR"/>
        </w:rPr>
        <w:t xml:space="preserve"> </w:t>
      </w:r>
      <w:r w:rsidRPr="002F5860">
        <w:rPr>
          <w:rFonts w:asciiTheme="minorHAnsi" w:hAnsiTheme="minorHAnsi" w:cstheme="minorHAnsi"/>
          <w:color w:val="000000" w:themeColor="text1"/>
          <w:lang w:val="el-GR"/>
        </w:rPr>
        <w:t xml:space="preserve">Όσον αφορά την πορεία των </w:t>
      </w:r>
      <w:r w:rsidRPr="002F5860">
        <w:rPr>
          <w:rFonts w:asciiTheme="minorHAnsi" w:hAnsiTheme="minorHAnsi" w:cstheme="minorHAnsi"/>
          <w:b/>
          <w:color w:val="000000" w:themeColor="text1"/>
          <w:lang w:val="el-GR"/>
        </w:rPr>
        <w:t>μισθών</w:t>
      </w:r>
      <w:r w:rsidRPr="002F5860">
        <w:rPr>
          <w:rFonts w:asciiTheme="minorHAnsi" w:hAnsiTheme="minorHAnsi" w:cstheme="minorHAnsi"/>
          <w:color w:val="000000" w:themeColor="text1"/>
          <w:lang w:val="el-GR"/>
        </w:rPr>
        <w:t xml:space="preserve"> το 2021, οι μεικτοί, κατά μέσο όρο, σημείωσαν αύξηση της τάξης του 1</w:t>
      </w:r>
      <w:r w:rsidRPr="002F5860">
        <w:rPr>
          <w:rFonts w:asciiTheme="minorHAnsi" w:hAnsiTheme="minorHAnsi" w:cstheme="minorHAnsi"/>
          <w:color w:val="000000" w:themeColor="text1"/>
          <w:lang w:val="hu-HU"/>
        </w:rPr>
        <w:t>3</w:t>
      </w:r>
      <w:r w:rsidRPr="002F5860">
        <w:rPr>
          <w:rFonts w:asciiTheme="minorHAnsi" w:hAnsiTheme="minorHAnsi" w:cstheme="minorHAnsi"/>
          <w:color w:val="000000" w:themeColor="text1"/>
          <w:lang w:val="el-GR"/>
        </w:rPr>
        <w:t>,</w:t>
      </w:r>
      <w:r w:rsidRPr="002F5860">
        <w:rPr>
          <w:rFonts w:asciiTheme="minorHAnsi" w:hAnsiTheme="minorHAnsi" w:cstheme="minorHAnsi"/>
          <w:color w:val="000000" w:themeColor="text1"/>
          <w:lang w:val="hu-HU"/>
        </w:rPr>
        <w:t>7</w:t>
      </w:r>
      <w:r w:rsidRPr="002F5860">
        <w:rPr>
          <w:rFonts w:asciiTheme="minorHAnsi" w:hAnsiTheme="minorHAnsi" w:cstheme="minorHAnsi"/>
          <w:color w:val="000000" w:themeColor="text1"/>
          <w:lang w:val="el-GR"/>
        </w:rPr>
        <w:t>% σε σχέση με το 2020,</w:t>
      </w:r>
      <w:r w:rsidRPr="002F5860">
        <w:rPr>
          <w:rFonts w:asciiTheme="minorHAnsi" w:hAnsiTheme="minorHAnsi" w:cstheme="minorHAnsi"/>
          <w:color w:val="000000" w:themeColor="text1"/>
          <w:lang w:val="hu-HU"/>
        </w:rPr>
        <w:t xml:space="preserve"> </w:t>
      </w:r>
      <w:r w:rsidRPr="002F5860">
        <w:rPr>
          <w:rFonts w:asciiTheme="minorHAnsi" w:hAnsiTheme="minorHAnsi" w:cstheme="minorHAnsi"/>
          <w:color w:val="000000" w:themeColor="text1"/>
          <w:lang w:val="el-GR"/>
        </w:rPr>
        <w:t xml:space="preserve">προσεγγίζοντας τα 467.300 </w:t>
      </w:r>
      <w:r w:rsidRPr="002F5860">
        <w:rPr>
          <w:rFonts w:asciiTheme="minorHAnsi" w:hAnsiTheme="minorHAnsi" w:cstheme="minorHAnsi"/>
          <w:color w:val="000000" w:themeColor="text1"/>
        </w:rPr>
        <w:t>HUF</w:t>
      </w:r>
      <w:r w:rsidRPr="002F5860">
        <w:rPr>
          <w:rFonts w:asciiTheme="minorHAnsi" w:hAnsiTheme="minorHAnsi" w:cstheme="minorHAnsi"/>
          <w:color w:val="000000" w:themeColor="text1"/>
          <w:lang w:val="el-GR"/>
        </w:rPr>
        <w:t>, ενώ αύξηση 14,8% σημείωσε  και ο μέσος καθαρός μισθός (322</w:t>
      </w:r>
      <w:r w:rsidRPr="002F5860">
        <w:rPr>
          <w:rFonts w:asciiTheme="minorHAnsi" w:hAnsiTheme="minorHAnsi" w:cstheme="minorHAnsi"/>
          <w:color w:val="000000" w:themeColor="text1"/>
        </w:rPr>
        <w:t> </w:t>
      </w:r>
      <w:r w:rsidRPr="002F5860">
        <w:rPr>
          <w:rFonts w:asciiTheme="minorHAnsi" w:hAnsiTheme="minorHAnsi" w:cstheme="minorHAnsi"/>
          <w:color w:val="000000" w:themeColor="text1"/>
          <w:lang w:val="el-GR"/>
        </w:rPr>
        <w:t xml:space="preserve">100 </w:t>
      </w:r>
      <w:r w:rsidRPr="002F5860">
        <w:rPr>
          <w:rFonts w:asciiTheme="minorHAnsi" w:hAnsiTheme="minorHAnsi" w:cstheme="minorHAnsi"/>
          <w:color w:val="000000" w:themeColor="text1"/>
        </w:rPr>
        <w:t>HUF</w:t>
      </w:r>
      <w:r w:rsidRPr="002F5860">
        <w:rPr>
          <w:rFonts w:asciiTheme="minorHAnsi" w:hAnsiTheme="minorHAnsi" w:cstheme="minorHAnsi"/>
          <w:color w:val="000000" w:themeColor="text1"/>
          <w:lang w:val="el-GR"/>
        </w:rPr>
        <w:t xml:space="preserve">). Εντούτοις, οι επίσημοι υπολογισμοί για τους μισθούς, λαμβάνουν υπόψη μόνο τις αμοιβές των πλήρους εργασίας εργαζομένων και όχι αυτές των χαμηλότερα αμειβόμενων, μερικής εργασίας, εργαζομένων. Πρέπει να σημειωθεί ότι οι απολύσεις εξαιτίας της πανδημίας έπληξαν κυρίως τους χαμηλόμισθους, συνεπώς δημιουργείται «τεχνητή» αύξηση των μισθών. </w:t>
      </w:r>
    </w:p>
    <w:p w:rsidR="004E3872" w:rsidRDefault="004E3872" w:rsidP="004E3872">
      <w:pPr>
        <w:ind w:firstLine="720"/>
        <w:jc w:val="both"/>
        <w:rPr>
          <w:rFonts w:asciiTheme="minorHAnsi" w:hAnsiTheme="minorHAnsi" w:cstheme="minorHAnsi"/>
          <w:color w:val="000000" w:themeColor="text1"/>
          <w:lang w:val="el-GR"/>
        </w:rPr>
      </w:pPr>
    </w:p>
    <w:p w:rsidR="004E3872" w:rsidRDefault="004E3872" w:rsidP="004E3872">
      <w:pPr>
        <w:jc w:val="both"/>
        <w:rPr>
          <w:rFonts w:asciiTheme="minorHAnsi" w:hAnsiTheme="minorHAnsi" w:cstheme="minorHAnsi"/>
          <w:b/>
          <w:lang w:val="el-GR"/>
        </w:rPr>
      </w:pPr>
      <w:r w:rsidRPr="002F5860">
        <w:rPr>
          <w:rFonts w:asciiTheme="minorHAnsi" w:hAnsiTheme="minorHAnsi" w:cstheme="minorHAnsi"/>
          <w:b/>
          <w:lang w:val="el-GR"/>
        </w:rPr>
        <w:t>Βασικοί οικονομικοί δείκτες</w:t>
      </w:r>
      <w:r>
        <w:rPr>
          <w:rFonts w:asciiTheme="minorHAnsi" w:hAnsiTheme="minorHAnsi" w:cstheme="minorHAnsi"/>
          <w:b/>
          <w:lang w:val="el-GR"/>
        </w:rPr>
        <w:t xml:space="preserve"> </w:t>
      </w:r>
    </w:p>
    <w:p w:rsidR="00995926" w:rsidRPr="002F5860" w:rsidRDefault="00995926" w:rsidP="004E3872">
      <w:pPr>
        <w:jc w:val="both"/>
        <w:rPr>
          <w:rFonts w:asciiTheme="minorHAnsi" w:hAnsiTheme="minorHAnsi" w:cstheme="minorHAnsi"/>
          <w:b/>
          <w:lang w:val="el-GR"/>
        </w:rPr>
      </w:pPr>
    </w:p>
    <w:tbl>
      <w:tblPr>
        <w:tblW w:w="10440" w:type="dxa"/>
        <w:tblInd w:w="-72" w:type="dxa"/>
        <w:tblCellMar>
          <w:left w:w="0" w:type="dxa"/>
          <w:right w:w="0" w:type="dxa"/>
        </w:tblCellMar>
        <w:tblLook w:val="04A0"/>
      </w:tblPr>
      <w:tblGrid>
        <w:gridCol w:w="2587"/>
        <w:gridCol w:w="1062"/>
        <w:gridCol w:w="1043"/>
        <w:gridCol w:w="1052"/>
        <w:gridCol w:w="1136"/>
        <w:gridCol w:w="1230"/>
        <w:gridCol w:w="1230"/>
        <w:gridCol w:w="1100"/>
      </w:tblGrid>
      <w:tr w:rsidR="00D45C5C" w:rsidRPr="002F5860" w:rsidTr="00527344">
        <w:tc>
          <w:tcPr>
            <w:tcW w:w="0" w:type="auto"/>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45C5C" w:rsidRPr="005C4B2E" w:rsidRDefault="00D45C5C" w:rsidP="00B76918">
            <w:pPr>
              <w:spacing w:before="100" w:beforeAutospacing="1" w:after="100" w:afterAutospacing="1"/>
              <w:rPr>
                <w:rFonts w:asciiTheme="minorHAnsi" w:hAnsiTheme="minorHAnsi" w:cstheme="minorHAnsi"/>
                <w:lang w:val="el-GR"/>
              </w:rPr>
            </w:pPr>
            <w:r w:rsidRPr="002F5860">
              <w:rPr>
                <w:rFonts w:asciiTheme="minorHAnsi" w:hAnsiTheme="minorHAnsi" w:cstheme="minorHAnsi"/>
                <w:lang w:val="el-GR"/>
              </w:rPr>
              <w:t> </w:t>
            </w:r>
          </w:p>
        </w:tc>
        <w:tc>
          <w:tcPr>
            <w:tcW w:w="0" w:type="auto"/>
            <w:tcBorders>
              <w:top w:val="double" w:sz="4" w:space="0" w:color="auto"/>
              <w:left w:val="double" w:sz="4" w:space="0" w:color="auto"/>
              <w:bottom w:val="double" w:sz="4"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b/>
                <w:bCs/>
                <w:lang w:val="el-GR"/>
              </w:rPr>
            </w:pPr>
            <w:r w:rsidRPr="002F5860">
              <w:rPr>
                <w:rFonts w:asciiTheme="minorHAnsi" w:hAnsiTheme="minorHAnsi" w:cstheme="minorHAnsi"/>
                <w:b/>
                <w:bCs/>
                <w:lang w:val="el-GR"/>
              </w:rPr>
              <w:t>2016</w:t>
            </w:r>
          </w:p>
        </w:tc>
        <w:tc>
          <w:tcPr>
            <w:tcW w:w="0" w:type="auto"/>
            <w:tcBorders>
              <w:top w:val="double" w:sz="4" w:space="0" w:color="auto"/>
              <w:left w:val="double" w:sz="4" w:space="0" w:color="auto"/>
              <w:bottom w:val="double" w:sz="4"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b/>
                <w:bCs/>
                <w:lang w:val="el-GR"/>
              </w:rPr>
            </w:pPr>
            <w:r w:rsidRPr="002F5860">
              <w:rPr>
                <w:rFonts w:asciiTheme="minorHAnsi" w:hAnsiTheme="minorHAnsi" w:cstheme="minorHAnsi"/>
                <w:b/>
                <w:bCs/>
                <w:lang w:val="el-GR"/>
              </w:rPr>
              <w:t>2017</w:t>
            </w:r>
          </w:p>
        </w:tc>
        <w:tc>
          <w:tcPr>
            <w:tcW w:w="0" w:type="auto"/>
            <w:tcBorders>
              <w:top w:val="double" w:sz="4" w:space="0" w:color="auto"/>
              <w:left w:val="double" w:sz="4" w:space="0" w:color="auto"/>
              <w:bottom w:val="double" w:sz="4"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b/>
                <w:lang w:val="el-GR"/>
              </w:rPr>
            </w:pPr>
            <w:r w:rsidRPr="002F5860">
              <w:rPr>
                <w:rFonts w:asciiTheme="minorHAnsi" w:hAnsiTheme="minorHAnsi" w:cstheme="minorHAnsi"/>
                <w:b/>
                <w:lang w:val="el-GR"/>
              </w:rPr>
              <w:t>2018</w:t>
            </w:r>
          </w:p>
        </w:tc>
        <w:tc>
          <w:tcPr>
            <w:tcW w:w="0" w:type="auto"/>
            <w:tcBorders>
              <w:top w:val="double" w:sz="4" w:space="0" w:color="auto"/>
              <w:left w:val="double" w:sz="4" w:space="0" w:color="auto"/>
              <w:bottom w:val="double" w:sz="4"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b/>
              </w:rPr>
            </w:pPr>
            <w:r w:rsidRPr="002F5860">
              <w:rPr>
                <w:rFonts w:asciiTheme="minorHAnsi" w:hAnsiTheme="minorHAnsi" w:cstheme="minorHAnsi"/>
                <w:b/>
              </w:rPr>
              <w:t>2019</w:t>
            </w:r>
          </w:p>
        </w:tc>
        <w:tc>
          <w:tcPr>
            <w:tcW w:w="0" w:type="auto"/>
            <w:tcBorders>
              <w:top w:val="double" w:sz="4" w:space="0" w:color="auto"/>
              <w:left w:val="double" w:sz="4" w:space="0" w:color="auto"/>
              <w:bottom w:val="double" w:sz="4"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b/>
                <w:lang w:val="el-GR"/>
              </w:rPr>
            </w:pPr>
            <w:r w:rsidRPr="002F5860">
              <w:rPr>
                <w:rFonts w:asciiTheme="minorHAnsi" w:hAnsiTheme="minorHAnsi" w:cstheme="minorHAnsi"/>
                <w:b/>
                <w:lang w:val="el-GR"/>
              </w:rPr>
              <w:t>2020</w:t>
            </w:r>
          </w:p>
        </w:tc>
        <w:tc>
          <w:tcPr>
            <w:tcW w:w="0" w:type="auto"/>
            <w:tcBorders>
              <w:top w:val="double" w:sz="4" w:space="0" w:color="auto"/>
              <w:left w:val="double" w:sz="4" w:space="0" w:color="auto"/>
              <w:bottom w:val="double" w:sz="4"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b/>
                <w:lang w:val="el-GR"/>
              </w:rPr>
            </w:pPr>
            <w:r w:rsidRPr="002F5860">
              <w:rPr>
                <w:rFonts w:asciiTheme="minorHAnsi" w:hAnsiTheme="minorHAnsi" w:cstheme="minorHAnsi"/>
                <w:b/>
                <w:lang w:val="el-GR"/>
              </w:rPr>
              <w:t>2021</w:t>
            </w:r>
          </w:p>
        </w:tc>
        <w:tc>
          <w:tcPr>
            <w:tcW w:w="1100" w:type="dxa"/>
            <w:tcBorders>
              <w:top w:val="double" w:sz="4" w:space="0" w:color="auto"/>
              <w:left w:val="double" w:sz="4" w:space="0" w:color="auto"/>
              <w:bottom w:val="double" w:sz="4"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b/>
                <w:lang w:val="el-GR"/>
              </w:rPr>
            </w:pPr>
            <w:r>
              <w:rPr>
                <w:rFonts w:asciiTheme="minorHAnsi" w:hAnsiTheme="minorHAnsi" w:cstheme="minorHAnsi"/>
                <w:b/>
                <w:lang w:val="el-GR"/>
              </w:rPr>
              <w:t>2022</w:t>
            </w:r>
          </w:p>
        </w:tc>
      </w:tr>
      <w:tr w:rsidR="00D45C5C" w:rsidRPr="002F5860" w:rsidTr="00527344">
        <w:tc>
          <w:tcPr>
            <w:tcW w:w="0" w:type="auto"/>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hideMark/>
          </w:tcPr>
          <w:p w:rsidR="00D45C5C" w:rsidRPr="002F5860" w:rsidRDefault="00D45C5C" w:rsidP="00B76918">
            <w:pPr>
              <w:spacing w:before="100" w:beforeAutospacing="1" w:after="100" w:afterAutospacing="1"/>
              <w:rPr>
                <w:rFonts w:asciiTheme="minorHAnsi" w:hAnsiTheme="minorHAnsi" w:cstheme="minorHAnsi"/>
              </w:rPr>
            </w:pPr>
            <w:r w:rsidRPr="002F5860">
              <w:rPr>
                <w:rFonts w:asciiTheme="minorHAnsi" w:hAnsiTheme="minorHAnsi" w:cstheme="minorHAnsi"/>
                <w:lang w:val="el-GR"/>
              </w:rPr>
              <w:t>ΑΕΠ</w:t>
            </w:r>
          </w:p>
        </w:tc>
        <w:tc>
          <w:tcPr>
            <w:tcW w:w="0" w:type="auto"/>
            <w:tcBorders>
              <w:top w:val="double" w:sz="4" w:space="0" w:color="auto"/>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2,</w:t>
            </w:r>
            <w:r w:rsidRPr="002F5860">
              <w:rPr>
                <w:rFonts w:asciiTheme="minorHAnsi" w:hAnsiTheme="minorHAnsi" w:cstheme="minorHAnsi"/>
              </w:rPr>
              <w:t>2</w:t>
            </w:r>
            <w:r w:rsidRPr="002F5860">
              <w:rPr>
                <w:rFonts w:asciiTheme="minorHAnsi" w:hAnsiTheme="minorHAnsi" w:cstheme="minorHAnsi"/>
                <w:lang w:val="el-GR"/>
              </w:rPr>
              <w:t>%</w:t>
            </w:r>
          </w:p>
        </w:tc>
        <w:tc>
          <w:tcPr>
            <w:tcW w:w="0" w:type="auto"/>
            <w:tcBorders>
              <w:top w:val="double" w:sz="4" w:space="0" w:color="auto"/>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4,</w:t>
            </w:r>
            <w:r w:rsidRPr="002F5860">
              <w:rPr>
                <w:rFonts w:asciiTheme="minorHAnsi" w:hAnsiTheme="minorHAnsi" w:cstheme="minorHAnsi"/>
              </w:rPr>
              <w:t>3</w:t>
            </w:r>
            <w:r w:rsidRPr="002F5860">
              <w:rPr>
                <w:rFonts w:asciiTheme="minorHAnsi" w:hAnsiTheme="minorHAnsi" w:cstheme="minorHAnsi"/>
                <w:lang w:val="el-GR"/>
              </w:rPr>
              <w:t>%</w:t>
            </w:r>
          </w:p>
        </w:tc>
        <w:tc>
          <w:tcPr>
            <w:tcW w:w="0" w:type="auto"/>
            <w:tcBorders>
              <w:top w:val="double" w:sz="4" w:space="0" w:color="auto"/>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5,1%</w:t>
            </w:r>
          </w:p>
        </w:tc>
        <w:tc>
          <w:tcPr>
            <w:tcW w:w="0" w:type="auto"/>
            <w:tcBorders>
              <w:top w:val="double" w:sz="4" w:space="0" w:color="auto"/>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4,9%</w:t>
            </w:r>
          </w:p>
        </w:tc>
        <w:tc>
          <w:tcPr>
            <w:tcW w:w="0" w:type="auto"/>
            <w:tcBorders>
              <w:top w:val="double" w:sz="4" w:space="0" w:color="auto"/>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-5%</w:t>
            </w:r>
          </w:p>
        </w:tc>
        <w:tc>
          <w:tcPr>
            <w:tcW w:w="0" w:type="auto"/>
            <w:tcBorders>
              <w:top w:val="double" w:sz="4" w:space="0" w:color="auto"/>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7,1%</w:t>
            </w:r>
          </w:p>
        </w:tc>
        <w:tc>
          <w:tcPr>
            <w:tcW w:w="1100" w:type="dxa"/>
            <w:tcBorders>
              <w:top w:val="double" w:sz="4" w:space="0" w:color="auto"/>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Pr>
                <w:rFonts w:asciiTheme="minorHAnsi" w:hAnsiTheme="minorHAnsi" w:cstheme="minorHAnsi"/>
                <w:lang w:val="el-GR"/>
              </w:rPr>
              <w:t>4,6%</w:t>
            </w:r>
          </w:p>
        </w:tc>
      </w:tr>
      <w:tr w:rsidR="00D45C5C" w:rsidRPr="002F5860" w:rsidTr="00527344">
        <w:tc>
          <w:tcPr>
            <w:tcW w:w="0" w:type="auto"/>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hideMark/>
          </w:tcPr>
          <w:p w:rsidR="00D45C5C" w:rsidRPr="002F5860" w:rsidRDefault="00D45C5C" w:rsidP="00B76918">
            <w:pPr>
              <w:spacing w:before="100" w:beforeAutospacing="1" w:after="100" w:afterAutospacing="1"/>
              <w:rPr>
                <w:rFonts w:asciiTheme="minorHAnsi" w:hAnsiTheme="minorHAnsi" w:cstheme="minorHAnsi"/>
              </w:rPr>
            </w:pPr>
            <w:r w:rsidRPr="002F5860">
              <w:rPr>
                <w:rFonts w:asciiTheme="minorHAnsi" w:hAnsiTheme="minorHAnsi" w:cstheme="minorHAnsi"/>
                <w:lang w:val="el-GR"/>
              </w:rPr>
              <w:t>Κατά κεφαλή ΑΕΠ</w:t>
            </w:r>
            <w:r w:rsidRPr="002F5860">
              <w:rPr>
                <w:rFonts w:asciiTheme="minorHAnsi" w:hAnsiTheme="minorHAnsi" w:cstheme="minorHAnsi"/>
              </w:rPr>
              <w:t xml:space="preserve"> </w:t>
            </w:r>
            <w:r w:rsidRPr="002F5860">
              <w:rPr>
                <w:rFonts w:asciiTheme="minorHAnsi" w:hAnsiTheme="minorHAnsi" w:cstheme="minorHAnsi"/>
                <w:lang w:val="el-GR"/>
              </w:rPr>
              <w:t>(σε</w:t>
            </w:r>
            <w:r w:rsidRPr="002F5860">
              <w:rPr>
                <w:rFonts w:asciiTheme="minorHAnsi" w:hAnsiTheme="minorHAnsi" w:cstheme="minorHAnsi"/>
              </w:rPr>
              <w:t xml:space="preserve"> </w:t>
            </w:r>
            <w:r w:rsidRPr="002F5860">
              <w:rPr>
                <w:rFonts w:asciiTheme="minorHAnsi" w:hAnsiTheme="minorHAnsi" w:cstheme="minorHAnsi"/>
                <w:lang w:val="el-GR"/>
              </w:rPr>
              <w:t>€)</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11.</w:t>
            </w:r>
            <w:r w:rsidRPr="002F5860">
              <w:rPr>
                <w:rFonts w:asciiTheme="minorHAnsi" w:hAnsiTheme="minorHAnsi" w:cstheme="minorHAnsi"/>
              </w:rPr>
              <w:t>744</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lang w:val="el-GR"/>
              </w:rPr>
              <w:t>1</w:t>
            </w:r>
            <w:r w:rsidRPr="002F5860">
              <w:rPr>
                <w:rFonts w:asciiTheme="minorHAnsi" w:hAnsiTheme="minorHAnsi" w:cstheme="minorHAnsi"/>
              </w:rPr>
              <w:t>2</w:t>
            </w:r>
            <w:r w:rsidRPr="002F5860">
              <w:rPr>
                <w:rFonts w:asciiTheme="minorHAnsi" w:hAnsiTheme="minorHAnsi" w:cstheme="minorHAnsi"/>
                <w:lang w:val="el-GR"/>
              </w:rPr>
              <w:t>.8</w:t>
            </w:r>
            <w:r w:rsidRPr="002F5860">
              <w:rPr>
                <w:rFonts w:asciiTheme="minorHAnsi" w:hAnsiTheme="minorHAnsi" w:cstheme="minorHAnsi"/>
              </w:rPr>
              <w:t>32</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lang w:val="el-GR"/>
              </w:rPr>
              <w:t>13.</w:t>
            </w:r>
            <w:r w:rsidRPr="002F5860">
              <w:rPr>
                <w:rFonts w:asciiTheme="minorHAnsi" w:hAnsiTheme="minorHAnsi" w:cstheme="minorHAnsi"/>
              </w:rPr>
              <w:t>686</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14.077</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hu-HU"/>
              </w:rPr>
            </w:pPr>
            <w:r w:rsidRPr="002F5860">
              <w:rPr>
                <w:rFonts w:asciiTheme="minorHAnsi" w:hAnsiTheme="minorHAnsi" w:cstheme="minorHAnsi"/>
                <w:lang w:val="hu-HU"/>
              </w:rPr>
              <w:t>16.320</w:t>
            </w:r>
          </w:p>
        </w:tc>
        <w:tc>
          <w:tcPr>
            <w:tcW w:w="1100" w:type="dxa"/>
            <w:tcBorders>
              <w:top w:val="nil"/>
              <w:left w:val="double" w:sz="4" w:space="0" w:color="auto"/>
              <w:bottom w:val="single" w:sz="8" w:space="0" w:color="auto"/>
              <w:right w:val="single" w:sz="8" w:space="0" w:color="auto"/>
            </w:tcBorders>
          </w:tcPr>
          <w:p w:rsidR="00D45C5C" w:rsidRPr="00D45C5C" w:rsidRDefault="00D45C5C" w:rsidP="00B76918">
            <w:pPr>
              <w:spacing w:before="100" w:beforeAutospacing="1" w:after="100" w:afterAutospacing="1"/>
              <w:jc w:val="center"/>
              <w:rPr>
                <w:rFonts w:asciiTheme="minorHAnsi" w:hAnsiTheme="minorHAnsi" w:cstheme="minorHAnsi"/>
                <w:lang w:val="el-GR"/>
              </w:rPr>
            </w:pPr>
            <w:r>
              <w:rPr>
                <w:rFonts w:asciiTheme="minorHAnsi" w:hAnsiTheme="minorHAnsi" w:cstheme="minorHAnsi"/>
                <w:lang w:val="el-GR"/>
              </w:rPr>
              <w:t>17</w:t>
            </w:r>
            <w:r w:rsidR="00995926">
              <w:rPr>
                <w:rFonts w:asciiTheme="minorHAnsi" w:hAnsiTheme="minorHAnsi" w:cstheme="minorHAnsi"/>
                <w:lang w:val="el-GR"/>
              </w:rPr>
              <w:t>.433</w:t>
            </w:r>
          </w:p>
        </w:tc>
      </w:tr>
      <w:tr w:rsidR="00D45C5C" w:rsidRPr="002F5860" w:rsidTr="00527344">
        <w:tc>
          <w:tcPr>
            <w:tcW w:w="0" w:type="auto"/>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hideMark/>
          </w:tcPr>
          <w:p w:rsidR="00D45C5C" w:rsidRPr="002F5860" w:rsidRDefault="00D45C5C" w:rsidP="00B76918">
            <w:pPr>
              <w:spacing w:before="100" w:beforeAutospacing="1" w:after="100" w:afterAutospacing="1"/>
              <w:rPr>
                <w:rFonts w:asciiTheme="minorHAnsi" w:hAnsiTheme="minorHAnsi" w:cstheme="minorHAnsi"/>
                <w:lang w:val="el-GR"/>
              </w:rPr>
            </w:pPr>
            <w:r w:rsidRPr="002F5860">
              <w:rPr>
                <w:rFonts w:asciiTheme="minorHAnsi" w:hAnsiTheme="minorHAnsi" w:cstheme="minorHAnsi"/>
                <w:lang w:val="el-GR"/>
              </w:rPr>
              <w:t>Δημόσιο χρέος (ως % ΑΕΠ)</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7</w:t>
            </w:r>
            <w:r w:rsidRPr="002F5860">
              <w:rPr>
                <w:rFonts w:asciiTheme="minorHAnsi" w:hAnsiTheme="minorHAnsi" w:cstheme="minorHAnsi"/>
              </w:rPr>
              <w:t>5</w:t>
            </w:r>
            <w:r w:rsidRPr="002F5860">
              <w:rPr>
                <w:rFonts w:asciiTheme="minorHAnsi" w:hAnsiTheme="minorHAnsi" w:cstheme="minorHAnsi"/>
                <w:lang w:val="el-GR"/>
              </w:rPr>
              <w:t>,</w:t>
            </w:r>
            <w:r w:rsidRPr="002F5860">
              <w:rPr>
                <w:rFonts w:asciiTheme="minorHAnsi" w:hAnsiTheme="minorHAnsi" w:cstheme="minorHAnsi"/>
              </w:rPr>
              <w:t>5</w:t>
            </w:r>
            <w:r w:rsidRPr="002F5860">
              <w:rPr>
                <w:rFonts w:asciiTheme="minorHAnsi" w:hAnsiTheme="minorHAnsi" w:cstheme="minorHAnsi"/>
                <w:lang w:val="el-GR"/>
              </w:rPr>
              <w:t>%</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lang w:val="el-GR"/>
              </w:rPr>
              <w:t>7</w:t>
            </w:r>
            <w:r w:rsidRPr="002F5860">
              <w:rPr>
                <w:rFonts w:asciiTheme="minorHAnsi" w:hAnsiTheme="minorHAnsi" w:cstheme="minorHAnsi"/>
              </w:rPr>
              <w:t>2</w:t>
            </w:r>
            <w:r w:rsidRPr="002F5860">
              <w:rPr>
                <w:rFonts w:asciiTheme="minorHAnsi" w:hAnsiTheme="minorHAnsi" w:cstheme="minorHAnsi"/>
                <w:lang w:val="el-GR"/>
              </w:rPr>
              <w:t>,</w:t>
            </w:r>
            <w:r w:rsidRPr="002F5860">
              <w:rPr>
                <w:rFonts w:asciiTheme="minorHAnsi" w:hAnsiTheme="minorHAnsi" w:cstheme="minorHAnsi"/>
              </w:rPr>
              <w:t>9</w:t>
            </w:r>
            <w:r w:rsidRPr="002F5860">
              <w:rPr>
                <w:rFonts w:asciiTheme="minorHAnsi" w:hAnsiTheme="minorHAnsi" w:cstheme="minorHAnsi"/>
                <w:lang w:val="el-GR"/>
              </w:rPr>
              <w:t>%</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7</w:t>
            </w:r>
            <w:r w:rsidRPr="002F5860">
              <w:rPr>
                <w:rFonts w:asciiTheme="minorHAnsi" w:hAnsiTheme="minorHAnsi" w:cstheme="minorHAnsi"/>
              </w:rPr>
              <w:t>0</w:t>
            </w:r>
            <w:r w:rsidRPr="002F5860">
              <w:rPr>
                <w:rFonts w:asciiTheme="minorHAnsi" w:hAnsiTheme="minorHAnsi" w:cstheme="minorHAnsi"/>
                <w:lang w:val="el-GR"/>
              </w:rPr>
              <w:t>,</w:t>
            </w:r>
            <w:r w:rsidRPr="002F5860">
              <w:rPr>
                <w:rFonts w:asciiTheme="minorHAnsi" w:hAnsiTheme="minorHAnsi" w:cstheme="minorHAnsi"/>
              </w:rPr>
              <w:t>2</w:t>
            </w:r>
            <w:r w:rsidRPr="002F5860">
              <w:rPr>
                <w:rFonts w:asciiTheme="minorHAnsi" w:hAnsiTheme="minorHAnsi" w:cstheme="minorHAnsi"/>
                <w:lang w:val="el-GR"/>
              </w:rPr>
              <w:t>%</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66,3%</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80,4%</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76,8%</w:t>
            </w:r>
          </w:p>
        </w:tc>
        <w:tc>
          <w:tcPr>
            <w:tcW w:w="1100" w:type="dxa"/>
            <w:tcBorders>
              <w:top w:val="nil"/>
              <w:left w:val="double" w:sz="4" w:space="0" w:color="auto"/>
              <w:bottom w:val="single" w:sz="8" w:space="0" w:color="auto"/>
              <w:right w:val="single" w:sz="8" w:space="0" w:color="auto"/>
            </w:tcBorders>
          </w:tcPr>
          <w:p w:rsidR="00D45C5C" w:rsidRPr="002F5860" w:rsidRDefault="00995926" w:rsidP="00B76918">
            <w:pPr>
              <w:spacing w:before="100" w:beforeAutospacing="1" w:after="100" w:afterAutospacing="1"/>
              <w:jc w:val="center"/>
              <w:rPr>
                <w:rFonts w:asciiTheme="minorHAnsi" w:hAnsiTheme="minorHAnsi" w:cstheme="minorHAnsi"/>
                <w:lang w:val="el-GR"/>
              </w:rPr>
            </w:pPr>
            <w:r>
              <w:rPr>
                <w:rFonts w:asciiTheme="minorHAnsi" w:hAnsiTheme="minorHAnsi" w:cstheme="minorHAnsi"/>
                <w:lang w:val="el-GR"/>
              </w:rPr>
              <w:t>73,3%</w:t>
            </w:r>
          </w:p>
        </w:tc>
      </w:tr>
      <w:tr w:rsidR="00D45C5C" w:rsidRPr="002F5860" w:rsidTr="00527344">
        <w:tc>
          <w:tcPr>
            <w:tcW w:w="0" w:type="auto"/>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hideMark/>
          </w:tcPr>
          <w:p w:rsidR="00D45C5C" w:rsidRPr="002F5860" w:rsidRDefault="00D45C5C" w:rsidP="00B76918">
            <w:pPr>
              <w:spacing w:before="100" w:beforeAutospacing="1" w:after="100" w:afterAutospacing="1"/>
              <w:rPr>
                <w:rFonts w:asciiTheme="minorHAnsi" w:hAnsiTheme="minorHAnsi" w:cstheme="minorHAnsi"/>
                <w:lang w:val="el-GR"/>
              </w:rPr>
            </w:pPr>
            <w:r w:rsidRPr="002F5860">
              <w:rPr>
                <w:rFonts w:asciiTheme="minorHAnsi" w:hAnsiTheme="minorHAnsi" w:cstheme="minorHAnsi"/>
                <w:lang w:val="el-GR"/>
              </w:rPr>
              <w:t>Δημόσιο έλλειμμα (ως % ΑΕΠ)</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1,5%</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2,0%</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2,2%</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2,1%</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8,1%</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6,8%</w:t>
            </w:r>
          </w:p>
        </w:tc>
        <w:tc>
          <w:tcPr>
            <w:tcW w:w="1100" w:type="dxa"/>
            <w:tcBorders>
              <w:top w:val="nil"/>
              <w:left w:val="double" w:sz="4" w:space="0" w:color="auto"/>
              <w:bottom w:val="single" w:sz="8" w:space="0" w:color="auto"/>
              <w:right w:val="single" w:sz="8" w:space="0" w:color="auto"/>
            </w:tcBorders>
          </w:tcPr>
          <w:p w:rsidR="00D45C5C" w:rsidRPr="002F5860" w:rsidRDefault="00995926" w:rsidP="00B76918">
            <w:pPr>
              <w:spacing w:before="100" w:beforeAutospacing="1" w:after="100" w:afterAutospacing="1"/>
              <w:jc w:val="center"/>
              <w:rPr>
                <w:rFonts w:asciiTheme="minorHAnsi" w:hAnsiTheme="minorHAnsi" w:cstheme="minorHAnsi"/>
                <w:lang w:val="el-GR"/>
              </w:rPr>
            </w:pPr>
            <w:r>
              <w:rPr>
                <w:rFonts w:asciiTheme="minorHAnsi" w:hAnsiTheme="minorHAnsi" w:cstheme="minorHAnsi"/>
                <w:lang w:val="el-GR"/>
              </w:rPr>
              <w:t>6,1%</w:t>
            </w:r>
          </w:p>
        </w:tc>
      </w:tr>
      <w:tr w:rsidR="00D45C5C" w:rsidRPr="002F5860" w:rsidTr="00527344">
        <w:tc>
          <w:tcPr>
            <w:tcW w:w="0" w:type="auto"/>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hideMark/>
          </w:tcPr>
          <w:p w:rsidR="00D45C5C" w:rsidRPr="002F5860" w:rsidRDefault="00D45C5C" w:rsidP="00B76918">
            <w:pPr>
              <w:spacing w:before="100" w:beforeAutospacing="1" w:after="100" w:afterAutospacing="1"/>
              <w:rPr>
                <w:rFonts w:asciiTheme="minorHAnsi" w:hAnsiTheme="minorHAnsi" w:cstheme="minorHAnsi"/>
              </w:rPr>
            </w:pPr>
            <w:r w:rsidRPr="002F5860">
              <w:rPr>
                <w:rFonts w:asciiTheme="minorHAnsi" w:hAnsiTheme="minorHAnsi" w:cstheme="minorHAnsi"/>
                <w:lang w:val="el-GR"/>
              </w:rPr>
              <w:t>Πληθωρισμός</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0,4%</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2,35%</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2,8%</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3,4%</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3,3%</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5,1%</w:t>
            </w:r>
          </w:p>
        </w:tc>
        <w:tc>
          <w:tcPr>
            <w:tcW w:w="1100" w:type="dxa"/>
            <w:tcBorders>
              <w:top w:val="nil"/>
              <w:left w:val="double" w:sz="4" w:space="0" w:color="auto"/>
              <w:bottom w:val="single" w:sz="8" w:space="0" w:color="auto"/>
              <w:right w:val="single" w:sz="8" w:space="0" w:color="auto"/>
            </w:tcBorders>
          </w:tcPr>
          <w:p w:rsidR="00D45C5C" w:rsidRPr="002F5860" w:rsidRDefault="00995926" w:rsidP="00B76918">
            <w:pPr>
              <w:spacing w:before="100" w:beforeAutospacing="1" w:after="100" w:afterAutospacing="1"/>
              <w:jc w:val="center"/>
              <w:rPr>
                <w:rFonts w:asciiTheme="minorHAnsi" w:hAnsiTheme="minorHAnsi" w:cstheme="minorHAnsi"/>
                <w:lang w:val="el-GR"/>
              </w:rPr>
            </w:pPr>
            <w:r>
              <w:rPr>
                <w:rFonts w:asciiTheme="minorHAnsi" w:hAnsiTheme="minorHAnsi" w:cstheme="minorHAnsi"/>
                <w:lang w:val="el-GR"/>
              </w:rPr>
              <w:t>14,5%</w:t>
            </w:r>
          </w:p>
        </w:tc>
      </w:tr>
      <w:tr w:rsidR="00D45C5C" w:rsidRPr="002F5860" w:rsidTr="00527344">
        <w:tc>
          <w:tcPr>
            <w:tcW w:w="0" w:type="auto"/>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hideMark/>
          </w:tcPr>
          <w:p w:rsidR="00D45C5C" w:rsidRPr="002F5860" w:rsidRDefault="00D45C5C" w:rsidP="00B76918">
            <w:pPr>
              <w:spacing w:before="100" w:beforeAutospacing="1" w:after="100" w:afterAutospacing="1"/>
              <w:rPr>
                <w:rFonts w:asciiTheme="minorHAnsi" w:hAnsiTheme="minorHAnsi" w:cstheme="minorHAnsi"/>
              </w:rPr>
            </w:pPr>
            <w:r w:rsidRPr="002F5860">
              <w:rPr>
                <w:rFonts w:asciiTheme="minorHAnsi" w:hAnsiTheme="minorHAnsi" w:cstheme="minorHAnsi"/>
                <w:lang w:val="el-GR"/>
              </w:rPr>
              <w:t>Ανεργία</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5,1%</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4,2%</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lang w:val="el-GR"/>
              </w:rPr>
              <w:t>3,7%</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rPr>
            </w:pPr>
            <w:r w:rsidRPr="002F5860">
              <w:rPr>
                <w:rFonts w:asciiTheme="minorHAnsi" w:hAnsiTheme="minorHAnsi" w:cstheme="minorHAnsi"/>
              </w:rPr>
              <w:t>3,4%</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4,5%</w:t>
            </w:r>
          </w:p>
        </w:tc>
        <w:tc>
          <w:tcPr>
            <w:tcW w:w="0" w:type="auto"/>
            <w:tcBorders>
              <w:top w:val="nil"/>
              <w:left w:val="double" w:sz="4" w:space="0" w:color="auto"/>
              <w:bottom w:val="single" w:sz="8" w:space="0" w:color="auto"/>
              <w:right w:val="single" w:sz="8" w:space="0" w:color="auto"/>
            </w:tcBorders>
          </w:tcPr>
          <w:p w:rsidR="00D45C5C" w:rsidRPr="002F5860" w:rsidRDefault="00D45C5C" w:rsidP="00B76918">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4,1%</w:t>
            </w:r>
          </w:p>
        </w:tc>
        <w:tc>
          <w:tcPr>
            <w:tcW w:w="1100" w:type="dxa"/>
            <w:tcBorders>
              <w:top w:val="nil"/>
              <w:left w:val="double" w:sz="4" w:space="0" w:color="auto"/>
              <w:bottom w:val="single" w:sz="8" w:space="0" w:color="auto"/>
              <w:right w:val="single" w:sz="8" w:space="0" w:color="auto"/>
            </w:tcBorders>
          </w:tcPr>
          <w:p w:rsidR="00D45C5C" w:rsidRPr="002F5860" w:rsidRDefault="00995926" w:rsidP="00B76918">
            <w:pPr>
              <w:spacing w:before="100" w:beforeAutospacing="1" w:after="100" w:afterAutospacing="1"/>
              <w:jc w:val="center"/>
              <w:rPr>
                <w:rFonts w:asciiTheme="minorHAnsi" w:hAnsiTheme="minorHAnsi" w:cstheme="minorHAnsi"/>
                <w:lang w:val="el-GR"/>
              </w:rPr>
            </w:pPr>
            <w:r>
              <w:rPr>
                <w:rFonts w:asciiTheme="minorHAnsi" w:hAnsiTheme="minorHAnsi" w:cstheme="minorHAnsi"/>
                <w:lang w:val="el-GR"/>
              </w:rPr>
              <w:t>3,9%</w:t>
            </w:r>
          </w:p>
        </w:tc>
      </w:tr>
      <w:tr w:rsidR="00D45C5C" w:rsidRPr="002F5860" w:rsidTr="00527344">
        <w:tc>
          <w:tcPr>
            <w:tcW w:w="0" w:type="auto"/>
            <w:tcBorders>
              <w:top w:val="single" w:sz="8"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D45C5C" w:rsidRPr="002F5860" w:rsidRDefault="00D45C5C" w:rsidP="00B76918">
            <w:pPr>
              <w:spacing w:before="100" w:beforeAutospacing="1" w:after="100" w:afterAutospacing="1"/>
              <w:rPr>
                <w:rFonts w:asciiTheme="minorHAnsi" w:hAnsiTheme="minorHAnsi" w:cstheme="minorHAnsi"/>
                <w:lang w:val="el-GR"/>
              </w:rPr>
            </w:pPr>
            <w:r w:rsidRPr="002F5860">
              <w:rPr>
                <w:rFonts w:asciiTheme="minorHAnsi" w:hAnsiTheme="minorHAnsi" w:cstheme="minorHAnsi"/>
                <w:lang w:val="el-GR"/>
              </w:rPr>
              <w:t>Μέσος μην</w:t>
            </w:r>
            <w:r w:rsidR="009A7EC6">
              <w:rPr>
                <w:rFonts w:asciiTheme="minorHAnsi" w:hAnsiTheme="minorHAnsi" w:cstheme="minorHAnsi"/>
                <w:lang w:val="el-GR"/>
              </w:rPr>
              <w:t xml:space="preserve">ιαίος μικτός </w:t>
            </w:r>
            <w:r w:rsidRPr="002F5860">
              <w:rPr>
                <w:rFonts w:asciiTheme="minorHAnsi" w:hAnsiTheme="minorHAnsi" w:cstheme="minorHAnsi"/>
                <w:lang w:val="el-GR"/>
              </w:rPr>
              <w:t>μισθός (σε χιλ. HUF)</w:t>
            </w:r>
          </w:p>
        </w:tc>
        <w:tc>
          <w:tcPr>
            <w:tcW w:w="0" w:type="auto"/>
            <w:tcBorders>
              <w:top w:val="nil"/>
              <w:left w:val="double" w:sz="4" w:space="0" w:color="auto"/>
              <w:bottom w:val="double" w:sz="4" w:space="0" w:color="auto"/>
              <w:right w:val="single" w:sz="8" w:space="0" w:color="auto"/>
            </w:tcBorders>
            <w:vAlign w:val="center"/>
          </w:tcPr>
          <w:p w:rsidR="00D45C5C" w:rsidRPr="002F5860" w:rsidRDefault="00D45C5C" w:rsidP="00BE27E7">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260,8         (€ 837)</w:t>
            </w:r>
          </w:p>
        </w:tc>
        <w:tc>
          <w:tcPr>
            <w:tcW w:w="0" w:type="auto"/>
            <w:tcBorders>
              <w:top w:val="nil"/>
              <w:left w:val="double" w:sz="4" w:space="0" w:color="auto"/>
              <w:bottom w:val="double" w:sz="4" w:space="0" w:color="auto"/>
              <w:right w:val="single" w:sz="8" w:space="0" w:color="auto"/>
            </w:tcBorders>
            <w:vAlign w:val="center"/>
          </w:tcPr>
          <w:p w:rsidR="00D45C5C" w:rsidRPr="002F5860" w:rsidRDefault="00D45C5C" w:rsidP="00BE27E7">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297,0        (€ 954)</w:t>
            </w:r>
          </w:p>
        </w:tc>
        <w:tc>
          <w:tcPr>
            <w:tcW w:w="0" w:type="auto"/>
            <w:tcBorders>
              <w:top w:val="nil"/>
              <w:left w:val="double" w:sz="4" w:space="0" w:color="auto"/>
              <w:bottom w:val="double" w:sz="4" w:space="0" w:color="auto"/>
              <w:right w:val="single" w:sz="8" w:space="0" w:color="auto"/>
            </w:tcBorders>
            <w:vAlign w:val="center"/>
          </w:tcPr>
          <w:p w:rsidR="00D45C5C" w:rsidRPr="002F5860" w:rsidRDefault="00D45C5C" w:rsidP="00BE27E7">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329,0 (€1.034)</w:t>
            </w:r>
          </w:p>
        </w:tc>
        <w:tc>
          <w:tcPr>
            <w:tcW w:w="0" w:type="auto"/>
            <w:tcBorders>
              <w:top w:val="nil"/>
              <w:left w:val="double" w:sz="4" w:space="0" w:color="auto"/>
              <w:bottom w:val="double" w:sz="4" w:space="0" w:color="auto"/>
              <w:right w:val="single" w:sz="8" w:space="0" w:color="auto"/>
            </w:tcBorders>
            <w:vAlign w:val="center"/>
          </w:tcPr>
          <w:p w:rsidR="00D45C5C" w:rsidRPr="002F5860" w:rsidRDefault="00D45C5C" w:rsidP="00BE27E7">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367.833 (€1.130)</w:t>
            </w:r>
          </w:p>
        </w:tc>
        <w:tc>
          <w:tcPr>
            <w:tcW w:w="0" w:type="auto"/>
            <w:tcBorders>
              <w:top w:val="nil"/>
              <w:left w:val="double" w:sz="4" w:space="0" w:color="auto"/>
              <w:bottom w:val="double" w:sz="4" w:space="0" w:color="auto"/>
              <w:right w:val="single" w:sz="8" w:space="0" w:color="auto"/>
            </w:tcBorders>
            <w:vAlign w:val="center"/>
          </w:tcPr>
          <w:p w:rsidR="00D45C5C" w:rsidRPr="002F5860" w:rsidRDefault="00D45C5C" w:rsidP="00BE27E7">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403.616      (€1.149)</w:t>
            </w:r>
          </w:p>
        </w:tc>
        <w:tc>
          <w:tcPr>
            <w:tcW w:w="0" w:type="auto"/>
            <w:tcBorders>
              <w:top w:val="nil"/>
              <w:left w:val="double" w:sz="4" w:space="0" w:color="auto"/>
              <w:bottom w:val="double" w:sz="4" w:space="0" w:color="auto"/>
              <w:right w:val="single" w:sz="8" w:space="0" w:color="auto"/>
            </w:tcBorders>
            <w:vAlign w:val="center"/>
          </w:tcPr>
          <w:p w:rsidR="00D45C5C" w:rsidRPr="002F5860" w:rsidRDefault="00D45C5C" w:rsidP="00BE27E7">
            <w:pPr>
              <w:spacing w:before="100" w:beforeAutospacing="1" w:after="100" w:afterAutospacing="1"/>
              <w:jc w:val="center"/>
              <w:rPr>
                <w:rFonts w:asciiTheme="minorHAnsi" w:hAnsiTheme="minorHAnsi" w:cstheme="minorHAnsi"/>
                <w:lang w:val="el-GR"/>
              </w:rPr>
            </w:pPr>
            <w:r w:rsidRPr="002F5860">
              <w:rPr>
                <w:rFonts w:asciiTheme="minorHAnsi" w:hAnsiTheme="minorHAnsi" w:cstheme="minorHAnsi"/>
                <w:lang w:val="el-GR"/>
              </w:rPr>
              <w:t>467.300      (</w:t>
            </w:r>
            <w:proofErr w:type="spellStart"/>
            <w:r w:rsidRPr="002F5860">
              <w:rPr>
                <w:rFonts w:asciiTheme="minorHAnsi" w:hAnsiTheme="minorHAnsi" w:cstheme="minorHAnsi"/>
                <w:lang w:val="el-GR"/>
              </w:rPr>
              <w:t>€1</w:t>
            </w:r>
            <w:proofErr w:type="spellEnd"/>
            <w:r w:rsidRPr="002F5860">
              <w:rPr>
                <w:rFonts w:asciiTheme="minorHAnsi" w:hAnsiTheme="minorHAnsi" w:cstheme="minorHAnsi"/>
                <w:lang w:val="el-GR"/>
              </w:rPr>
              <w:t>.</w:t>
            </w:r>
            <w:r w:rsidRPr="002F5860">
              <w:rPr>
                <w:rFonts w:asciiTheme="minorHAnsi" w:hAnsiTheme="minorHAnsi" w:cstheme="minorHAnsi"/>
                <w:lang w:val="hu-HU"/>
              </w:rPr>
              <w:t>303</w:t>
            </w:r>
            <w:r w:rsidRPr="002F5860">
              <w:rPr>
                <w:rFonts w:asciiTheme="minorHAnsi" w:hAnsiTheme="minorHAnsi" w:cstheme="minorHAnsi"/>
                <w:lang w:val="el-GR"/>
              </w:rPr>
              <w:t>)</w:t>
            </w:r>
          </w:p>
        </w:tc>
        <w:tc>
          <w:tcPr>
            <w:tcW w:w="1100" w:type="dxa"/>
            <w:tcBorders>
              <w:top w:val="nil"/>
              <w:left w:val="double" w:sz="4" w:space="0" w:color="auto"/>
              <w:bottom w:val="double" w:sz="4" w:space="0" w:color="auto"/>
              <w:right w:val="single" w:sz="8" w:space="0" w:color="auto"/>
            </w:tcBorders>
            <w:vAlign w:val="center"/>
          </w:tcPr>
          <w:p w:rsidR="00BE27E7" w:rsidRPr="00BE27E7" w:rsidRDefault="00BE27E7" w:rsidP="00527344">
            <w:pPr>
              <w:spacing w:before="100" w:beforeAutospacing="1" w:after="100" w:afterAutospacing="1"/>
              <w:rPr>
                <w:rFonts w:asciiTheme="minorHAnsi" w:hAnsiTheme="minorHAnsi" w:cstheme="minorHAnsi"/>
              </w:rPr>
            </w:pPr>
            <w:r>
              <w:rPr>
                <w:rFonts w:asciiTheme="minorHAnsi" w:hAnsiTheme="minorHAnsi" w:cstheme="minorHAnsi"/>
              </w:rPr>
              <w:t>497.200</w:t>
            </w:r>
            <w:r w:rsidR="0095699B">
              <w:rPr>
                <w:rFonts w:asciiTheme="minorHAnsi" w:hAnsiTheme="minorHAnsi" w:cstheme="minorHAnsi"/>
                <w:lang w:val="el-GR"/>
              </w:rPr>
              <w:t xml:space="preserve"> </w:t>
            </w:r>
            <w:r w:rsidRPr="002F5860">
              <w:rPr>
                <w:rFonts w:asciiTheme="minorHAnsi" w:hAnsiTheme="minorHAnsi" w:cstheme="minorHAnsi"/>
                <w:lang w:val="el-GR"/>
              </w:rPr>
              <w:t>(</w:t>
            </w:r>
            <w:proofErr w:type="spellStart"/>
            <w:r w:rsidRPr="002F5860">
              <w:rPr>
                <w:rFonts w:asciiTheme="minorHAnsi" w:hAnsiTheme="minorHAnsi" w:cstheme="minorHAnsi"/>
                <w:lang w:val="el-GR"/>
              </w:rPr>
              <w:t>€1</w:t>
            </w:r>
            <w:proofErr w:type="spellEnd"/>
            <w:r>
              <w:rPr>
                <w:rFonts w:asciiTheme="minorHAnsi" w:hAnsiTheme="minorHAnsi" w:cstheme="minorHAnsi"/>
              </w:rPr>
              <w:t>.207)</w:t>
            </w:r>
          </w:p>
        </w:tc>
      </w:tr>
    </w:tbl>
    <w:p w:rsidR="004E3872" w:rsidRPr="002F5860" w:rsidRDefault="004E3872" w:rsidP="004E3872">
      <w:pPr>
        <w:jc w:val="both"/>
        <w:rPr>
          <w:rFonts w:asciiTheme="minorHAnsi" w:hAnsiTheme="minorHAnsi" w:cstheme="minorHAnsi"/>
          <w:lang w:val="el-GR"/>
        </w:rPr>
      </w:pPr>
    </w:p>
    <w:p w:rsidR="004E3872" w:rsidRPr="002F5860" w:rsidRDefault="004E3872" w:rsidP="004E3872">
      <w:pPr>
        <w:jc w:val="both"/>
        <w:rPr>
          <w:rFonts w:asciiTheme="minorHAnsi" w:hAnsiTheme="minorHAnsi" w:cstheme="minorHAnsi"/>
          <w:lang w:val="el-GR"/>
        </w:rPr>
      </w:pPr>
      <w:r w:rsidRPr="002F5860">
        <w:rPr>
          <w:rFonts w:asciiTheme="minorHAnsi" w:hAnsiTheme="minorHAnsi" w:cstheme="minorHAnsi"/>
          <w:lang w:val="el-GR"/>
        </w:rPr>
        <w:t>Η υιοθέτηση του κοινού ευρωπαϊκού νομίσματος και η ένταξη της χώρας στην ευρωζώνη, παραμένουν στους στόχους της ουγγρικής οικονομικής πολιτικής, χωρίς όμως να αποτελούν προτεραιότητα. Προς το παρόν, η Ουγγαρία τηρεί στάση αναμονής, μέχρι να ολοκληρωθεί ο διάλογος για το μέλλον της ΕΕ και της ευρωζώνης.</w:t>
      </w:r>
    </w:p>
    <w:p w:rsidR="004E3872" w:rsidRPr="002F5860" w:rsidRDefault="004E3872" w:rsidP="004E3872">
      <w:pPr>
        <w:jc w:val="both"/>
        <w:rPr>
          <w:rFonts w:asciiTheme="minorHAnsi" w:hAnsiTheme="minorHAnsi" w:cstheme="minorHAnsi"/>
          <w:lang w:val="el-GR"/>
        </w:rPr>
      </w:pPr>
    </w:p>
    <w:p w:rsidR="004E3872" w:rsidRPr="002F5860" w:rsidRDefault="004E3872" w:rsidP="004E3872">
      <w:pPr>
        <w:jc w:val="both"/>
        <w:rPr>
          <w:rFonts w:asciiTheme="minorHAnsi" w:hAnsiTheme="minorHAnsi" w:cstheme="minorHAnsi"/>
          <w:lang w:val="el-GR"/>
        </w:rPr>
      </w:pPr>
      <w:r w:rsidRPr="002F5860">
        <w:rPr>
          <w:rFonts w:asciiTheme="minorHAnsi" w:hAnsiTheme="minorHAnsi" w:cstheme="minorHAnsi"/>
          <w:lang w:val="el-GR"/>
        </w:rPr>
        <w:t xml:space="preserve">Οι οικονομικές προκλήσεις που έχει να αντιμετωπίσει η Ουγγαρία, πέραν της αντιμετώπισης των οικονομικών επιπτώσεων της πανδημίας </w:t>
      </w:r>
      <w:r w:rsidRPr="002F5860">
        <w:rPr>
          <w:rFonts w:asciiTheme="minorHAnsi" w:hAnsiTheme="minorHAnsi" w:cstheme="minorHAnsi"/>
        </w:rPr>
        <w:t>COVID</w:t>
      </w:r>
      <w:r w:rsidRPr="002F5860">
        <w:rPr>
          <w:rFonts w:asciiTheme="minorHAnsi" w:hAnsiTheme="minorHAnsi" w:cstheme="minorHAnsi"/>
          <w:lang w:val="el-GR"/>
        </w:rPr>
        <w:t>-19, συνίστανται στην έλλειψη εργατικού δυναμικού, στην φτωχοποίηση των αγροτικών περιοχών, στην αστάθεια της εξωτερικής ζήτησης για αγαθά και στην μεγάλη ενεργειακή εξάρτησή της από την Ρωσία. Επίσης, εξαιτίας της ιδιαίτερης -κατά πολλούς ακόμα και εχθρικής- πολιτικής που ακολουθεί η κυβέρνηση για τις ξένες πολυεθνικές, οι διεθνείς επενδυτές έχουν απολέσει μέρος της εμπιστοσύνης τους στην ουγγρική οικονομία. Εντούτοις, η Ουγγαρία κατατάχθηκε στην 47</w:t>
      </w:r>
      <w:r w:rsidRPr="002F5860">
        <w:rPr>
          <w:rFonts w:asciiTheme="minorHAnsi" w:hAnsiTheme="minorHAnsi" w:cstheme="minorHAnsi"/>
          <w:vertAlign w:val="superscript"/>
          <w:lang w:val="el-GR"/>
        </w:rPr>
        <w:t>η</w:t>
      </w:r>
      <w:r w:rsidRPr="002F5860">
        <w:rPr>
          <w:rFonts w:asciiTheme="minorHAnsi" w:hAnsiTheme="minorHAnsi" w:cstheme="minorHAnsi"/>
          <w:lang w:val="el-GR"/>
        </w:rPr>
        <w:t xml:space="preserve"> θέση (48</w:t>
      </w:r>
      <w:r w:rsidRPr="002F5860">
        <w:rPr>
          <w:rFonts w:asciiTheme="minorHAnsi" w:hAnsiTheme="minorHAnsi" w:cstheme="minorHAnsi"/>
          <w:vertAlign w:val="superscript"/>
          <w:lang w:val="el-GR"/>
        </w:rPr>
        <w:t>η</w:t>
      </w:r>
      <w:r w:rsidRPr="002F5860">
        <w:rPr>
          <w:rFonts w:asciiTheme="minorHAnsi" w:hAnsiTheme="minorHAnsi" w:cstheme="minorHAnsi"/>
          <w:lang w:val="el-GR"/>
        </w:rPr>
        <w:t xml:space="preserve"> το 2018) μεταξύ των πιο ανταγωνιστικών οικονομιών, σύμφωνα με τον ετήσιο παγκόσμιο δείκτη ανταγωνιστικότητας (</w:t>
      </w:r>
      <w:proofErr w:type="spellStart"/>
      <w:r w:rsidRPr="002F5860">
        <w:rPr>
          <w:rFonts w:asciiTheme="minorHAnsi" w:hAnsiTheme="minorHAnsi" w:cstheme="minorHAnsi"/>
          <w:lang w:val="el-GR"/>
        </w:rPr>
        <w:t>Global</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Competitiveness</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Report</w:t>
      </w:r>
      <w:proofErr w:type="spellEnd"/>
      <w:r w:rsidRPr="002F5860">
        <w:rPr>
          <w:rFonts w:asciiTheme="minorHAnsi" w:hAnsiTheme="minorHAnsi" w:cstheme="minorHAnsi"/>
          <w:lang w:val="el-GR"/>
        </w:rPr>
        <w:t xml:space="preserve">) του </w:t>
      </w:r>
      <w:proofErr w:type="spellStart"/>
      <w:r w:rsidRPr="002F5860">
        <w:rPr>
          <w:rFonts w:asciiTheme="minorHAnsi" w:hAnsiTheme="minorHAnsi" w:cstheme="minorHAnsi"/>
          <w:lang w:val="el-GR"/>
        </w:rPr>
        <w:t>World</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Economic</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Forum</w:t>
      </w:r>
      <w:proofErr w:type="spellEnd"/>
      <w:r w:rsidRPr="002F5860">
        <w:rPr>
          <w:rFonts w:asciiTheme="minorHAnsi" w:hAnsiTheme="minorHAnsi" w:cstheme="minorHAnsi"/>
          <w:lang w:val="el-GR"/>
        </w:rPr>
        <w:t xml:space="preserve"> 2019. Για το 2020, εξαιτίας της πανδημίας, ακολουθήθηκε διαφορετικό μοντέλο αξιολόγησης των εθνικών οικονομιών από το </w:t>
      </w:r>
      <w:r w:rsidRPr="002F5860">
        <w:rPr>
          <w:rFonts w:asciiTheme="minorHAnsi" w:hAnsiTheme="minorHAnsi" w:cstheme="minorHAnsi"/>
          <w:lang w:val="hu-HU"/>
        </w:rPr>
        <w:t>WEF</w:t>
      </w:r>
      <w:r w:rsidRPr="002F5860">
        <w:rPr>
          <w:rFonts w:asciiTheme="minorHAnsi" w:hAnsiTheme="minorHAnsi" w:cstheme="minorHAnsi"/>
          <w:lang w:val="el-GR"/>
        </w:rPr>
        <w:t xml:space="preserve">, βασισμένο στις προτεραιότητες για οικονομική ανάκαμψη και ανθεκτικότητα.  </w:t>
      </w:r>
    </w:p>
    <w:p w:rsidR="004E3872" w:rsidRPr="002F5860" w:rsidRDefault="004E3872" w:rsidP="004E3872">
      <w:pPr>
        <w:jc w:val="both"/>
        <w:rPr>
          <w:rFonts w:asciiTheme="minorHAnsi" w:hAnsiTheme="minorHAnsi" w:cstheme="minorHAnsi"/>
          <w:lang w:val="el-GR"/>
        </w:rPr>
      </w:pPr>
    </w:p>
    <w:p w:rsidR="004E3872" w:rsidRDefault="004E3872" w:rsidP="004E3872">
      <w:pPr>
        <w:jc w:val="both"/>
        <w:rPr>
          <w:rFonts w:asciiTheme="minorHAnsi" w:hAnsiTheme="minorHAnsi" w:cstheme="minorHAnsi"/>
          <w:lang w:val="el-GR"/>
        </w:rPr>
      </w:pPr>
      <w:r w:rsidRPr="002F5860">
        <w:rPr>
          <w:rFonts w:asciiTheme="minorHAnsi" w:hAnsiTheme="minorHAnsi" w:cstheme="minorHAnsi"/>
          <w:lang w:val="el-GR"/>
        </w:rPr>
        <w:t xml:space="preserve">Στις </w:t>
      </w:r>
      <w:r w:rsidRPr="002F5860">
        <w:rPr>
          <w:rFonts w:asciiTheme="minorHAnsi" w:hAnsiTheme="minorHAnsi" w:cstheme="minorHAnsi"/>
          <w:u w:val="single"/>
          <w:lang w:val="el-GR"/>
        </w:rPr>
        <w:t>σημαντικές βιομηχανίες</w:t>
      </w:r>
      <w:r w:rsidRPr="002F5860">
        <w:rPr>
          <w:rFonts w:asciiTheme="minorHAnsi" w:hAnsiTheme="minorHAnsi" w:cstheme="minorHAnsi"/>
          <w:lang w:val="el-GR"/>
        </w:rPr>
        <w:t xml:space="preserve"> της χώρας συμπεριλαμβάνονται</w:t>
      </w:r>
      <w:r w:rsidRPr="00786462">
        <w:rPr>
          <w:rFonts w:asciiTheme="minorHAnsi" w:hAnsiTheme="minorHAnsi" w:cstheme="minorHAnsi"/>
          <w:lang w:val="el-GR"/>
        </w:rPr>
        <w:t>: εξορύξεις, μεταλλουργία, δομικά υλικά, μεταποίηση τροφίμων, κλωστοϋφαντουργία, χημικά (κυρίως φαρμακευτικά προϊόντα) και αυτοκινητοβιομηχανία. Το Υπουργείο Καινοτομίας &amp; Τεχνολογίας της Ουγγαρίας ανακοίνωσε</w:t>
      </w:r>
      <w:r w:rsidRPr="002F5860">
        <w:rPr>
          <w:rFonts w:asciiTheme="minorHAnsi" w:hAnsiTheme="minorHAnsi" w:cstheme="minorHAnsi"/>
          <w:lang w:val="el-GR"/>
        </w:rPr>
        <w:t xml:space="preserve"> ότι το πρόγραμμα «</w:t>
      </w:r>
      <w:proofErr w:type="spellStart"/>
      <w:r w:rsidRPr="002F5860">
        <w:rPr>
          <w:rFonts w:asciiTheme="minorHAnsi" w:hAnsiTheme="minorHAnsi" w:cstheme="minorHAnsi"/>
          <w:lang w:val="el-GR"/>
        </w:rPr>
        <w:t>Irinyi</w:t>
      </w:r>
      <w:proofErr w:type="spellEnd"/>
      <w:r w:rsidRPr="002F5860">
        <w:rPr>
          <w:rFonts w:asciiTheme="minorHAnsi" w:hAnsiTheme="minorHAnsi" w:cstheme="minorHAnsi"/>
          <w:lang w:val="el-GR"/>
        </w:rPr>
        <w:t xml:space="preserve">» για την αναδιάταξη της ουγγρικής βιομηχανίας θα συνεχιστεί και το 2020, με τον προϋπολογισμό του να ανέρχεται σε 2,5 δισ. φιορίνια. Πρωταρχικός στόχος του συγκεκριμένου προγράμματος είναι η υποστήριξη της παραγωγής, αλλά και της προώθησης προϊόντων υψηλής προστιθέμενης αξίας, ανταγωνιστικών στις διεθνείς αγορές. Τα τελευταία 4 χρόνια, μέσω του </w:t>
      </w:r>
      <w:r w:rsidRPr="002F5860">
        <w:rPr>
          <w:rFonts w:asciiTheme="minorHAnsi" w:hAnsiTheme="minorHAnsi" w:cstheme="minorHAnsi"/>
          <w:lang w:val="el-GR"/>
        </w:rPr>
        <w:lastRenderedPageBreak/>
        <w:t>συγκεκριμένου προγράμματος, έχουν διατεθεί 5 δισ. φιορίνια για την ενίσχυση ουγγρικών επιχειρήσεων. Οι περισσότερες αιτήσεις για ένταξη στο πρόγραμμα «</w:t>
      </w:r>
      <w:proofErr w:type="spellStart"/>
      <w:r w:rsidRPr="002F5860">
        <w:rPr>
          <w:rFonts w:asciiTheme="minorHAnsi" w:hAnsiTheme="minorHAnsi" w:cstheme="minorHAnsi"/>
          <w:lang w:val="el-GR"/>
        </w:rPr>
        <w:t>Irinyi</w:t>
      </w:r>
      <w:proofErr w:type="spellEnd"/>
      <w:r w:rsidRPr="002F5860">
        <w:rPr>
          <w:rFonts w:asciiTheme="minorHAnsi" w:hAnsiTheme="minorHAnsi" w:cstheme="minorHAnsi"/>
          <w:lang w:val="el-GR"/>
        </w:rPr>
        <w:t xml:space="preserve">» προέρχονται από τους </w:t>
      </w:r>
      <w:r w:rsidRPr="00786462">
        <w:rPr>
          <w:rFonts w:asciiTheme="minorHAnsi" w:hAnsiTheme="minorHAnsi" w:cstheme="minorHAnsi"/>
          <w:lang w:val="el-GR"/>
        </w:rPr>
        <w:t>κλάδους  τροφίμων, μηχανολογικού εξοπλισμού και αυτοκινητοβιομηχανίας</w:t>
      </w:r>
      <w:r w:rsidRPr="002F5860">
        <w:rPr>
          <w:rFonts w:asciiTheme="minorHAnsi" w:hAnsiTheme="minorHAnsi" w:cstheme="minorHAnsi"/>
          <w:lang w:val="el-GR"/>
        </w:rPr>
        <w:t>. Το πρόγραμμα «</w:t>
      </w:r>
      <w:proofErr w:type="spellStart"/>
      <w:r w:rsidRPr="002F5860">
        <w:rPr>
          <w:rFonts w:asciiTheme="minorHAnsi" w:hAnsiTheme="minorHAnsi" w:cstheme="minorHAnsi"/>
          <w:lang w:val="el-GR"/>
        </w:rPr>
        <w:t>Irinyi</w:t>
      </w:r>
      <w:proofErr w:type="spellEnd"/>
      <w:r w:rsidRPr="002F5860">
        <w:rPr>
          <w:rFonts w:asciiTheme="minorHAnsi" w:hAnsiTheme="minorHAnsi" w:cstheme="minorHAnsi"/>
          <w:lang w:val="el-GR"/>
        </w:rPr>
        <w:t xml:space="preserve">» έχει πολλαπλασιαστικές ιδιότητες και για κάθε φιορίνι κρατικής επιχορήγησης προς ουγγρικές επιχειρήσεις, δημιουργούνται, σε βάθος πενταετίας, 4 φιορίνια εσόδων για τον κρατικό προϋπολογισμό. Σημειώνεται ότι από το 2010 κι ένθεν, η βιομηχανική παραγωγή στη χώρα έχει αυξηθεί κατά 50% και οι εξαγωγές βιομηχανικών προϊόντων έχουν υπερδιπλασιαστεί. Παράλληλα, η απασχόληση στον συγκεκριμένο κλάδο </w:t>
      </w:r>
      <w:r w:rsidR="009A7EC6">
        <w:rPr>
          <w:rFonts w:asciiTheme="minorHAnsi" w:hAnsiTheme="minorHAnsi" w:cstheme="minorHAnsi"/>
          <w:lang w:val="el-GR"/>
        </w:rPr>
        <w:t xml:space="preserve">παρουσιάζεται αυξημένη. </w:t>
      </w:r>
    </w:p>
    <w:p w:rsidR="009A7EC6" w:rsidRPr="00433B1E" w:rsidRDefault="009A7EC6" w:rsidP="004E3872">
      <w:pPr>
        <w:jc w:val="both"/>
        <w:rPr>
          <w:rFonts w:asciiTheme="minorHAnsi" w:hAnsiTheme="minorHAnsi" w:cstheme="minorHAnsi"/>
          <w:lang w:val="el-GR"/>
        </w:rPr>
      </w:pPr>
    </w:p>
    <w:p w:rsidR="004E3872" w:rsidRPr="002F5860" w:rsidRDefault="004E3872" w:rsidP="004E3872">
      <w:pPr>
        <w:jc w:val="both"/>
        <w:rPr>
          <w:rFonts w:asciiTheme="minorHAnsi" w:hAnsiTheme="minorHAnsi" w:cstheme="minorHAnsi"/>
          <w:lang w:val="el-GR"/>
        </w:rPr>
      </w:pPr>
      <w:r w:rsidRPr="002F5860">
        <w:rPr>
          <w:rFonts w:asciiTheme="minorHAnsi" w:hAnsiTheme="minorHAnsi" w:cstheme="minorHAnsi"/>
          <w:lang w:val="el-GR"/>
        </w:rPr>
        <w:t xml:space="preserve">Στα </w:t>
      </w:r>
      <w:r w:rsidRPr="002F5860">
        <w:rPr>
          <w:rFonts w:asciiTheme="minorHAnsi" w:hAnsiTheme="minorHAnsi" w:cstheme="minorHAnsi"/>
          <w:u w:val="single"/>
          <w:lang w:val="el-GR"/>
        </w:rPr>
        <w:t>σημαντικά αγροτικά προϊόντα</w:t>
      </w:r>
      <w:r w:rsidRPr="002F5860">
        <w:rPr>
          <w:rFonts w:asciiTheme="minorHAnsi" w:hAnsiTheme="minorHAnsi" w:cstheme="minorHAnsi"/>
          <w:lang w:val="el-GR"/>
        </w:rPr>
        <w:t xml:space="preserve"> της Ουγγαρίας συμπεριλαμβάνονται: σιτάρι, αραβόσιτος, ηλιόσπορος, γεώμηλα, ζαχαρότευτλα, πουλερικά, χοιρινό κρέας, τυροκομικά-γαλακτοκομικά.</w:t>
      </w:r>
    </w:p>
    <w:p w:rsidR="004E3872" w:rsidRDefault="004E3872" w:rsidP="004E3872">
      <w:pPr>
        <w:jc w:val="both"/>
        <w:rPr>
          <w:rFonts w:asciiTheme="minorHAnsi" w:hAnsiTheme="minorHAnsi" w:cstheme="minorHAnsi"/>
          <w:lang w:val="el-GR"/>
        </w:rPr>
      </w:pPr>
      <w:r w:rsidRPr="002F5860">
        <w:rPr>
          <w:rFonts w:asciiTheme="minorHAnsi" w:hAnsiTheme="minorHAnsi" w:cstheme="minorHAnsi"/>
          <w:lang w:val="el-GR"/>
        </w:rPr>
        <w:t xml:space="preserve">Το Αγροτικό Επιμελητήριο Ουγγαρίας (ΝΑΚ), σε μια προσπάθεια αύξησης του μεριδίου των ουγγρικών αγροτικών προϊόντων τροφίμων στα καταστήματα λιανικού εμπορίου της Ουγγαρίας, έχει εκκινήσει εκστρατεία </w:t>
      </w:r>
      <w:r w:rsidRPr="00786462">
        <w:rPr>
          <w:rFonts w:asciiTheme="minorHAnsi" w:hAnsiTheme="minorHAnsi" w:cstheme="minorHAnsi"/>
          <w:lang w:val="el-GR"/>
        </w:rPr>
        <w:t>ενημέρωσης μεγάλων αλυσίδων καταστημάτων τροφίμων (</w:t>
      </w:r>
      <w:proofErr w:type="spellStart"/>
      <w:r w:rsidRPr="00786462">
        <w:rPr>
          <w:rFonts w:asciiTheme="minorHAnsi" w:hAnsiTheme="minorHAnsi" w:cstheme="minorHAnsi"/>
          <w:lang w:val="el-GR"/>
        </w:rPr>
        <w:t>Aldi</w:t>
      </w:r>
      <w:proofErr w:type="spellEnd"/>
      <w:r w:rsidRPr="00786462">
        <w:rPr>
          <w:rFonts w:asciiTheme="minorHAnsi" w:hAnsiTheme="minorHAnsi" w:cstheme="minorHAnsi"/>
          <w:lang w:val="el-GR"/>
        </w:rPr>
        <w:t xml:space="preserve">, </w:t>
      </w:r>
      <w:proofErr w:type="spellStart"/>
      <w:r w:rsidRPr="00786462">
        <w:rPr>
          <w:rFonts w:asciiTheme="minorHAnsi" w:hAnsiTheme="minorHAnsi" w:cstheme="minorHAnsi"/>
          <w:lang w:val="el-GR"/>
        </w:rPr>
        <w:t>Spar</w:t>
      </w:r>
      <w:proofErr w:type="spellEnd"/>
      <w:r w:rsidRPr="00786462">
        <w:rPr>
          <w:rFonts w:asciiTheme="minorHAnsi" w:hAnsiTheme="minorHAnsi" w:cstheme="minorHAnsi"/>
          <w:lang w:val="el-GR"/>
        </w:rPr>
        <w:t xml:space="preserve">, </w:t>
      </w:r>
      <w:proofErr w:type="spellStart"/>
      <w:r w:rsidRPr="00786462">
        <w:rPr>
          <w:rFonts w:asciiTheme="minorHAnsi" w:hAnsiTheme="minorHAnsi" w:cstheme="minorHAnsi"/>
          <w:lang w:val="el-GR"/>
        </w:rPr>
        <w:t>Penny</w:t>
      </w:r>
      <w:proofErr w:type="spellEnd"/>
      <w:r w:rsidRPr="00786462">
        <w:rPr>
          <w:rFonts w:asciiTheme="minorHAnsi" w:hAnsiTheme="minorHAnsi" w:cstheme="minorHAnsi"/>
          <w:lang w:val="el-GR"/>
        </w:rPr>
        <w:t xml:space="preserve"> </w:t>
      </w:r>
      <w:proofErr w:type="spellStart"/>
      <w:r w:rsidRPr="00786462">
        <w:rPr>
          <w:rFonts w:asciiTheme="minorHAnsi" w:hAnsiTheme="minorHAnsi" w:cstheme="minorHAnsi"/>
          <w:lang w:val="el-GR"/>
        </w:rPr>
        <w:t>Market</w:t>
      </w:r>
      <w:proofErr w:type="spellEnd"/>
      <w:r w:rsidRPr="00786462">
        <w:rPr>
          <w:rFonts w:asciiTheme="minorHAnsi" w:hAnsiTheme="minorHAnsi" w:cstheme="minorHAnsi"/>
          <w:lang w:val="el-GR"/>
        </w:rPr>
        <w:t xml:space="preserve">, </w:t>
      </w:r>
      <w:proofErr w:type="spellStart"/>
      <w:r w:rsidRPr="00786462">
        <w:rPr>
          <w:rFonts w:asciiTheme="minorHAnsi" w:hAnsiTheme="minorHAnsi" w:cstheme="minorHAnsi"/>
          <w:lang w:val="el-GR"/>
        </w:rPr>
        <w:t>Auchan</w:t>
      </w:r>
      <w:proofErr w:type="spellEnd"/>
      <w:r w:rsidRPr="00786462">
        <w:rPr>
          <w:rFonts w:asciiTheme="minorHAnsi" w:hAnsiTheme="minorHAnsi" w:cstheme="minorHAnsi"/>
          <w:lang w:val="el-GR"/>
        </w:rPr>
        <w:t xml:space="preserve">, </w:t>
      </w:r>
      <w:proofErr w:type="spellStart"/>
      <w:r w:rsidRPr="00786462">
        <w:rPr>
          <w:rFonts w:asciiTheme="minorHAnsi" w:hAnsiTheme="minorHAnsi" w:cstheme="minorHAnsi"/>
          <w:lang w:val="el-GR"/>
        </w:rPr>
        <w:t>Lidl</w:t>
      </w:r>
      <w:proofErr w:type="spellEnd"/>
      <w:r w:rsidRPr="00786462">
        <w:rPr>
          <w:rFonts w:asciiTheme="minorHAnsi" w:hAnsiTheme="minorHAnsi" w:cstheme="minorHAnsi"/>
          <w:lang w:val="el-GR"/>
        </w:rPr>
        <w:t xml:space="preserve">, </w:t>
      </w:r>
      <w:proofErr w:type="spellStart"/>
      <w:r w:rsidRPr="00786462">
        <w:rPr>
          <w:rFonts w:asciiTheme="minorHAnsi" w:hAnsiTheme="minorHAnsi" w:cstheme="minorHAnsi"/>
          <w:lang w:val="el-GR"/>
        </w:rPr>
        <w:t>Tesco</w:t>
      </w:r>
      <w:proofErr w:type="spellEnd"/>
      <w:r w:rsidRPr="00786462">
        <w:rPr>
          <w:rFonts w:asciiTheme="minorHAnsi" w:hAnsiTheme="minorHAnsi" w:cstheme="minorHAnsi"/>
          <w:lang w:val="el-GR"/>
        </w:rPr>
        <w:t xml:space="preserve">, CBA, </w:t>
      </w:r>
      <w:proofErr w:type="spellStart"/>
      <w:r w:rsidRPr="00786462">
        <w:rPr>
          <w:rFonts w:asciiTheme="minorHAnsi" w:hAnsiTheme="minorHAnsi" w:cstheme="minorHAnsi"/>
          <w:lang w:val="el-GR"/>
        </w:rPr>
        <w:t>Coop</w:t>
      </w:r>
      <w:proofErr w:type="spellEnd"/>
      <w:r w:rsidRPr="00786462">
        <w:rPr>
          <w:rFonts w:asciiTheme="minorHAnsi" w:hAnsiTheme="minorHAnsi" w:cstheme="minorHAnsi"/>
          <w:lang w:val="el-GR"/>
        </w:rPr>
        <w:t xml:space="preserve"> και </w:t>
      </w:r>
      <w:proofErr w:type="spellStart"/>
      <w:r w:rsidRPr="00786462">
        <w:rPr>
          <w:rFonts w:asciiTheme="minorHAnsi" w:hAnsiTheme="minorHAnsi" w:cstheme="minorHAnsi"/>
          <w:lang w:val="el-GR"/>
        </w:rPr>
        <w:t>Real</w:t>
      </w:r>
      <w:proofErr w:type="spellEnd"/>
      <w:r w:rsidRPr="00786462">
        <w:rPr>
          <w:rFonts w:asciiTheme="minorHAnsi" w:hAnsiTheme="minorHAnsi" w:cstheme="minorHAnsi"/>
          <w:lang w:val="el-GR"/>
        </w:rPr>
        <w:t>). Σημειώνεται ότι περίπου 2/3 των προϊόντων τροφίμων που διακινούνται στα εγχώρια καταστήματα, είναι ουγγρικής προέλευσης.</w:t>
      </w:r>
    </w:p>
    <w:p w:rsidR="004E3872" w:rsidRPr="00786462" w:rsidRDefault="004E3872" w:rsidP="004E3872">
      <w:pPr>
        <w:jc w:val="both"/>
        <w:rPr>
          <w:rFonts w:asciiTheme="minorHAnsi" w:hAnsiTheme="minorHAnsi" w:cstheme="minorHAnsi"/>
          <w:lang w:val="el-GR"/>
        </w:rPr>
      </w:pPr>
      <w:r w:rsidRPr="00786462">
        <w:rPr>
          <w:rFonts w:asciiTheme="minorHAnsi" w:hAnsiTheme="minorHAnsi" w:cstheme="minorHAnsi"/>
          <w:lang w:val="el-GR"/>
        </w:rPr>
        <w:t xml:space="preserve"> </w:t>
      </w:r>
    </w:p>
    <w:p w:rsidR="004E3872" w:rsidRPr="002F5860" w:rsidRDefault="004E3872" w:rsidP="004E3872">
      <w:pPr>
        <w:jc w:val="both"/>
        <w:rPr>
          <w:rFonts w:asciiTheme="minorHAnsi" w:hAnsiTheme="minorHAnsi" w:cstheme="minorHAnsi"/>
          <w:lang w:val="el-GR"/>
        </w:rPr>
      </w:pPr>
      <w:r w:rsidRPr="00786462">
        <w:rPr>
          <w:rFonts w:asciiTheme="minorHAnsi" w:hAnsiTheme="minorHAnsi" w:cstheme="minorHAnsi"/>
          <w:lang w:val="el-GR"/>
        </w:rPr>
        <w:t>Ταυτόχρονα, η κυβέρνηση αποφάσισε τον τετραπλασιασμό των κονδυλίων που θα δεσμευθούν</w:t>
      </w:r>
      <w:r w:rsidRPr="002F5860">
        <w:rPr>
          <w:rFonts w:asciiTheme="minorHAnsi" w:hAnsiTheme="minorHAnsi" w:cstheme="minorHAnsi"/>
          <w:lang w:val="el-GR"/>
        </w:rPr>
        <w:t xml:space="preserve"> από τον κρατικό προϋπολογισμό και τα οποία θα προστεθούν στα κονδύλια που θα ληφθούν από την ΕΕ μέσω της  Κοινής Αγροτικής Πολιτικής (ΚΑΠ), για την περίοδο 2021-2027 (Πολυετές Δημοσιονομικό Πλαίσιο). Τα χρήματα θα διατεθούν για την ανάπτυξη του αγροτικού τομέα, των αγροτικών περιοχών και της βιομηχανίας τροφίμων.</w:t>
      </w:r>
    </w:p>
    <w:p w:rsidR="004E3872" w:rsidRPr="002F5860" w:rsidRDefault="004E3872" w:rsidP="004E3872">
      <w:pPr>
        <w:jc w:val="both"/>
        <w:rPr>
          <w:rFonts w:asciiTheme="minorHAnsi" w:hAnsiTheme="minorHAnsi" w:cstheme="minorHAnsi"/>
          <w:lang w:val="el-GR"/>
        </w:rPr>
      </w:pPr>
    </w:p>
    <w:p w:rsidR="009F75AC" w:rsidRPr="002F5860" w:rsidRDefault="009F75AC" w:rsidP="009F75AC">
      <w:pPr>
        <w:spacing w:after="120"/>
        <w:rPr>
          <w:rFonts w:asciiTheme="minorHAnsi" w:hAnsiTheme="minorHAnsi" w:cstheme="minorHAnsi"/>
          <w:b/>
          <w:bCs/>
          <w:lang w:val="el-GR"/>
        </w:rPr>
      </w:pPr>
      <w:r w:rsidRPr="002F5860">
        <w:rPr>
          <w:rFonts w:asciiTheme="minorHAnsi" w:hAnsiTheme="minorHAnsi" w:cstheme="minorHAnsi"/>
          <w:b/>
          <w:bCs/>
          <w:lang w:val="el-GR"/>
        </w:rPr>
        <w:t>Γ. Επιχειρηματικό Περιβάλλον</w:t>
      </w:r>
    </w:p>
    <w:p w:rsidR="009F75AC" w:rsidRPr="009F75AC" w:rsidRDefault="009F75AC" w:rsidP="009F75AC">
      <w:pPr>
        <w:jc w:val="both"/>
        <w:rPr>
          <w:rFonts w:asciiTheme="minorHAnsi" w:hAnsiTheme="minorHAnsi" w:cstheme="minorHAnsi"/>
          <w:lang w:val="el-GR"/>
        </w:rPr>
      </w:pPr>
      <w:r w:rsidRPr="00786462">
        <w:rPr>
          <w:rFonts w:asciiTheme="minorHAnsi" w:hAnsiTheme="minorHAnsi" w:cstheme="minorHAnsi"/>
          <w:lang w:val="el-GR"/>
        </w:rPr>
        <w:t xml:space="preserve">Οι επιδόσεις της Ουγγαρίας υπολείπονται του μέσου όρου της Ε.Ε., σε τομείς που προσδιορίζουν το επιχειρηματικό περιβάλλον μιας χώρας, όπως η ταχύτητα αλλαγής της νομοθεσίας, η πολυπλοκότητα των διοικητικών πράξεων (γραφειοκρατία) και το επίπεδο των προσφερομένων σε επιχειρήσεις υπηρεσιών ηλεκτρονικής διακυβέρνησης. Πιο συγκεκριμένα, οι επιχειρηματίες και επενδυτές, προβληματίζονται για τον χαμηλό βαθμό </w:t>
      </w:r>
      <w:proofErr w:type="spellStart"/>
      <w:r w:rsidRPr="00786462">
        <w:rPr>
          <w:rFonts w:asciiTheme="minorHAnsi" w:hAnsiTheme="minorHAnsi" w:cstheme="minorHAnsi"/>
          <w:lang w:val="el-GR"/>
        </w:rPr>
        <w:t>προβλεψιμότητας</w:t>
      </w:r>
      <w:proofErr w:type="spellEnd"/>
      <w:r w:rsidRPr="00786462">
        <w:rPr>
          <w:rFonts w:asciiTheme="minorHAnsi" w:hAnsiTheme="minorHAnsi" w:cstheme="minorHAnsi"/>
          <w:lang w:val="el-GR"/>
        </w:rPr>
        <w:t xml:space="preserve"> και σταθερότητας του κανονιστικού πλαισίου (</w:t>
      </w:r>
      <w:r>
        <w:rPr>
          <w:rFonts w:asciiTheme="minorHAnsi" w:hAnsiTheme="minorHAnsi" w:cstheme="minorHAnsi"/>
        </w:rPr>
        <w:t>predictability</w:t>
      </w:r>
      <w:r w:rsidRPr="00786462">
        <w:rPr>
          <w:rFonts w:asciiTheme="minorHAnsi" w:hAnsiTheme="minorHAnsi" w:cstheme="minorHAnsi"/>
          <w:lang w:val="el-GR"/>
        </w:rPr>
        <w:t xml:space="preserve">). </w:t>
      </w:r>
    </w:p>
    <w:p w:rsidR="009F75AC" w:rsidRPr="002F5860" w:rsidRDefault="009F75AC" w:rsidP="009F75AC">
      <w:pPr>
        <w:jc w:val="both"/>
        <w:rPr>
          <w:rFonts w:asciiTheme="minorHAnsi" w:hAnsiTheme="minorHAnsi" w:cstheme="minorHAnsi"/>
          <w:lang w:val="hu-HU"/>
        </w:rPr>
      </w:pPr>
      <w:r w:rsidRPr="002F5860">
        <w:rPr>
          <w:rFonts w:asciiTheme="minorHAnsi" w:hAnsiTheme="minorHAnsi" w:cstheme="minorHAnsi"/>
          <w:lang w:val="el-GR"/>
        </w:rPr>
        <w:t>Το 2015 η ουγγρική κυβέρνηση υιοθέτησε μια στρατηγική για την ανάπτυξη της Δημόσιας Διοίκησης και των δημοσίων υπηρεσιών (</w:t>
      </w:r>
      <w:r w:rsidRPr="002F5860">
        <w:rPr>
          <w:rFonts w:asciiTheme="minorHAnsi" w:hAnsiTheme="minorHAnsi" w:cstheme="minorHAnsi"/>
        </w:rPr>
        <w:t>Public</w:t>
      </w:r>
      <w:r w:rsidRPr="002F5860">
        <w:rPr>
          <w:rFonts w:asciiTheme="minorHAnsi" w:hAnsiTheme="minorHAnsi" w:cstheme="minorHAnsi"/>
          <w:lang w:val="el-GR"/>
        </w:rPr>
        <w:t xml:space="preserve"> </w:t>
      </w:r>
      <w:r w:rsidRPr="002F5860">
        <w:rPr>
          <w:rFonts w:asciiTheme="minorHAnsi" w:hAnsiTheme="minorHAnsi" w:cstheme="minorHAnsi"/>
        </w:rPr>
        <w:t>Administration</w:t>
      </w:r>
      <w:r w:rsidRPr="002F5860">
        <w:rPr>
          <w:rFonts w:asciiTheme="minorHAnsi" w:hAnsiTheme="minorHAnsi" w:cstheme="minorHAnsi"/>
          <w:lang w:val="el-GR"/>
        </w:rPr>
        <w:t xml:space="preserve"> </w:t>
      </w:r>
      <w:r w:rsidRPr="002F5860">
        <w:rPr>
          <w:rFonts w:asciiTheme="minorHAnsi" w:hAnsiTheme="minorHAnsi" w:cstheme="minorHAnsi"/>
        </w:rPr>
        <w:t>and</w:t>
      </w:r>
      <w:r w:rsidRPr="002F5860">
        <w:rPr>
          <w:rFonts w:asciiTheme="minorHAnsi" w:hAnsiTheme="minorHAnsi" w:cstheme="minorHAnsi"/>
          <w:lang w:val="el-GR"/>
        </w:rPr>
        <w:t xml:space="preserve"> </w:t>
      </w:r>
      <w:r w:rsidRPr="002F5860">
        <w:rPr>
          <w:rFonts w:asciiTheme="minorHAnsi" w:hAnsiTheme="minorHAnsi" w:cstheme="minorHAnsi"/>
        </w:rPr>
        <w:t>Public</w:t>
      </w:r>
      <w:r w:rsidRPr="002F5860">
        <w:rPr>
          <w:rFonts w:asciiTheme="minorHAnsi" w:hAnsiTheme="minorHAnsi" w:cstheme="minorHAnsi"/>
          <w:lang w:val="el-GR"/>
        </w:rPr>
        <w:t xml:space="preserve"> </w:t>
      </w:r>
      <w:r w:rsidRPr="002F5860">
        <w:rPr>
          <w:rFonts w:asciiTheme="minorHAnsi" w:hAnsiTheme="minorHAnsi" w:cstheme="minorHAnsi"/>
        </w:rPr>
        <w:t>Services</w:t>
      </w:r>
      <w:r w:rsidRPr="002F5860">
        <w:rPr>
          <w:rFonts w:asciiTheme="minorHAnsi" w:hAnsiTheme="minorHAnsi" w:cstheme="minorHAnsi"/>
          <w:lang w:val="el-GR"/>
        </w:rPr>
        <w:t xml:space="preserve"> </w:t>
      </w:r>
      <w:r w:rsidRPr="002F5860">
        <w:rPr>
          <w:rFonts w:asciiTheme="minorHAnsi" w:hAnsiTheme="minorHAnsi" w:cstheme="minorHAnsi"/>
        </w:rPr>
        <w:t>Development</w:t>
      </w:r>
      <w:r w:rsidRPr="002F5860">
        <w:rPr>
          <w:rFonts w:asciiTheme="minorHAnsi" w:hAnsiTheme="minorHAnsi" w:cstheme="minorHAnsi"/>
          <w:lang w:val="el-GR"/>
        </w:rPr>
        <w:t xml:space="preserve"> </w:t>
      </w:r>
      <w:r w:rsidRPr="002F5860">
        <w:rPr>
          <w:rFonts w:asciiTheme="minorHAnsi" w:hAnsiTheme="minorHAnsi" w:cstheme="minorHAnsi"/>
        </w:rPr>
        <w:t>Strategy</w:t>
      </w:r>
      <w:r w:rsidRPr="002F5860">
        <w:rPr>
          <w:rFonts w:asciiTheme="minorHAnsi" w:hAnsiTheme="minorHAnsi" w:cstheme="minorHAnsi"/>
          <w:lang w:val="el-GR"/>
        </w:rPr>
        <w:t xml:space="preserve"> 2014-2020), με στόχο την μείωση του φόρτου εργασίας και του χρόνου ανταπόκρισης της δημόσιας διοίκησης κατά 20%, καθώς και τη μείωση του κόστους των διοικητικών πράξεων και τελών κατά 10%.</w:t>
      </w:r>
    </w:p>
    <w:p w:rsidR="009F75AC" w:rsidRPr="002F5860" w:rsidRDefault="009F75AC" w:rsidP="009F75AC">
      <w:pPr>
        <w:jc w:val="both"/>
        <w:rPr>
          <w:rFonts w:asciiTheme="minorHAnsi" w:hAnsiTheme="minorHAnsi" w:cstheme="minorHAnsi"/>
          <w:lang w:val="hu-HU"/>
        </w:rPr>
      </w:pPr>
      <w:r w:rsidRPr="002F5860">
        <w:rPr>
          <w:rFonts w:asciiTheme="minorHAnsi" w:hAnsiTheme="minorHAnsi" w:cstheme="minorHAnsi"/>
          <w:lang w:val="el-GR"/>
        </w:rPr>
        <w:t xml:space="preserve">Επίσης, υπάρχουν περιορισμοί στην ίδρυση και λειτουργία καταστημάτων λιανικής, οι οποίοι επιβάλλονται κυρίως σε ξένες εταιρείες που διατηρούν μεγάλες αλυσίδες καταστημάτων λιανικής. Το περιοριστικό περιβάλλον σε συνδυασμό με τις συχνές αλλαγές της σχετικής νομοθεσίας, υπονομεύουν τον περαιτέρω εκσυγχρονισμό του κλάδου λιανικού εμπορίου. Σύμφωνα εξάλλου με πρόσφατη </w:t>
      </w:r>
      <w:r>
        <w:rPr>
          <w:rFonts w:asciiTheme="minorHAnsi" w:hAnsiTheme="minorHAnsi" w:cstheme="minorHAnsi"/>
          <w:lang w:val="el-GR"/>
        </w:rPr>
        <w:t>έκθεση της Ε.Ε</w:t>
      </w:r>
      <w:r w:rsidRPr="00786462">
        <w:rPr>
          <w:rFonts w:asciiTheme="minorHAnsi" w:hAnsiTheme="minorHAnsi" w:cstheme="minorHAnsi"/>
          <w:lang w:val="el-GR"/>
        </w:rPr>
        <w:t>.</w:t>
      </w:r>
      <w:r w:rsidRPr="002F5860">
        <w:rPr>
          <w:rFonts w:asciiTheme="minorHAnsi" w:hAnsiTheme="minorHAnsi" w:cstheme="minorHAnsi"/>
          <w:lang w:val="el-GR"/>
        </w:rPr>
        <w:t>, τα περιθώρια προσαυξήσεων των τιμών (</w:t>
      </w:r>
      <w:r w:rsidRPr="002F5860">
        <w:rPr>
          <w:rFonts w:asciiTheme="minorHAnsi" w:hAnsiTheme="minorHAnsi" w:cstheme="minorHAnsi"/>
        </w:rPr>
        <w:t>mark</w:t>
      </w:r>
      <w:r w:rsidRPr="002F5860">
        <w:rPr>
          <w:rFonts w:asciiTheme="minorHAnsi" w:hAnsiTheme="minorHAnsi" w:cstheme="minorHAnsi"/>
          <w:lang w:val="el-GR"/>
        </w:rPr>
        <w:t>-</w:t>
      </w:r>
      <w:r w:rsidRPr="002F5860">
        <w:rPr>
          <w:rFonts w:asciiTheme="minorHAnsi" w:hAnsiTheme="minorHAnsi" w:cstheme="minorHAnsi"/>
        </w:rPr>
        <w:t>ups</w:t>
      </w:r>
      <w:r w:rsidRPr="002F5860">
        <w:rPr>
          <w:rFonts w:asciiTheme="minorHAnsi" w:hAnsiTheme="minorHAnsi" w:cstheme="minorHAnsi"/>
          <w:lang w:val="el-GR"/>
        </w:rPr>
        <w:t>) στην Ουγγαρία, ακολουθούν εδώ και μια δεκαετία ανοδική πορεία και είναι τα τρίτα υψηλότερα στην Ευρώπη. Επίσης, ο αριθμός των «κλειστών» επαγγελμάτων στην Ουγγαρία είναι σχεδόν ο διπλάσιος του μέσου όρου της Ε.Ε.</w:t>
      </w:r>
    </w:p>
    <w:p w:rsidR="009F75AC" w:rsidRPr="002F5860" w:rsidRDefault="009F75AC" w:rsidP="009F75AC">
      <w:pPr>
        <w:jc w:val="both"/>
        <w:rPr>
          <w:rFonts w:asciiTheme="minorHAnsi" w:hAnsiTheme="minorHAnsi" w:cstheme="minorHAnsi"/>
          <w:lang w:val="el-GR"/>
        </w:rPr>
      </w:pPr>
      <w:r w:rsidRPr="002F5860">
        <w:rPr>
          <w:rFonts w:asciiTheme="minorHAnsi" w:hAnsiTheme="minorHAnsi" w:cstheme="minorHAnsi"/>
          <w:lang w:val="el-GR"/>
        </w:rPr>
        <w:t xml:space="preserve">Πέραν των ανωτέρω, η κυβέρνηση, με αφορμή τη λήψη μέτρων κατά της πανδημίας COVID-19 και στο πλαίσιο της προστασίας της οικονομίας από τις αρνητικές επιπτώσεις της πανδημίας, εξέδωσε διάταγμα με το οποίο επεκτείνονται σημαντικά οι υπό προστασία τομείς και βιομηχανίες της χώρας. </w:t>
      </w:r>
      <w:r w:rsidRPr="002F5860">
        <w:rPr>
          <w:rFonts w:asciiTheme="minorHAnsi" w:hAnsiTheme="minorHAnsi" w:cstheme="minorHAnsi"/>
          <w:lang w:val="el-GR"/>
        </w:rPr>
        <w:lastRenderedPageBreak/>
        <w:t xml:space="preserve">Ο νόμος με τον οποίον προστατεύονται οι ευαίσθητοι τομείς της οικονομίας από τυχόν επιρροή ξένων επενδυτών και από ενδεχόμενη εξάρτησή τους από τα ξένα επενδυμένα σε αυτούς </w:t>
      </w:r>
      <w:r w:rsidRPr="00786462">
        <w:rPr>
          <w:rFonts w:asciiTheme="minorHAnsi" w:hAnsiTheme="minorHAnsi" w:cstheme="minorHAnsi"/>
          <w:lang w:val="el-GR"/>
        </w:rPr>
        <w:t>κεφάλαια, έχει εγκριθεί από το Εθνικό Κοινοβούλιο το 2018 και ισχύει από 1ης Ιανουαρίου 2019. Σύμφωνα με τη σχετική νομοθεσία, οι ξένοι επενδυτές οφείλουν να υποβάλλουν αίτηση για έγκριση της επένδυσής τους στα αρμόδια κατά περίπτωση Υπουργεία, τα οποία οφείλουν, εντός 45 ημερών, να αποφασίσουν για το εάν η συγκεκριμένη επένδυση μπορεί να βλάψει τα εθνικά συμφέροντα της Ουγγαρίας. Οι προστατευμένοι τομείς της οικονομίας αφορούν στην βιομηχανία κατασκευής όπλων, στην στρατιωτική τεχνολογία στις βιομηχανίες παραγωγής εξοπλισμού μυστικών υπηρεσιών, καθώς και σε ορισμένες χρηματοπιστωτικές υπηρεσίες, σε συστήματα πληρωμών και σε</w:t>
      </w:r>
      <w:r w:rsidRPr="002F5860">
        <w:rPr>
          <w:rFonts w:asciiTheme="minorHAnsi" w:hAnsiTheme="minorHAnsi" w:cstheme="minorHAnsi"/>
          <w:lang w:val="el-GR"/>
        </w:rPr>
        <w:t xml:space="preserve"> δραστηριότητες που εμπίπτουν στο νόμο περί ηλεκτρικής ενέργειας, φυσικού αερίου, ύδρευσης και ηλεκτρονικών επικοινωνιών. Με το νέο διάταγμα (2020), ο Υπουργός Καινοτομίας και Τεχνολογίας, Δρ. </w:t>
      </w:r>
      <w:proofErr w:type="spellStart"/>
      <w:r w:rsidRPr="002F5860">
        <w:rPr>
          <w:rFonts w:asciiTheme="minorHAnsi" w:hAnsiTheme="minorHAnsi" w:cstheme="minorHAnsi"/>
          <w:lang w:val="el-GR"/>
        </w:rPr>
        <w:t>László</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Palkovics</w:t>
      </w:r>
      <w:proofErr w:type="spellEnd"/>
      <w:r w:rsidRPr="002F5860">
        <w:rPr>
          <w:rFonts w:asciiTheme="minorHAnsi" w:hAnsiTheme="minorHAnsi" w:cstheme="minorHAnsi"/>
          <w:lang w:val="el-GR"/>
        </w:rPr>
        <w:t xml:space="preserve">, θα εγκρίνει μια σειρά από επενδυτικές ενέργειες, όπως εξαγορές από ξένους επενδυτές, αυξήσεις κεφαλαίων, συγχωνεύσεις και διαιρέσεις επιχειρήσεων των συγκεκριμένων υπό προστασία τομέων. Παράλληλα, μέχρι και 31 Δεκεμβρίου 2020, οι προστατευμένοι τομείς επεκτείνονται στις βιομηχανίες χημικών, τηλεπικοινωνιών, κατασκευής οχημάτων, μεταλλουργίας, οπτικών, ηλεκτρονικών και παραγωγής ηλεκτρικών προϊόντων </w:t>
      </w:r>
    </w:p>
    <w:p w:rsidR="009F75AC" w:rsidRPr="002F5860" w:rsidRDefault="009F75AC" w:rsidP="009F75AC">
      <w:pPr>
        <w:jc w:val="both"/>
        <w:rPr>
          <w:rFonts w:asciiTheme="minorHAnsi" w:hAnsiTheme="minorHAnsi" w:cstheme="minorHAnsi"/>
          <w:lang w:val="el-GR"/>
        </w:rPr>
      </w:pPr>
    </w:p>
    <w:p w:rsidR="009F75AC" w:rsidRDefault="009F75AC" w:rsidP="009F75AC">
      <w:pPr>
        <w:jc w:val="both"/>
        <w:rPr>
          <w:rFonts w:asciiTheme="minorHAnsi" w:hAnsiTheme="minorHAnsi" w:cstheme="minorHAnsi"/>
          <w:lang w:val="el-GR"/>
        </w:rPr>
      </w:pPr>
      <w:r w:rsidRPr="008344E2">
        <w:rPr>
          <w:rFonts w:asciiTheme="minorHAnsi" w:hAnsiTheme="minorHAnsi" w:cstheme="minorHAnsi"/>
          <w:lang w:val="el-GR"/>
        </w:rPr>
        <w:t xml:space="preserve">Σύμφωνα με το </w:t>
      </w:r>
      <w:r w:rsidRPr="008344E2">
        <w:rPr>
          <w:rFonts w:asciiTheme="minorHAnsi" w:hAnsiTheme="minorHAnsi" w:cstheme="minorHAnsi"/>
        </w:rPr>
        <w:t>World</w:t>
      </w:r>
      <w:r w:rsidRPr="008344E2">
        <w:rPr>
          <w:rFonts w:asciiTheme="minorHAnsi" w:hAnsiTheme="minorHAnsi" w:cstheme="minorHAnsi"/>
          <w:lang w:val="el-GR"/>
        </w:rPr>
        <w:t xml:space="preserve"> </w:t>
      </w:r>
      <w:r w:rsidRPr="008344E2">
        <w:rPr>
          <w:rFonts w:asciiTheme="minorHAnsi" w:hAnsiTheme="minorHAnsi" w:cstheme="minorHAnsi"/>
        </w:rPr>
        <w:t>Economic</w:t>
      </w:r>
      <w:r w:rsidRPr="008344E2">
        <w:rPr>
          <w:rFonts w:asciiTheme="minorHAnsi" w:hAnsiTheme="minorHAnsi" w:cstheme="minorHAnsi"/>
          <w:lang w:val="el-GR"/>
        </w:rPr>
        <w:t xml:space="preserve"> </w:t>
      </w:r>
      <w:r w:rsidRPr="008344E2">
        <w:rPr>
          <w:rFonts w:asciiTheme="minorHAnsi" w:hAnsiTheme="minorHAnsi" w:cstheme="minorHAnsi"/>
        </w:rPr>
        <w:t>Forum</w:t>
      </w:r>
      <w:r w:rsidRPr="008344E2">
        <w:rPr>
          <w:rFonts w:asciiTheme="minorHAnsi" w:hAnsiTheme="minorHAnsi" w:cstheme="minorHAnsi"/>
          <w:lang w:val="el-GR"/>
        </w:rPr>
        <w:t>, η διαφθορά στην Ουγγαρία παραμένει σε υψηλά επίπεδα και υπονομεύει την ανταγωνιστικότητα της χώρας. Η κυβέρνηση υιοθέτησε πρόγραμμα κατά της διαφθοράς (</w:t>
      </w:r>
      <w:r w:rsidRPr="008344E2">
        <w:rPr>
          <w:rFonts w:asciiTheme="minorHAnsi" w:hAnsiTheme="minorHAnsi" w:cstheme="minorHAnsi"/>
        </w:rPr>
        <w:t>National</w:t>
      </w:r>
      <w:r w:rsidRPr="008344E2">
        <w:rPr>
          <w:rFonts w:asciiTheme="minorHAnsi" w:hAnsiTheme="minorHAnsi" w:cstheme="minorHAnsi"/>
          <w:lang w:val="el-GR"/>
        </w:rPr>
        <w:t xml:space="preserve"> </w:t>
      </w:r>
      <w:r w:rsidRPr="008344E2">
        <w:rPr>
          <w:rFonts w:asciiTheme="minorHAnsi" w:hAnsiTheme="minorHAnsi" w:cstheme="minorHAnsi"/>
        </w:rPr>
        <w:t>Anticorruption</w:t>
      </w:r>
      <w:r w:rsidRPr="008344E2">
        <w:rPr>
          <w:rFonts w:asciiTheme="minorHAnsi" w:hAnsiTheme="minorHAnsi" w:cstheme="minorHAnsi"/>
          <w:lang w:val="el-GR"/>
        </w:rPr>
        <w:t xml:space="preserve"> </w:t>
      </w:r>
      <w:r w:rsidRPr="008344E2">
        <w:rPr>
          <w:rFonts w:asciiTheme="minorHAnsi" w:hAnsiTheme="minorHAnsi" w:cstheme="minorHAnsi"/>
        </w:rPr>
        <w:t>Action</w:t>
      </w:r>
      <w:r w:rsidRPr="008344E2">
        <w:rPr>
          <w:rFonts w:asciiTheme="minorHAnsi" w:hAnsiTheme="minorHAnsi" w:cstheme="minorHAnsi"/>
          <w:lang w:val="el-GR"/>
        </w:rPr>
        <w:t xml:space="preserve"> </w:t>
      </w:r>
      <w:proofErr w:type="spellStart"/>
      <w:r w:rsidRPr="008344E2">
        <w:rPr>
          <w:rFonts w:asciiTheme="minorHAnsi" w:hAnsiTheme="minorHAnsi" w:cstheme="minorHAnsi"/>
        </w:rPr>
        <w:t>Programme</w:t>
      </w:r>
      <w:proofErr w:type="spellEnd"/>
      <w:r w:rsidRPr="008344E2">
        <w:rPr>
          <w:rFonts w:asciiTheme="minorHAnsi" w:hAnsiTheme="minorHAnsi" w:cstheme="minorHAnsi"/>
          <w:lang w:val="el-GR"/>
        </w:rPr>
        <w:t xml:space="preserve"> 2015-2018) με έμφαση στην χρηστή</w:t>
      </w:r>
      <w:r w:rsidRPr="002F5860">
        <w:rPr>
          <w:rFonts w:asciiTheme="minorHAnsi" w:hAnsiTheme="minorHAnsi" w:cstheme="minorHAnsi"/>
          <w:lang w:val="el-GR"/>
        </w:rPr>
        <w:t xml:space="preserve"> διαχείριση, χωρίς όμως να υπάρχει, επί του παρόντος τουλάχιστον, εμφανής βελτίωση σε δημόσιους οργανισμούς. </w:t>
      </w:r>
    </w:p>
    <w:p w:rsidR="00C66722" w:rsidRPr="002F5860" w:rsidRDefault="00C66722" w:rsidP="009F75AC">
      <w:pPr>
        <w:jc w:val="both"/>
        <w:rPr>
          <w:rFonts w:asciiTheme="minorHAnsi" w:hAnsiTheme="minorHAnsi" w:cstheme="minorHAnsi"/>
          <w:lang w:val="el-GR"/>
        </w:rPr>
      </w:pPr>
    </w:p>
    <w:p w:rsidR="00527344" w:rsidRDefault="009F75AC" w:rsidP="009F75AC">
      <w:pPr>
        <w:jc w:val="both"/>
        <w:rPr>
          <w:rFonts w:asciiTheme="minorHAnsi" w:hAnsiTheme="minorHAnsi" w:cstheme="minorHAnsi"/>
          <w:lang w:val="el-GR"/>
        </w:rPr>
      </w:pPr>
      <w:r w:rsidRPr="002F5860">
        <w:rPr>
          <w:rFonts w:asciiTheme="minorHAnsi" w:hAnsiTheme="minorHAnsi" w:cstheme="minorHAnsi"/>
          <w:lang w:val="el-GR"/>
        </w:rPr>
        <w:t xml:space="preserve">Όσον αφορά στου δημόσιους διαγωνισμούς προμηθειών, η κατάσταση έχει σαφώς βελτιωθεί, όμως, η εικόνα που έχει ο επιχειρηματικός κόσμος για τα επίπεδα διαφθοράς στην Ουγγαρία, παραμένει αρνητική και πάντως υπολείπεται του μέσου όρου της Ε.Ε. </w:t>
      </w:r>
      <w:r w:rsidR="00527344">
        <w:rPr>
          <w:rFonts w:asciiTheme="minorHAnsi" w:hAnsiTheme="minorHAnsi" w:cstheme="minorHAnsi"/>
          <w:lang w:val="el-GR"/>
        </w:rPr>
        <w:t xml:space="preserve">καθώς </w:t>
      </w:r>
      <w:r w:rsidRPr="002F5860">
        <w:rPr>
          <w:rFonts w:asciiTheme="minorHAnsi" w:hAnsiTheme="minorHAnsi" w:cstheme="minorHAnsi"/>
          <w:lang w:val="el-GR"/>
        </w:rPr>
        <w:t>το 81% του επιχειρηματικού κόσμου στην Ουγγαρία πίστευε ότι η διαφθορά στη χώρα είναι ευρέως διαδεδομένη (το αντίστοιχο ποσοστό στην Ε.Ε. ήταν 71%). Το 60% των επιχειρηματιών έχει  την πεποίθηση ότι στους δημόσιους διαγωνισμούς προμηθειών οι προδιαγραφές είναι «φωτογραφικές», ενώ 52% πιστεύει ότι οι τιμές των προσφορών είναι προ</w:t>
      </w:r>
      <w:r w:rsidRPr="008344E2">
        <w:rPr>
          <w:rFonts w:asciiTheme="minorHAnsi" w:hAnsiTheme="minorHAnsi" w:cstheme="minorHAnsi"/>
          <w:lang w:val="el-GR"/>
        </w:rPr>
        <w:t>-</w:t>
      </w:r>
      <w:r w:rsidRPr="002F5860">
        <w:rPr>
          <w:rFonts w:asciiTheme="minorHAnsi" w:hAnsiTheme="minorHAnsi" w:cstheme="minorHAnsi"/>
          <w:lang w:val="el-GR"/>
        </w:rPr>
        <w:t xml:space="preserve">συνεννοημένες. Τέλος, 27% των επιχειρήσεων που έχουν συμμετάσχει σε πρόσφατο δημόσιο διαγωνισμό στην Ουγγαρία </w:t>
      </w:r>
      <w:proofErr w:type="spellStart"/>
      <w:r w:rsidRPr="002F5860">
        <w:rPr>
          <w:rFonts w:asciiTheme="minorHAnsi" w:hAnsiTheme="minorHAnsi" w:cstheme="minorHAnsi"/>
          <w:lang w:val="el-GR"/>
        </w:rPr>
        <w:t>πιστεύ</w:t>
      </w:r>
      <w:proofErr w:type="spellEnd"/>
      <w:r w:rsidRPr="002F5860">
        <w:rPr>
          <w:rFonts w:asciiTheme="minorHAnsi" w:hAnsiTheme="minorHAnsi" w:cstheme="minorHAnsi"/>
        </w:rPr>
        <w:t>o</w:t>
      </w:r>
      <w:r w:rsidR="00527344">
        <w:rPr>
          <w:rFonts w:asciiTheme="minorHAnsi" w:hAnsiTheme="minorHAnsi" w:cstheme="minorHAnsi"/>
          <w:lang w:val="el-GR"/>
        </w:rPr>
        <w:t>υν ότι αποκλείσθ</w:t>
      </w:r>
      <w:r w:rsidRPr="002F5860">
        <w:rPr>
          <w:rFonts w:asciiTheme="minorHAnsi" w:hAnsiTheme="minorHAnsi" w:cstheme="minorHAnsi"/>
          <w:lang w:val="el-GR"/>
        </w:rPr>
        <w:t xml:space="preserve">ηκαν εξαιτίας του υψηλού επιπέδου διαφθοράς που επικρατεί στο σύστημα των δημοσίων διαγωνισμών. </w:t>
      </w:r>
    </w:p>
    <w:p w:rsidR="00527344" w:rsidRDefault="00527344" w:rsidP="009F75AC">
      <w:pPr>
        <w:jc w:val="both"/>
        <w:rPr>
          <w:rFonts w:asciiTheme="minorHAnsi" w:hAnsiTheme="minorHAnsi" w:cstheme="minorHAnsi"/>
          <w:lang w:val="el-GR"/>
        </w:rPr>
      </w:pPr>
    </w:p>
    <w:p w:rsidR="009F75AC" w:rsidRPr="002F5860" w:rsidRDefault="009F75AC" w:rsidP="009F75AC">
      <w:pPr>
        <w:jc w:val="both"/>
        <w:rPr>
          <w:rFonts w:asciiTheme="minorHAnsi" w:hAnsiTheme="minorHAnsi" w:cstheme="minorHAnsi"/>
          <w:lang w:val="el-GR"/>
        </w:rPr>
      </w:pPr>
      <w:r w:rsidRPr="002F5860">
        <w:rPr>
          <w:rFonts w:asciiTheme="minorHAnsi" w:hAnsiTheme="minorHAnsi" w:cstheme="minorHAnsi"/>
          <w:lang w:val="el-GR"/>
        </w:rPr>
        <w:t>Στατιστικά στοιχεία δείχνουν εξάλλου ότι το ποσοστό των απευθείας αναθέσεων (μη δημοσιοποιημένων) άγγιξε το 13% (στην Ε.Ε.: 4%), ενώ στο 36% των περιπτώσεων αναθέσεων με διαγωνισμό, υπήρχε μόνο μία προσφορά πάνω από το κατώτατο αποδεκτό όριο του διαγωνισμού (στην Ε.Ε.: 21%). Σύμφωνα με πρόσφατα στοιχεία της “</w:t>
      </w:r>
      <w:r w:rsidRPr="002F5860">
        <w:rPr>
          <w:rFonts w:asciiTheme="minorHAnsi" w:hAnsiTheme="minorHAnsi" w:cstheme="minorHAnsi"/>
        </w:rPr>
        <w:t>Transparency</w:t>
      </w:r>
      <w:r w:rsidRPr="002F5860">
        <w:rPr>
          <w:rFonts w:asciiTheme="minorHAnsi" w:hAnsiTheme="minorHAnsi" w:cstheme="minorHAnsi"/>
          <w:lang w:val="el-GR"/>
        </w:rPr>
        <w:t xml:space="preserve"> </w:t>
      </w:r>
      <w:r w:rsidRPr="002F5860">
        <w:rPr>
          <w:rFonts w:asciiTheme="minorHAnsi" w:hAnsiTheme="minorHAnsi" w:cstheme="minorHAnsi"/>
        </w:rPr>
        <w:t>International</w:t>
      </w:r>
      <w:r w:rsidRPr="002F5860">
        <w:rPr>
          <w:rFonts w:asciiTheme="minorHAnsi" w:hAnsiTheme="minorHAnsi" w:cstheme="minorHAnsi"/>
          <w:lang w:val="el-GR"/>
        </w:rPr>
        <w:t>”, η Ουγγαρία</w:t>
      </w:r>
      <w:r w:rsidR="00527344">
        <w:rPr>
          <w:rFonts w:asciiTheme="minorHAnsi" w:hAnsiTheme="minorHAnsi" w:cstheme="minorHAnsi"/>
          <w:lang w:val="el-GR"/>
        </w:rPr>
        <w:t xml:space="preserve">, από το 2012 κι ένθεν, έχει </w:t>
      </w:r>
      <w:proofErr w:type="spellStart"/>
      <w:r w:rsidR="00527344">
        <w:rPr>
          <w:rFonts w:asciiTheme="minorHAnsi" w:hAnsiTheme="minorHAnsi" w:cstheme="minorHAnsi"/>
          <w:lang w:val="el-GR"/>
        </w:rPr>
        <w:t>χασει</w:t>
      </w:r>
      <w:proofErr w:type="spellEnd"/>
      <w:r w:rsidRPr="002F5860">
        <w:rPr>
          <w:rFonts w:asciiTheme="minorHAnsi" w:hAnsiTheme="minorHAnsi" w:cstheme="minorHAnsi"/>
          <w:lang w:val="el-GR"/>
        </w:rPr>
        <w:t xml:space="preserve"> 11 βαθμούς στην αξιολόγησή της (η περίοδος συμπίπτει με την αύξηση του ελέγχου της κυβέρνησης επί των κρατικών θεσμών και της «φίμωσης» της Κοινωνίας των Πολιτών) και βρίσκεται στην προτελευταία θέση μεταξύ των χωρών της Ε.Ε. (στην τελευταία βρίσκεται η Βουλγαρία). Κατά συνέπεια, η διαφθορά παρα</w:t>
      </w:r>
      <w:r w:rsidR="00527344">
        <w:rPr>
          <w:rFonts w:asciiTheme="minorHAnsi" w:hAnsiTheme="minorHAnsi" w:cstheme="minorHAnsi"/>
          <w:lang w:val="el-GR"/>
        </w:rPr>
        <w:t>μένει βασικός ανασταλ</w:t>
      </w:r>
      <w:r w:rsidRPr="002F5860">
        <w:rPr>
          <w:rFonts w:asciiTheme="minorHAnsi" w:hAnsiTheme="minorHAnsi" w:cstheme="minorHAnsi"/>
          <w:lang w:val="el-GR"/>
        </w:rPr>
        <w:t>τικός παράγοντας για την πρόοδο των πολιτών, τη βελτίωση των κοινωνικών υπηρεσιών και την ανάπτυξη της οικονομίας.</w:t>
      </w:r>
    </w:p>
    <w:p w:rsidR="009F75AC" w:rsidRPr="002F5860" w:rsidRDefault="009F75AC" w:rsidP="009F75AC">
      <w:pPr>
        <w:jc w:val="both"/>
        <w:rPr>
          <w:rFonts w:asciiTheme="minorHAnsi" w:hAnsiTheme="minorHAnsi" w:cstheme="minorHAnsi"/>
          <w:lang w:val="el-GR"/>
        </w:rPr>
      </w:pPr>
    </w:p>
    <w:p w:rsidR="009F75AC" w:rsidRPr="008344E2" w:rsidRDefault="009F75AC" w:rsidP="009F75AC">
      <w:pPr>
        <w:jc w:val="both"/>
        <w:rPr>
          <w:rFonts w:asciiTheme="minorHAnsi" w:hAnsiTheme="minorHAnsi" w:cstheme="minorHAnsi"/>
          <w:lang w:val="el-GR"/>
        </w:rPr>
      </w:pPr>
      <w:r w:rsidRPr="008344E2">
        <w:rPr>
          <w:rFonts w:asciiTheme="minorHAnsi" w:hAnsiTheme="minorHAnsi" w:cstheme="minorHAnsi"/>
          <w:lang w:val="el-GR"/>
        </w:rPr>
        <w:t xml:space="preserve">Όσον αφορά στο οδικό και σιδηροδρομικό δίκτυο, όπως έχει ήδη αναφερθεί είναι αρκετά εκτεταμένο. Όμως, πρέπει επίσης να σημειωθεί ότι σε αντίθεση με το υψηλού επιπέδου δίκτυο αυτοκινητοδρόμων, το επαρχιακό οδικό δίκτυο αντιμετωπίζει αρκετές φθορές και υπολείπεται σε </w:t>
      </w:r>
      <w:r w:rsidRPr="008344E2">
        <w:rPr>
          <w:rFonts w:asciiTheme="minorHAnsi" w:hAnsiTheme="minorHAnsi" w:cstheme="minorHAnsi"/>
          <w:lang w:val="el-GR"/>
        </w:rPr>
        <w:lastRenderedPageBreak/>
        <w:t>συντήρηση.</w:t>
      </w:r>
      <w:r w:rsidR="000147B1">
        <w:rPr>
          <w:rFonts w:asciiTheme="minorHAnsi" w:hAnsiTheme="minorHAnsi" w:cstheme="minorHAnsi"/>
          <w:lang w:val="el-GR"/>
        </w:rPr>
        <w:t xml:space="preserve"> </w:t>
      </w:r>
      <w:r w:rsidRPr="002F5860">
        <w:rPr>
          <w:rFonts w:asciiTheme="minorHAnsi" w:hAnsiTheme="minorHAnsi" w:cstheme="minorHAnsi"/>
          <w:lang w:val="el-GR"/>
        </w:rPr>
        <w:t xml:space="preserve">Παράλληλα, τόσο το σιδηροδρομικό δίκτυο όσο και οι υποδομές για ναυσιπλοΐα στον Δούναβη, χρειάζονται περαιτέρω βελτίωση. </w:t>
      </w:r>
    </w:p>
    <w:p w:rsidR="009F75AC" w:rsidRPr="009F75AC" w:rsidRDefault="009F75AC" w:rsidP="009F75AC">
      <w:pPr>
        <w:jc w:val="both"/>
        <w:rPr>
          <w:rFonts w:asciiTheme="minorHAnsi" w:hAnsiTheme="minorHAnsi" w:cstheme="minorHAnsi"/>
          <w:lang w:val="el-GR"/>
        </w:rPr>
      </w:pPr>
    </w:p>
    <w:p w:rsidR="009F75AC" w:rsidRPr="009F75AC" w:rsidRDefault="009F75AC" w:rsidP="009F75AC">
      <w:pPr>
        <w:jc w:val="both"/>
        <w:rPr>
          <w:rFonts w:asciiTheme="minorHAnsi" w:hAnsiTheme="minorHAnsi" w:cstheme="minorHAnsi"/>
          <w:lang w:val="el-GR"/>
        </w:rPr>
      </w:pPr>
      <w:r w:rsidRPr="002F5860">
        <w:rPr>
          <w:rFonts w:asciiTheme="minorHAnsi" w:hAnsiTheme="minorHAnsi" w:cstheme="minorHAnsi"/>
          <w:lang w:val="el-GR"/>
        </w:rPr>
        <w:t>Επισημαίνεται ότι σύμφωνα με έρευνα ο πραγματικός συντελεστής φορολόγησης εταιρειών υπολογίζεται στο 5%, όταν ο ον</w:t>
      </w:r>
      <w:r w:rsidR="000147B1">
        <w:rPr>
          <w:rFonts w:asciiTheme="minorHAnsi" w:hAnsiTheme="minorHAnsi" w:cstheme="minorHAnsi"/>
          <w:lang w:val="el-GR"/>
        </w:rPr>
        <w:t>ομαστικός (επίσημος) είναι 9%. Ή</w:t>
      </w:r>
      <w:r w:rsidRPr="002F5860">
        <w:rPr>
          <w:rFonts w:asciiTheme="minorHAnsi" w:hAnsiTheme="minorHAnsi" w:cstheme="minorHAnsi"/>
          <w:lang w:val="el-GR"/>
        </w:rPr>
        <w:t>δη, το 9% αποτελεί τον χαμηλότερο συντελεστή εταιρικής φορολόγησης στην Ε.Ε., όμως το 5% κατατάσσει την Ουγγαρία στις χώρες «φορολογικούς παραδείσους</w:t>
      </w:r>
      <w:r w:rsidRPr="008344E2">
        <w:rPr>
          <w:rFonts w:asciiTheme="minorHAnsi" w:hAnsiTheme="minorHAnsi" w:cstheme="minorHAnsi"/>
          <w:lang w:val="el-GR"/>
        </w:rPr>
        <w:t>». Η εταιρεία που διεξήγαγε την έρευνα, υποστηρίζει ότι στις μεγάλες εταιρείες δίδεται η δυνατότητα μείωσης του πραγματικού συντελεστή φορολόγησής τους, με αποτέλεσμα πολλές από αυτές να φορολογούνται με 0%.</w:t>
      </w:r>
      <w:r w:rsidRPr="002F5860">
        <w:rPr>
          <w:rFonts w:asciiTheme="minorHAnsi" w:hAnsiTheme="minorHAnsi" w:cstheme="minorHAnsi"/>
          <w:lang w:val="el-GR"/>
        </w:rPr>
        <w:t xml:space="preserve"> </w:t>
      </w:r>
    </w:p>
    <w:p w:rsidR="009F75AC" w:rsidRPr="009F75AC" w:rsidRDefault="009F75AC" w:rsidP="009F75AC">
      <w:pPr>
        <w:jc w:val="both"/>
        <w:rPr>
          <w:rFonts w:asciiTheme="minorHAnsi" w:hAnsiTheme="minorHAnsi" w:cstheme="minorHAnsi"/>
          <w:lang w:val="el-GR"/>
        </w:rPr>
      </w:pPr>
    </w:p>
    <w:p w:rsidR="009F75AC" w:rsidRDefault="009F75AC" w:rsidP="009F75AC">
      <w:pPr>
        <w:jc w:val="both"/>
        <w:rPr>
          <w:rFonts w:asciiTheme="minorHAnsi" w:hAnsiTheme="minorHAnsi" w:cstheme="minorHAnsi"/>
          <w:lang w:val="el-GR"/>
        </w:rPr>
      </w:pPr>
      <w:r w:rsidRPr="002F5860">
        <w:rPr>
          <w:rFonts w:asciiTheme="minorHAnsi" w:hAnsiTheme="minorHAnsi" w:cstheme="minorHAnsi"/>
          <w:lang w:val="el-GR"/>
        </w:rPr>
        <w:t>Εντούτοις, η κυβέρνηση δεν φαίνεται διατεθειμένη να αλλάξει τον χαμηλό φορολογικό συντελεστή, αλλά ούτε και το φορολογικό σύστημα γενικότερα, το οποίο έχει προκαλέσει σειρά αντιδράσεων από την Ε.Ε. Στόχος της κυβέρνησης η προσέλκυση περισσοτέρων ξένων επενδύσεων εντάσεως τεχνολογίας και η δημιουργία νέων θέσεων εργασίας.</w:t>
      </w:r>
      <w:r w:rsidRPr="008344E2">
        <w:rPr>
          <w:rFonts w:asciiTheme="minorHAnsi" w:hAnsiTheme="minorHAnsi" w:cstheme="minorHAnsi"/>
          <w:lang w:val="el-GR"/>
        </w:rPr>
        <w:t xml:space="preserve"> </w:t>
      </w:r>
      <w:r w:rsidRPr="002F5860">
        <w:rPr>
          <w:rFonts w:asciiTheme="minorHAnsi" w:hAnsiTheme="minorHAnsi" w:cstheme="minorHAnsi"/>
          <w:lang w:val="el-GR"/>
        </w:rPr>
        <w:t xml:space="preserve">Παράλληλα ενισχύει και τις μικρομεσαίες ουγγρικές επιχειρήσεις, προσπαθώντας να διατηρήσει ανέπαφο των επιχειρηματικό ιστό της χώρας που πλήττεται από τον σκληρό ανταγωνισμό των μεγάλων πολυεθνικών. Στο πλαίσιο του συνολικού προγράμματος οικονομικής ενίσχυσης ύψους 2 </w:t>
      </w:r>
      <w:proofErr w:type="spellStart"/>
      <w:r w:rsidRPr="002F5860">
        <w:rPr>
          <w:rFonts w:asciiTheme="minorHAnsi" w:hAnsiTheme="minorHAnsi" w:cstheme="minorHAnsi"/>
          <w:lang w:val="el-GR"/>
        </w:rPr>
        <w:t>τρισεκ</w:t>
      </w:r>
      <w:proofErr w:type="spellEnd"/>
      <w:r w:rsidRPr="002F5860">
        <w:rPr>
          <w:rFonts w:asciiTheme="minorHAnsi" w:hAnsiTheme="minorHAnsi" w:cstheme="minorHAnsi"/>
          <w:lang w:val="el-GR"/>
        </w:rPr>
        <w:t xml:space="preserve">. HUF (€5,8 </w:t>
      </w:r>
      <w:proofErr w:type="spellStart"/>
      <w:r w:rsidRPr="002F5860">
        <w:rPr>
          <w:rFonts w:asciiTheme="minorHAnsi" w:hAnsiTheme="minorHAnsi" w:cstheme="minorHAnsi"/>
          <w:lang w:val="el-GR"/>
        </w:rPr>
        <w:t>δισεκ</w:t>
      </w:r>
      <w:proofErr w:type="spellEnd"/>
      <w:r w:rsidRPr="002F5860">
        <w:rPr>
          <w:rFonts w:asciiTheme="minorHAnsi" w:hAnsiTheme="minorHAnsi" w:cstheme="minorHAnsi"/>
          <w:lang w:val="el-GR"/>
        </w:rPr>
        <w:t xml:space="preserve">.) για την αντιμετώπιση των επιπτώσεων της πανδημίας, η Κρατική Τράπεζα Ανάπτυξης (MFB) διέθεσε ποσό ύψους 1,5 </w:t>
      </w:r>
      <w:proofErr w:type="spellStart"/>
      <w:r w:rsidRPr="002F5860">
        <w:rPr>
          <w:rFonts w:asciiTheme="minorHAnsi" w:hAnsiTheme="minorHAnsi" w:cstheme="minorHAnsi"/>
          <w:lang w:val="el-GR"/>
        </w:rPr>
        <w:t>τρισεκ</w:t>
      </w:r>
      <w:proofErr w:type="spellEnd"/>
      <w:r w:rsidRPr="002F5860">
        <w:rPr>
          <w:rFonts w:asciiTheme="minorHAnsi" w:hAnsiTheme="minorHAnsi" w:cstheme="minorHAnsi"/>
          <w:lang w:val="el-GR"/>
        </w:rPr>
        <w:t xml:space="preserve">. HUF (€4,4 </w:t>
      </w:r>
      <w:proofErr w:type="spellStart"/>
      <w:r w:rsidRPr="002F5860">
        <w:rPr>
          <w:rFonts w:asciiTheme="minorHAnsi" w:hAnsiTheme="minorHAnsi" w:cstheme="minorHAnsi"/>
          <w:lang w:val="el-GR"/>
        </w:rPr>
        <w:t>δισεκ</w:t>
      </w:r>
      <w:proofErr w:type="spellEnd"/>
      <w:r w:rsidRPr="002F5860">
        <w:rPr>
          <w:rFonts w:asciiTheme="minorHAnsi" w:hAnsiTheme="minorHAnsi" w:cstheme="minorHAnsi"/>
          <w:lang w:val="el-GR"/>
        </w:rPr>
        <w:t xml:space="preserve">.) προς ενίσχυση των ουγγρικών εταιρειών. Η MFB θα παρέχει δάνεια, εγγυήσεις και κεφάλαια. Τα δάνεια, συνολικού ύψους 439 </w:t>
      </w:r>
      <w:proofErr w:type="spellStart"/>
      <w:r w:rsidRPr="002F5860">
        <w:rPr>
          <w:rFonts w:asciiTheme="minorHAnsi" w:hAnsiTheme="minorHAnsi" w:cstheme="minorHAnsi"/>
          <w:lang w:val="el-GR"/>
        </w:rPr>
        <w:t>δισεκ</w:t>
      </w:r>
      <w:proofErr w:type="spellEnd"/>
      <w:r w:rsidRPr="002F5860">
        <w:rPr>
          <w:rFonts w:asciiTheme="minorHAnsi" w:hAnsiTheme="minorHAnsi" w:cstheme="minorHAnsi"/>
          <w:lang w:val="el-GR"/>
        </w:rPr>
        <w:t xml:space="preserve">. HUF (€1,3 </w:t>
      </w:r>
      <w:proofErr w:type="spellStart"/>
      <w:r w:rsidRPr="002F5860">
        <w:rPr>
          <w:rFonts w:asciiTheme="minorHAnsi" w:hAnsiTheme="minorHAnsi" w:cstheme="minorHAnsi"/>
          <w:lang w:val="el-GR"/>
        </w:rPr>
        <w:t>δισεκ</w:t>
      </w:r>
      <w:proofErr w:type="spellEnd"/>
      <w:r w:rsidRPr="002F5860">
        <w:rPr>
          <w:rFonts w:asciiTheme="minorHAnsi" w:hAnsiTheme="minorHAnsi" w:cstheme="minorHAnsi"/>
          <w:lang w:val="el-GR"/>
        </w:rPr>
        <w:t>.) θα εξασφαλίζουν βραχυπρόθεσμη, μεσοπρόθεσμη και μακροπρόθεσμη πιστωτική κάλυψη σε μικρές, μεσαίες αλλά και μεγάλες επιχειρήσεις. Δάνεια μέχρι και 150 εκ. HUF (€435.000) θα διατεθούν για αύξηση ρευστότητας, κάλυψη λειτουργικών δαπανών και κόστους επενδύσεων.</w:t>
      </w:r>
      <w:r w:rsidR="00C66722">
        <w:rPr>
          <w:rFonts w:asciiTheme="minorHAnsi" w:hAnsiTheme="minorHAnsi" w:cstheme="minorHAnsi"/>
          <w:lang w:val="el-GR"/>
        </w:rPr>
        <w:t xml:space="preserve"> </w:t>
      </w:r>
      <w:r w:rsidRPr="002F5860">
        <w:rPr>
          <w:rFonts w:asciiTheme="minorHAnsi" w:hAnsiTheme="minorHAnsi" w:cstheme="minorHAnsi"/>
          <w:lang w:val="el-GR"/>
        </w:rPr>
        <w:t>Μέσω του προγράμματος «</w:t>
      </w:r>
      <w:proofErr w:type="spellStart"/>
      <w:r w:rsidRPr="002F5860">
        <w:rPr>
          <w:rFonts w:asciiTheme="minorHAnsi" w:hAnsiTheme="minorHAnsi" w:cstheme="minorHAnsi"/>
          <w:lang w:val="el-GR"/>
        </w:rPr>
        <w:t>Garantiqa</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Crisis</w:t>
      </w:r>
      <w:proofErr w:type="spellEnd"/>
      <w:r w:rsidRPr="002F5860">
        <w:rPr>
          <w:rFonts w:asciiTheme="minorHAnsi" w:hAnsiTheme="minorHAnsi" w:cstheme="minorHAnsi"/>
          <w:lang w:val="el-GR"/>
        </w:rPr>
        <w:t xml:space="preserve"> </w:t>
      </w:r>
      <w:proofErr w:type="spellStart"/>
      <w:r w:rsidRPr="002F5860">
        <w:rPr>
          <w:rFonts w:asciiTheme="minorHAnsi" w:hAnsiTheme="minorHAnsi" w:cstheme="minorHAnsi"/>
          <w:lang w:val="el-GR"/>
        </w:rPr>
        <w:t>Guarantee</w:t>
      </w:r>
      <w:proofErr w:type="spellEnd"/>
      <w:r w:rsidRPr="002F5860">
        <w:rPr>
          <w:rFonts w:asciiTheme="minorHAnsi" w:hAnsiTheme="minorHAnsi" w:cstheme="minorHAnsi"/>
          <w:lang w:val="el-GR"/>
        </w:rPr>
        <w:t xml:space="preserve">» το κράτος θα εγγυάται το 90% των άλλων δανείων. </w:t>
      </w:r>
    </w:p>
    <w:p w:rsidR="00C66722" w:rsidRPr="00C66722" w:rsidRDefault="00C66722" w:rsidP="009F75AC">
      <w:pPr>
        <w:jc w:val="both"/>
        <w:rPr>
          <w:rFonts w:asciiTheme="minorHAnsi" w:hAnsiTheme="minorHAnsi" w:cstheme="minorHAnsi"/>
          <w:lang w:val="el-GR"/>
        </w:rPr>
      </w:pPr>
    </w:p>
    <w:p w:rsidR="009F75AC" w:rsidRPr="002F5860" w:rsidRDefault="009F75AC" w:rsidP="009F75AC">
      <w:pPr>
        <w:jc w:val="both"/>
        <w:rPr>
          <w:rFonts w:asciiTheme="minorHAnsi" w:hAnsiTheme="minorHAnsi" w:cstheme="minorHAnsi"/>
          <w:lang w:val="hu-HU"/>
        </w:rPr>
      </w:pPr>
      <w:r w:rsidRPr="002F5860">
        <w:rPr>
          <w:rFonts w:asciiTheme="minorHAnsi" w:hAnsiTheme="minorHAnsi" w:cstheme="minorHAnsi"/>
          <w:lang w:val="el-GR"/>
        </w:rPr>
        <w:t xml:space="preserve">Η Ουγγαρία, είναι χώρα που η οικονομία της στηρίζεται κυρίως στις εξαγωγικές επιδόσεις. Ο εξαγωγικός προσανατολισμός της Ουγγαρίας αποδεικνύεται από το ότι ενώ η χώρα πληθυσμιακά βρίσκεται στην 92η θέση παγκοσμίως, εξαγωγικά τοποθετείται στην 34η θέση. Ως εκ τούτου, η κυβέρνηση υιοθέτησε χρηματοδοτικό πρόγραμμα ύψους 23 </w:t>
      </w:r>
      <w:proofErr w:type="spellStart"/>
      <w:r w:rsidRPr="002F5860">
        <w:rPr>
          <w:rFonts w:asciiTheme="minorHAnsi" w:hAnsiTheme="minorHAnsi" w:cstheme="minorHAnsi"/>
          <w:lang w:val="el-GR"/>
        </w:rPr>
        <w:t>δισεκ</w:t>
      </w:r>
      <w:proofErr w:type="spellEnd"/>
      <w:r w:rsidRPr="002F5860">
        <w:rPr>
          <w:rFonts w:asciiTheme="minorHAnsi" w:hAnsiTheme="minorHAnsi" w:cstheme="minorHAnsi"/>
          <w:lang w:val="el-GR"/>
        </w:rPr>
        <w:t xml:space="preserve">. HUF (€65,2 εκ.) για εξωστρεφείς ουγγρικές εταιρείες, προκειμένου να ενισχύσει την παραγωγική παρουσία τους σε ξένες χώρες, με απώτερο σκοπό την ενίσχυση των ουγγρικών εξαγωγών. Πρόκειται ασφαλώς για πρόγραμμα προώθησης ουγγρικών παραγωγικών επενδύσεων στο εξωτερικό, το οποίο, σύμφωνα με το Υπουργείο Εξωτερικών &amp; Εμπορίου, θα βελτιώσει την εξαγωγική ικανότητα των ουγγρικών επιχειρήσεων, θα αυξήσει τις ουγγρικές εξαγωγές και κατ’ επέκταση θα δημιουργήσει περισσότερες θέσεις εργασίας στην Ουγγαρία. </w:t>
      </w:r>
    </w:p>
    <w:p w:rsidR="009F75AC" w:rsidRPr="002F5860" w:rsidRDefault="009F75AC" w:rsidP="009F75AC">
      <w:pPr>
        <w:jc w:val="both"/>
        <w:rPr>
          <w:rFonts w:asciiTheme="minorHAnsi" w:hAnsiTheme="minorHAnsi" w:cstheme="minorHAnsi"/>
          <w:lang w:val="el-GR"/>
        </w:rPr>
      </w:pPr>
    </w:p>
    <w:p w:rsidR="009F75AC" w:rsidRDefault="009F75AC" w:rsidP="009F75AC">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b/>
          <w:u w:val="single"/>
          <w:lang w:val="el-GR"/>
        </w:rPr>
      </w:pPr>
      <w:r w:rsidRPr="008344E2">
        <w:rPr>
          <w:rFonts w:asciiTheme="minorHAnsi" w:hAnsiTheme="minorHAnsi" w:cstheme="minorHAnsi"/>
          <w:b/>
          <w:u w:val="single"/>
          <w:lang w:val="el-GR"/>
        </w:rPr>
        <w:t>Ίδρυση και λειτουργία επιχείρησης</w:t>
      </w:r>
    </w:p>
    <w:p w:rsidR="009F75AC" w:rsidRPr="008344E2" w:rsidRDefault="009F75AC" w:rsidP="00466073">
      <w:pPr>
        <w:widowControl w:val="0"/>
        <w:autoSpaceDE w:val="0"/>
        <w:autoSpaceDN w:val="0"/>
        <w:adjustRightInd w:val="0"/>
        <w:rPr>
          <w:rFonts w:asciiTheme="minorHAnsi" w:hAnsiTheme="minorHAnsi" w:cstheme="minorHAnsi"/>
          <w:b/>
          <w:u w:val="single"/>
          <w:lang w:val="el-GR"/>
        </w:rPr>
      </w:pPr>
    </w:p>
    <w:p w:rsidR="00113598" w:rsidRPr="00466073" w:rsidRDefault="00113598" w:rsidP="00FD0FBE">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Οι νομικές προϋποθέσεις για την ίδρυση και λειτουργία μιας επιχείρησης στην Ουγγαρία δεν διαφοροποιούνται σε γενικές γραμμές από τα ισχύοντα στα υπόλοιπα κ-μ της Ε.Ε. Μια επιχείρηση μπορεί να λάβει μία από τις παρακάτω νομικές μορφές:</w:t>
      </w:r>
    </w:p>
    <w:p w:rsidR="00113598" w:rsidRPr="00466073" w:rsidRDefault="00113598" w:rsidP="00113598">
      <w:pPr>
        <w:widowControl w:val="0"/>
        <w:autoSpaceDE w:val="0"/>
        <w:autoSpaceDN w:val="0"/>
        <w:adjustRightInd w:val="0"/>
        <w:spacing w:line="2" w:lineRule="exact"/>
        <w:rPr>
          <w:rFonts w:asciiTheme="minorHAnsi" w:hAnsiTheme="minorHAnsi" w:cstheme="minorHAnsi"/>
          <w:lang w:val="el-GR"/>
        </w:rPr>
      </w:pPr>
    </w:p>
    <w:p w:rsidR="00113598" w:rsidRPr="00466073" w:rsidRDefault="00113598" w:rsidP="00EB0528">
      <w:pPr>
        <w:pStyle w:val="ListParagraph"/>
        <w:widowControl w:val="0"/>
        <w:numPr>
          <w:ilvl w:val="0"/>
          <w:numId w:val="26"/>
        </w:numPr>
        <w:overflowPunct w:val="0"/>
        <w:autoSpaceDE w:val="0"/>
        <w:autoSpaceDN w:val="0"/>
        <w:adjustRightInd w:val="0"/>
        <w:spacing w:after="0" w:line="239" w:lineRule="auto"/>
        <w:ind w:left="630" w:hanging="270"/>
        <w:jc w:val="both"/>
        <w:rPr>
          <w:rFonts w:cstheme="minorHAnsi"/>
          <w:sz w:val="24"/>
          <w:szCs w:val="24"/>
          <w:lang w:val="el-GR"/>
        </w:rPr>
      </w:pPr>
      <w:r w:rsidRPr="00466073">
        <w:rPr>
          <w:rFonts w:cstheme="minorHAnsi"/>
          <w:sz w:val="24"/>
          <w:szCs w:val="24"/>
          <w:lang w:val="el-GR"/>
        </w:rPr>
        <w:t xml:space="preserve">Ομόρρυθμη Εταιρεία-KKT (Ο.Ε.) </w:t>
      </w:r>
    </w:p>
    <w:p w:rsidR="00113598" w:rsidRPr="00466073" w:rsidRDefault="00113598" w:rsidP="00EB0528">
      <w:pPr>
        <w:pStyle w:val="ListParagraph"/>
        <w:widowControl w:val="0"/>
        <w:numPr>
          <w:ilvl w:val="0"/>
          <w:numId w:val="26"/>
        </w:numPr>
        <w:overflowPunct w:val="0"/>
        <w:autoSpaceDE w:val="0"/>
        <w:autoSpaceDN w:val="0"/>
        <w:adjustRightInd w:val="0"/>
        <w:spacing w:after="0" w:line="239" w:lineRule="auto"/>
        <w:ind w:left="630" w:hanging="270"/>
        <w:jc w:val="both"/>
        <w:rPr>
          <w:rFonts w:cstheme="minorHAnsi"/>
          <w:sz w:val="24"/>
          <w:szCs w:val="24"/>
          <w:lang w:val="el-GR"/>
        </w:rPr>
      </w:pPr>
      <w:r w:rsidRPr="00466073">
        <w:rPr>
          <w:rFonts w:cstheme="minorHAnsi"/>
          <w:sz w:val="24"/>
          <w:szCs w:val="24"/>
          <w:lang w:val="el-GR"/>
        </w:rPr>
        <w:t xml:space="preserve">Ετερόρρυθμη Εταιρεία-BT (Ε.Ε.) </w:t>
      </w:r>
    </w:p>
    <w:p w:rsidR="00113598" w:rsidRPr="00466073" w:rsidRDefault="00113598" w:rsidP="00EB0528">
      <w:pPr>
        <w:widowControl w:val="0"/>
        <w:autoSpaceDE w:val="0"/>
        <w:autoSpaceDN w:val="0"/>
        <w:adjustRightInd w:val="0"/>
        <w:spacing w:line="1" w:lineRule="exact"/>
        <w:ind w:left="630" w:hanging="270"/>
        <w:rPr>
          <w:rFonts w:asciiTheme="minorHAnsi" w:hAnsiTheme="minorHAnsi" w:cstheme="minorHAnsi"/>
          <w:lang w:val="el-GR"/>
        </w:rPr>
      </w:pPr>
    </w:p>
    <w:p w:rsidR="00113598" w:rsidRPr="00466073" w:rsidRDefault="00113598" w:rsidP="00EB0528">
      <w:pPr>
        <w:pStyle w:val="ListParagraph"/>
        <w:widowControl w:val="0"/>
        <w:numPr>
          <w:ilvl w:val="0"/>
          <w:numId w:val="26"/>
        </w:numPr>
        <w:overflowPunct w:val="0"/>
        <w:autoSpaceDE w:val="0"/>
        <w:autoSpaceDN w:val="0"/>
        <w:adjustRightInd w:val="0"/>
        <w:spacing w:after="0" w:line="239" w:lineRule="auto"/>
        <w:ind w:left="630" w:hanging="270"/>
        <w:jc w:val="both"/>
        <w:rPr>
          <w:rFonts w:cstheme="minorHAnsi"/>
          <w:sz w:val="24"/>
          <w:szCs w:val="24"/>
          <w:lang w:val="el-GR"/>
        </w:rPr>
      </w:pPr>
      <w:r w:rsidRPr="00466073">
        <w:rPr>
          <w:rFonts w:cstheme="minorHAnsi"/>
          <w:sz w:val="24"/>
          <w:szCs w:val="24"/>
          <w:lang w:val="el-GR"/>
        </w:rPr>
        <w:t>Εταιρεία Περιορισμένης Ευθύνης-KFT (Ε.Π.Ε.)</w:t>
      </w:r>
    </w:p>
    <w:p w:rsidR="00113598" w:rsidRPr="00466073" w:rsidRDefault="00113598" w:rsidP="00EB0528">
      <w:pPr>
        <w:pStyle w:val="ListParagraph"/>
        <w:widowControl w:val="0"/>
        <w:numPr>
          <w:ilvl w:val="0"/>
          <w:numId w:val="26"/>
        </w:numPr>
        <w:overflowPunct w:val="0"/>
        <w:autoSpaceDE w:val="0"/>
        <w:autoSpaceDN w:val="0"/>
        <w:adjustRightInd w:val="0"/>
        <w:spacing w:after="0" w:line="239" w:lineRule="auto"/>
        <w:ind w:left="630" w:hanging="270"/>
        <w:jc w:val="both"/>
        <w:rPr>
          <w:rFonts w:cstheme="minorHAnsi"/>
          <w:sz w:val="24"/>
          <w:szCs w:val="24"/>
          <w:lang w:val="el-GR"/>
        </w:rPr>
      </w:pPr>
      <w:r w:rsidRPr="00466073">
        <w:rPr>
          <w:rFonts w:cstheme="minorHAnsi"/>
          <w:sz w:val="24"/>
          <w:szCs w:val="24"/>
          <w:lang w:val="el-GR"/>
        </w:rPr>
        <w:t xml:space="preserve">Ανώνυμη Εταιρεία RT (Α.Ε.): διακρίνονται σε ZRT και NYRT. Οι NYRT είναι οι Α.Ε. που έχουν κυκλοφορήσει δημόσια μέρος ή το σύνολο των μετοχών τους. </w:t>
      </w:r>
    </w:p>
    <w:p w:rsidR="00113598" w:rsidRPr="00466073" w:rsidRDefault="00113598" w:rsidP="00113598">
      <w:pPr>
        <w:widowControl w:val="0"/>
        <w:autoSpaceDE w:val="0"/>
        <w:autoSpaceDN w:val="0"/>
        <w:adjustRightInd w:val="0"/>
        <w:spacing w:line="149" w:lineRule="exact"/>
        <w:rPr>
          <w:rFonts w:asciiTheme="minorHAnsi" w:hAnsiTheme="minorHAnsi" w:cstheme="minorHAnsi"/>
          <w:lang w:val="el-GR"/>
        </w:rPr>
      </w:pPr>
    </w:p>
    <w:p w:rsidR="00113598" w:rsidRPr="00466073" w:rsidRDefault="00EB0528" w:rsidP="00EB0528">
      <w:pPr>
        <w:widowControl w:val="0"/>
        <w:overflowPunct w:val="0"/>
        <w:autoSpaceDE w:val="0"/>
        <w:autoSpaceDN w:val="0"/>
        <w:adjustRightInd w:val="0"/>
        <w:spacing w:line="234" w:lineRule="auto"/>
        <w:jc w:val="both"/>
        <w:rPr>
          <w:rFonts w:asciiTheme="minorHAnsi" w:hAnsiTheme="minorHAnsi" w:cstheme="minorHAnsi"/>
          <w:lang w:val="el-GR"/>
        </w:rPr>
      </w:pPr>
      <w:r w:rsidRPr="00466073">
        <w:rPr>
          <w:rFonts w:asciiTheme="minorHAnsi" w:hAnsiTheme="minorHAnsi" w:cstheme="minorHAnsi"/>
          <w:lang w:val="el-GR"/>
        </w:rPr>
        <w:lastRenderedPageBreak/>
        <w:t xml:space="preserve">Η </w:t>
      </w:r>
      <w:r w:rsidR="00113598" w:rsidRPr="00466073">
        <w:rPr>
          <w:rFonts w:asciiTheme="minorHAnsi" w:hAnsiTheme="minorHAnsi" w:cstheme="minorHAnsi"/>
          <w:lang w:val="el-GR"/>
        </w:rPr>
        <w:t xml:space="preserve">πιο διαδεδομένη νομική μορφή για ξένες επιχειρήσεις στην Ουγγαρία είναι </w:t>
      </w:r>
      <w:r w:rsidR="00113598" w:rsidRPr="00466073">
        <w:rPr>
          <w:rFonts w:asciiTheme="minorHAnsi" w:hAnsiTheme="minorHAnsi" w:cstheme="minorHAnsi"/>
        </w:rPr>
        <w:t>KFT</w:t>
      </w:r>
      <w:r w:rsidR="00113598" w:rsidRPr="00466073">
        <w:rPr>
          <w:rFonts w:asciiTheme="minorHAnsi" w:hAnsiTheme="minorHAnsi" w:cstheme="minorHAnsi"/>
          <w:lang w:val="el-GR"/>
        </w:rPr>
        <w:t xml:space="preserve"> (Ε.Π.Ε.) ή </w:t>
      </w:r>
      <w:r w:rsidR="00113598" w:rsidRPr="00466073">
        <w:rPr>
          <w:rFonts w:asciiTheme="minorHAnsi" w:hAnsiTheme="minorHAnsi" w:cstheme="minorHAnsi"/>
        </w:rPr>
        <w:t>ZRT</w:t>
      </w:r>
      <w:r w:rsidR="00113598" w:rsidRPr="00466073">
        <w:rPr>
          <w:rFonts w:asciiTheme="minorHAnsi" w:hAnsiTheme="minorHAnsi" w:cstheme="minorHAnsi"/>
          <w:lang w:val="el-GR"/>
        </w:rPr>
        <w:t>/</w:t>
      </w:r>
      <w:r w:rsidR="00113598" w:rsidRPr="00466073">
        <w:rPr>
          <w:rFonts w:asciiTheme="minorHAnsi" w:hAnsiTheme="minorHAnsi" w:cstheme="minorHAnsi"/>
        </w:rPr>
        <w:t>NYRT</w:t>
      </w:r>
      <w:r w:rsidR="00113598" w:rsidRPr="00466073">
        <w:rPr>
          <w:rFonts w:asciiTheme="minorHAnsi" w:hAnsiTheme="minorHAnsi" w:cstheme="minorHAnsi"/>
          <w:lang w:val="el-GR"/>
        </w:rPr>
        <w:t xml:space="preserve"> (Α.Ε.). Στις δύο πρώτες νομικές μορφές (</w:t>
      </w:r>
      <w:r w:rsidR="00113598" w:rsidRPr="00466073">
        <w:rPr>
          <w:rFonts w:asciiTheme="minorHAnsi" w:hAnsiTheme="minorHAnsi" w:cstheme="minorHAnsi"/>
        </w:rPr>
        <w:t>KKT</w:t>
      </w:r>
      <w:r w:rsidR="00113598" w:rsidRPr="00466073">
        <w:rPr>
          <w:rFonts w:asciiTheme="minorHAnsi" w:hAnsiTheme="minorHAnsi" w:cstheme="minorHAnsi"/>
          <w:lang w:val="el-GR"/>
        </w:rPr>
        <w:t xml:space="preserve">-Ο.Ε. και </w:t>
      </w:r>
      <w:r w:rsidR="00113598" w:rsidRPr="00466073">
        <w:rPr>
          <w:rFonts w:asciiTheme="minorHAnsi" w:hAnsiTheme="minorHAnsi" w:cstheme="minorHAnsi"/>
        </w:rPr>
        <w:t>BT</w:t>
      </w:r>
      <w:r w:rsidR="00113598" w:rsidRPr="00466073">
        <w:rPr>
          <w:rFonts w:asciiTheme="minorHAnsi" w:hAnsiTheme="minorHAnsi" w:cstheme="minorHAnsi"/>
          <w:lang w:val="el-GR"/>
        </w:rPr>
        <w:t xml:space="preserve">-Ε.Ε.) τα μέλη ευθύνονται απεριόριστα για τις υποχρεώσεις της επιχείρησης και η λειτουργία τους είναι λιγότερο τυποποιημένη από αυτή των επόμενων δύο μορφών. Στις επιχειρήσεις με νομική μορφή </w:t>
      </w:r>
      <w:r w:rsidR="00113598" w:rsidRPr="00466073">
        <w:rPr>
          <w:rFonts w:asciiTheme="minorHAnsi" w:hAnsiTheme="minorHAnsi" w:cstheme="minorHAnsi"/>
        </w:rPr>
        <w:t>KFT</w:t>
      </w:r>
      <w:r w:rsidR="00113598" w:rsidRPr="00466073">
        <w:rPr>
          <w:rFonts w:asciiTheme="minorHAnsi" w:hAnsiTheme="minorHAnsi" w:cstheme="minorHAnsi"/>
          <w:lang w:val="el-GR"/>
        </w:rPr>
        <w:t xml:space="preserve">, </w:t>
      </w:r>
      <w:r w:rsidR="00113598" w:rsidRPr="00466073">
        <w:rPr>
          <w:rFonts w:asciiTheme="minorHAnsi" w:hAnsiTheme="minorHAnsi" w:cstheme="minorHAnsi"/>
        </w:rPr>
        <w:t>ZRT</w:t>
      </w:r>
      <w:r w:rsidR="00113598" w:rsidRPr="00466073">
        <w:rPr>
          <w:rFonts w:asciiTheme="minorHAnsi" w:hAnsiTheme="minorHAnsi" w:cstheme="minorHAnsi"/>
          <w:lang w:val="el-GR"/>
        </w:rPr>
        <w:t xml:space="preserve"> και </w:t>
      </w:r>
      <w:r w:rsidR="00113598" w:rsidRPr="00466073">
        <w:rPr>
          <w:rFonts w:asciiTheme="minorHAnsi" w:hAnsiTheme="minorHAnsi" w:cstheme="minorHAnsi"/>
        </w:rPr>
        <w:t>NYRT</w:t>
      </w:r>
      <w:r w:rsidR="00113598" w:rsidRPr="00466073">
        <w:rPr>
          <w:rFonts w:asciiTheme="minorHAnsi" w:hAnsiTheme="minorHAnsi" w:cstheme="minorHAnsi"/>
          <w:lang w:val="el-GR"/>
        </w:rPr>
        <w:t xml:space="preserve"> οι μέτοχοι έχουν περιορισμένη ευθύνη, μέχρι του ποσού τ</w:t>
      </w:r>
      <w:r w:rsidRPr="00466073">
        <w:rPr>
          <w:rFonts w:asciiTheme="minorHAnsi" w:hAnsiTheme="minorHAnsi" w:cstheme="minorHAnsi"/>
          <w:lang w:val="el-GR"/>
        </w:rPr>
        <w:t xml:space="preserve">ου </w:t>
      </w:r>
      <w:r w:rsidR="00113598" w:rsidRPr="00466073">
        <w:rPr>
          <w:rFonts w:asciiTheme="minorHAnsi" w:hAnsiTheme="minorHAnsi" w:cstheme="minorHAnsi"/>
          <w:lang w:val="el-GR"/>
        </w:rPr>
        <w:t xml:space="preserve"> εταιρικ</w:t>
      </w:r>
      <w:r w:rsidRPr="00466073">
        <w:rPr>
          <w:rFonts w:asciiTheme="minorHAnsi" w:hAnsiTheme="minorHAnsi" w:cstheme="minorHAnsi"/>
          <w:lang w:val="el-GR"/>
        </w:rPr>
        <w:t xml:space="preserve">ού τους </w:t>
      </w:r>
      <w:r w:rsidR="00113598" w:rsidRPr="00466073">
        <w:rPr>
          <w:rFonts w:asciiTheme="minorHAnsi" w:hAnsiTheme="minorHAnsi" w:cstheme="minorHAnsi"/>
          <w:lang w:val="el-GR"/>
        </w:rPr>
        <w:t>μερ</w:t>
      </w:r>
      <w:r w:rsidRPr="00466073">
        <w:rPr>
          <w:rFonts w:asciiTheme="minorHAnsi" w:hAnsiTheme="minorHAnsi" w:cstheme="minorHAnsi"/>
          <w:lang w:val="el-GR"/>
        </w:rPr>
        <w:t>ιδίου</w:t>
      </w:r>
      <w:r w:rsidR="00113598" w:rsidRPr="00466073">
        <w:rPr>
          <w:rFonts w:asciiTheme="minorHAnsi" w:hAnsiTheme="minorHAnsi" w:cstheme="minorHAnsi"/>
          <w:lang w:val="el-GR"/>
        </w:rPr>
        <w:t xml:space="preserve"> ή του μετοχικού τους κεφαλαίου. Στην Ουγγαρία αλλοδαποί μπορούν να ιδρύσουν ή να γίνουν μέτοχοι σε εταιρείες </w:t>
      </w:r>
      <w:r w:rsidR="00113598" w:rsidRPr="00466073">
        <w:rPr>
          <w:rFonts w:asciiTheme="minorHAnsi" w:hAnsiTheme="minorHAnsi" w:cstheme="minorHAnsi"/>
        </w:rPr>
        <w:t>KFT</w:t>
      </w:r>
      <w:r w:rsidR="00113598" w:rsidRPr="00466073">
        <w:rPr>
          <w:rFonts w:asciiTheme="minorHAnsi" w:hAnsiTheme="minorHAnsi" w:cstheme="minorHAnsi"/>
          <w:lang w:val="el-GR"/>
        </w:rPr>
        <w:t xml:space="preserve">, </w:t>
      </w:r>
      <w:r w:rsidR="00113598" w:rsidRPr="00466073">
        <w:rPr>
          <w:rFonts w:asciiTheme="minorHAnsi" w:hAnsiTheme="minorHAnsi" w:cstheme="minorHAnsi"/>
        </w:rPr>
        <w:t>ZRT</w:t>
      </w:r>
      <w:r w:rsidR="00113598" w:rsidRPr="00466073">
        <w:rPr>
          <w:rFonts w:asciiTheme="minorHAnsi" w:hAnsiTheme="minorHAnsi" w:cstheme="minorHAnsi"/>
          <w:lang w:val="el-GR"/>
        </w:rPr>
        <w:t xml:space="preserve"> και </w:t>
      </w:r>
      <w:r w:rsidR="00113598" w:rsidRPr="00466073">
        <w:rPr>
          <w:rFonts w:asciiTheme="minorHAnsi" w:hAnsiTheme="minorHAnsi" w:cstheme="minorHAnsi"/>
        </w:rPr>
        <w:t>NYRT</w:t>
      </w:r>
      <w:r w:rsidR="00113598" w:rsidRPr="00466073">
        <w:rPr>
          <w:rFonts w:asciiTheme="minorHAnsi" w:hAnsiTheme="minorHAnsi" w:cstheme="minorHAnsi"/>
          <w:lang w:val="el-GR"/>
        </w:rPr>
        <w:t xml:space="preserve"> είτε σαν φυσικά είτε σαν νομικά πρόσωπα, σύμφωνα με τις κείμενες διατάξεις του εσωτερικού δικαίου της χώρας προέλευσής τους. </w:t>
      </w:r>
    </w:p>
    <w:p w:rsidR="000F3CAA" w:rsidRPr="00466073" w:rsidRDefault="000F3CAA" w:rsidP="00EB0528">
      <w:pPr>
        <w:widowControl w:val="0"/>
        <w:overflowPunct w:val="0"/>
        <w:autoSpaceDE w:val="0"/>
        <w:autoSpaceDN w:val="0"/>
        <w:adjustRightInd w:val="0"/>
        <w:spacing w:line="234" w:lineRule="auto"/>
        <w:jc w:val="both"/>
        <w:rPr>
          <w:rFonts w:asciiTheme="minorHAnsi" w:hAnsiTheme="minorHAnsi" w:cstheme="minorHAnsi"/>
          <w:lang w:val="el-GR"/>
        </w:rPr>
      </w:pPr>
    </w:p>
    <w:p w:rsidR="000F3CAA" w:rsidRPr="00466073" w:rsidRDefault="000F3CAA" w:rsidP="00EB0528">
      <w:pPr>
        <w:widowControl w:val="0"/>
        <w:overflowPunct w:val="0"/>
        <w:autoSpaceDE w:val="0"/>
        <w:autoSpaceDN w:val="0"/>
        <w:adjustRightInd w:val="0"/>
        <w:spacing w:line="234" w:lineRule="auto"/>
        <w:jc w:val="both"/>
        <w:rPr>
          <w:rFonts w:asciiTheme="minorHAnsi" w:hAnsiTheme="minorHAnsi" w:cstheme="minorHAnsi"/>
          <w:lang w:val="el-GR"/>
        </w:rPr>
      </w:pPr>
      <w:r w:rsidRPr="00466073">
        <w:rPr>
          <w:rFonts w:asciiTheme="minorHAnsi" w:hAnsiTheme="minorHAnsi" w:cstheme="minorHAnsi"/>
          <w:lang w:val="el-GR"/>
        </w:rPr>
        <w:t>Σύμφωνα με έκθεση της Παγκόσμιας Τράπεζας (</w:t>
      </w:r>
      <w:r w:rsidRPr="00466073">
        <w:rPr>
          <w:rFonts w:asciiTheme="minorHAnsi" w:hAnsiTheme="minorHAnsi" w:cstheme="minorHAnsi"/>
        </w:rPr>
        <w:t>Doing</w:t>
      </w:r>
      <w:r w:rsidRPr="00466073">
        <w:rPr>
          <w:rFonts w:asciiTheme="minorHAnsi" w:hAnsiTheme="minorHAnsi" w:cstheme="minorHAnsi"/>
          <w:lang w:val="el-GR"/>
        </w:rPr>
        <w:t xml:space="preserve"> </w:t>
      </w:r>
      <w:r w:rsidRPr="00466073">
        <w:rPr>
          <w:rFonts w:asciiTheme="minorHAnsi" w:hAnsiTheme="minorHAnsi" w:cstheme="minorHAnsi"/>
        </w:rPr>
        <w:t>Business</w:t>
      </w:r>
      <w:r w:rsidRPr="00466073">
        <w:rPr>
          <w:rFonts w:asciiTheme="minorHAnsi" w:hAnsiTheme="minorHAnsi" w:cstheme="minorHAnsi"/>
          <w:lang w:val="el-GR"/>
        </w:rPr>
        <w:t xml:space="preserve"> 2019), ο αριθμός των απαιτούμενων στην Ουγγαρία ημερών για ίδρυση εταιρείας εκτιμάται στις 7. Στην ίδια έκθεση, ο αντίστοιχος αριθμός για την Σλοβενία είναι 8, για την Τσεχία 24,5, για την Σλοβακία 26,5, για την Ρουμανία 35 και την Πολωνία 37. </w:t>
      </w:r>
    </w:p>
    <w:p w:rsidR="00113598" w:rsidRDefault="00113598" w:rsidP="00113598">
      <w:pPr>
        <w:widowControl w:val="0"/>
        <w:autoSpaceDE w:val="0"/>
        <w:autoSpaceDN w:val="0"/>
        <w:adjustRightInd w:val="0"/>
        <w:spacing w:line="55" w:lineRule="exact"/>
        <w:rPr>
          <w:rFonts w:asciiTheme="minorHAnsi" w:hAnsiTheme="minorHAnsi" w:cstheme="minorHAnsi"/>
          <w:lang w:val="el-GR"/>
        </w:rPr>
      </w:pPr>
    </w:p>
    <w:p w:rsidR="00C66722" w:rsidRPr="00466073" w:rsidRDefault="00C66722" w:rsidP="00113598">
      <w:pPr>
        <w:widowControl w:val="0"/>
        <w:autoSpaceDE w:val="0"/>
        <w:autoSpaceDN w:val="0"/>
        <w:adjustRightInd w:val="0"/>
        <w:spacing w:line="55" w:lineRule="exact"/>
        <w:rPr>
          <w:rFonts w:asciiTheme="minorHAnsi" w:hAnsiTheme="minorHAnsi" w:cstheme="minorHAnsi"/>
          <w:lang w:val="el-GR"/>
        </w:rPr>
      </w:pPr>
    </w:p>
    <w:p w:rsidR="00113598" w:rsidRPr="00466073" w:rsidRDefault="007321E0" w:rsidP="00EB0528">
      <w:pPr>
        <w:widowControl w:val="0"/>
        <w:overflowPunct w:val="0"/>
        <w:autoSpaceDE w:val="0"/>
        <w:autoSpaceDN w:val="0"/>
        <w:adjustRightInd w:val="0"/>
        <w:spacing w:line="227" w:lineRule="auto"/>
        <w:jc w:val="both"/>
        <w:rPr>
          <w:rFonts w:asciiTheme="minorHAnsi" w:hAnsiTheme="minorHAnsi" w:cstheme="minorHAnsi"/>
          <w:lang w:val="el-GR"/>
        </w:rPr>
      </w:pPr>
      <w:r w:rsidRPr="00466073">
        <w:rPr>
          <w:rFonts w:asciiTheme="minorHAnsi" w:hAnsiTheme="minorHAnsi" w:cstheme="minorHAnsi"/>
          <w:lang w:val="el-GR"/>
        </w:rPr>
        <w:t xml:space="preserve">Η προετοιμασία των απαραίτητων νομικών ιδρυτικών εγγράφων πρέπει να γίνεται από δικηγόρο ή νομικό εκπρόσωπο. </w:t>
      </w:r>
      <w:r w:rsidR="00113598" w:rsidRPr="00466073">
        <w:rPr>
          <w:rFonts w:asciiTheme="minorHAnsi" w:hAnsiTheme="minorHAnsi" w:cstheme="minorHAnsi"/>
          <w:lang w:val="el-GR"/>
        </w:rPr>
        <w:t xml:space="preserve">Απαιτείται Καταστατικό υπογεγραμμένο από όλα τα μέλη της εταιρείας. Για εταιρείες </w:t>
      </w:r>
      <w:r w:rsidR="00113598" w:rsidRPr="00466073">
        <w:rPr>
          <w:rFonts w:asciiTheme="minorHAnsi" w:hAnsiTheme="minorHAnsi" w:cstheme="minorHAnsi"/>
        </w:rPr>
        <w:t>KFT</w:t>
      </w:r>
      <w:r w:rsidR="00113598" w:rsidRPr="00466073">
        <w:rPr>
          <w:rFonts w:asciiTheme="minorHAnsi" w:hAnsiTheme="minorHAnsi" w:cstheme="minorHAnsi"/>
          <w:lang w:val="el-GR"/>
        </w:rPr>
        <w:t xml:space="preserve">, </w:t>
      </w:r>
      <w:r w:rsidR="00113598" w:rsidRPr="00466073">
        <w:rPr>
          <w:rFonts w:asciiTheme="minorHAnsi" w:hAnsiTheme="minorHAnsi" w:cstheme="minorHAnsi"/>
        </w:rPr>
        <w:t>ZRT</w:t>
      </w:r>
      <w:r w:rsidR="00113598" w:rsidRPr="00466073">
        <w:rPr>
          <w:rFonts w:asciiTheme="minorHAnsi" w:hAnsiTheme="minorHAnsi" w:cstheme="minorHAnsi"/>
          <w:lang w:val="el-GR"/>
        </w:rPr>
        <w:t xml:space="preserve"> και </w:t>
      </w:r>
      <w:r w:rsidR="00113598" w:rsidRPr="00466073">
        <w:rPr>
          <w:rFonts w:asciiTheme="minorHAnsi" w:hAnsiTheme="minorHAnsi" w:cstheme="minorHAnsi"/>
        </w:rPr>
        <w:t>NYRT</w:t>
      </w:r>
      <w:r w:rsidRPr="00466073">
        <w:rPr>
          <w:rFonts w:asciiTheme="minorHAnsi" w:hAnsiTheme="minorHAnsi" w:cstheme="minorHAnsi"/>
          <w:lang w:val="el-GR"/>
        </w:rPr>
        <w:t>,</w:t>
      </w:r>
      <w:r w:rsidR="00113598" w:rsidRPr="00466073">
        <w:rPr>
          <w:rFonts w:asciiTheme="minorHAnsi" w:hAnsiTheme="minorHAnsi" w:cstheme="minorHAnsi"/>
          <w:lang w:val="el-GR"/>
        </w:rPr>
        <w:t xml:space="preserve"> ιδρυτής μπορεί να είναι και ένα μόνο πρόσωπο. Για εταιρείες </w:t>
      </w:r>
      <w:r w:rsidR="00113598" w:rsidRPr="00466073">
        <w:rPr>
          <w:rFonts w:asciiTheme="minorHAnsi" w:hAnsiTheme="minorHAnsi" w:cstheme="minorHAnsi"/>
        </w:rPr>
        <w:t>KKT</w:t>
      </w:r>
      <w:r w:rsidR="00113598" w:rsidRPr="00466073">
        <w:rPr>
          <w:rFonts w:asciiTheme="minorHAnsi" w:hAnsiTheme="minorHAnsi" w:cstheme="minorHAnsi"/>
          <w:lang w:val="el-GR"/>
        </w:rPr>
        <w:t xml:space="preserve"> και </w:t>
      </w:r>
      <w:r w:rsidR="00113598" w:rsidRPr="00466073">
        <w:rPr>
          <w:rFonts w:asciiTheme="minorHAnsi" w:hAnsiTheme="minorHAnsi" w:cstheme="minorHAnsi"/>
        </w:rPr>
        <w:t>BT</w:t>
      </w:r>
      <w:r w:rsidR="00113598" w:rsidRPr="00466073">
        <w:rPr>
          <w:rFonts w:asciiTheme="minorHAnsi" w:hAnsiTheme="minorHAnsi" w:cstheme="minorHAnsi"/>
          <w:lang w:val="el-GR"/>
        </w:rPr>
        <w:t xml:space="preserve"> απαιτούνται δύο ή περισσότερα άτομα. Στις </w:t>
      </w:r>
      <w:r w:rsidR="00113598" w:rsidRPr="00466073">
        <w:rPr>
          <w:rFonts w:asciiTheme="minorHAnsi" w:hAnsiTheme="minorHAnsi" w:cstheme="minorHAnsi"/>
        </w:rPr>
        <w:t>KFT</w:t>
      </w:r>
      <w:r w:rsidR="00113598" w:rsidRPr="00466073">
        <w:rPr>
          <w:rFonts w:asciiTheme="minorHAnsi" w:hAnsiTheme="minorHAnsi" w:cstheme="minorHAnsi"/>
          <w:lang w:val="el-GR"/>
        </w:rPr>
        <w:t xml:space="preserve"> το Καταστατικό πρέπει να καθορίζει</w:t>
      </w:r>
      <w:r w:rsidR="00EB0528" w:rsidRPr="00466073">
        <w:rPr>
          <w:rFonts w:asciiTheme="minorHAnsi" w:hAnsiTheme="minorHAnsi" w:cstheme="minorHAnsi"/>
          <w:lang w:val="el-GR"/>
        </w:rPr>
        <w:t>,</w:t>
      </w:r>
      <w:r w:rsidR="00113598" w:rsidRPr="00466073">
        <w:rPr>
          <w:rFonts w:asciiTheme="minorHAnsi" w:hAnsiTheme="minorHAnsi" w:cstheme="minorHAnsi"/>
          <w:lang w:val="el-GR"/>
        </w:rPr>
        <w:t xml:space="preserve"> μεταξύ άλλων</w:t>
      </w:r>
      <w:r w:rsidR="00EB0528" w:rsidRPr="00466073">
        <w:rPr>
          <w:rFonts w:asciiTheme="minorHAnsi" w:hAnsiTheme="minorHAnsi" w:cstheme="minorHAnsi"/>
          <w:lang w:val="el-GR"/>
        </w:rPr>
        <w:t>,</w:t>
      </w:r>
      <w:r w:rsidR="00113598" w:rsidRPr="00466073">
        <w:rPr>
          <w:rFonts w:asciiTheme="minorHAnsi" w:hAnsiTheme="minorHAnsi" w:cstheme="minorHAnsi"/>
          <w:lang w:val="el-GR"/>
        </w:rPr>
        <w:t xml:space="preserve"> το μερίδιο ευθύνης εκάστου μέλους καθώς και τα δικαιώματα ψήφου.</w:t>
      </w:r>
    </w:p>
    <w:p w:rsidR="007321E0" w:rsidRPr="00466073" w:rsidRDefault="007321E0" w:rsidP="00EB0528">
      <w:pPr>
        <w:widowControl w:val="0"/>
        <w:overflowPunct w:val="0"/>
        <w:autoSpaceDE w:val="0"/>
        <w:autoSpaceDN w:val="0"/>
        <w:adjustRightInd w:val="0"/>
        <w:spacing w:line="227" w:lineRule="auto"/>
        <w:jc w:val="both"/>
        <w:rPr>
          <w:rFonts w:asciiTheme="minorHAnsi" w:hAnsiTheme="minorHAnsi" w:cstheme="minorHAnsi"/>
          <w:lang w:val="el-GR"/>
        </w:rPr>
      </w:pPr>
    </w:p>
    <w:p w:rsidR="007321E0" w:rsidRPr="00466073" w:rsidRDefault="007321E0" w:rsidP="00EB0528">
      <w:pPr>
        <w:widowControl w:val="0"/>
        <w:overflowPunct w:val="0"/>
        <w:autoSpaceDE w:val="0"/>
        <w:autoSpaceDN w:val="0"/>
        <w:adjustRightInd w:val="0"/>
        <w:spacing w:line="227" w:lineRule="auto"/>
        <w:jc w:val="both"/>
        <w:rPr>
          <w:rFonts w:asciiTheme="minorHAnsi" w:hAnsiTheme="minorHAnsi" w:cstheme="minorHAnsi"/>
          <w:lang w:val="el-GR"/>
        </w:rPr>
      </w:pPr>
      <w:r w:rsidRPr="00466073">
        <w:rPr>
          <w:rFonts w:asciiTheme="minorHAnsi" w:hAnsiTheme="minorHAnsi" w:cstheme="minorHAnsi"/>
          <w:lang w:val="el-GR"/>
        </w:rPr>
        <w:t xml:space="preserve">Στη συνέχεια θα πρέπει να ανοιχτεί </w:t>
      </w:r>
      <w:r w:rsidR="00262D9E" w:rsidRPr="00466073">
        <w:rPr>
          <w:rFonts w:asciiTheme="minorHAnsi" w:hAnsiTheme="minorHAnsi" w:cstheme="minorHAnsi"/>
          <w:lang w:val="el-GR"/>
        </w:rPr>
        <w:t xml:space="preserve">εταιρικός </w:t>
      </w:r>
      <w:r w:rsidRPr="00466073">
        <w:rPr>
          <w:rFonts w:asciiTheme="minorHAnsi" w:hAnsiTheme="minorHAnsi" w:cstheme="minorHAnsi"/>
          <w:lang w:val="el-GR"/>
        </w:rPr>
        <w:t xml:space="preserve">τραπεζικός </w:t>
      </w:r>
      <w:r w:rsidR="00262D9E" w:rsidRPr="00466073">
        <w:rPr>
          <w:rFonts w:asciiTheme="minorHAnsi" w:hAnsiTheme="minorHAnsi" w:cstheme="minorHAnsi"/>
          <w:lang w:val="el-GR"/>
        </w:rPr>
        <w:t>λογαριασμός και αφού η εταιρεία πάρει αριθμό φορολογικού μητρώου από τις αρμόδιες φορολογικές αρχές, θα πρέπει να κατατεθεί στην αρμόδια Διεύθυνση του Υπουργείου Δικαιοσύνης,</w:t>
      </w:r>
      <w:r w:rsidRPr="00466073">
        <w:rPr>
          <w:rFonts w:asciiTheme="minorHAnsi" w:hAnsiTheme="minorHAnsi" w:cstheme="minorHAnsi"/>
          <w:lang w:val="el-GR"/>
        </w:rPr>
        <w:t xml:space="preserve"> </w:t>
      </w:r>
      <w:r w:rsidR="00262D9E" w:rsidRPr="00466073">
        <w:rPr>
          <w:rFonts w:asciiTheme="minorHAnsi" w:hAnsiTheme="minorHAnsi" w:cstheme="minorHAnsi"/>
          <w:lang w:val="el-GR"/>
        </w:rPr>
        <w:t xml:space="preserve">αίτηση καταχώρησης/ίδρυσης </w:t>
      </w:r>
      <w:r w:rsidRPr="00466073">
        <w:rPr>
          <w:rFonts w:asciiTheme="minorHAnsi" w:hAnsiTheme="minorHAnsi" w:cstheme="minorHAnsi"/>
          <w:lang w:val="el-GR"/>
        </w:rPr>
        <w:t>της επιχείρησης</w:t>
      </w:r>
      <w:r w:rsidR="00262D9E" w:rsidRPr="00466073">
        <w:rPr>
          <w:rFonts w:asciiTheme="minorHAnsi" w:hAnsiTheme="minorHAnsi" w:cstheme="minorHAnsi"/>
          <w:lang w:val="el-GR"/>
        </w:rPr>
        <w:t>,</w:t>
      </w:r>
      <w:r w:rsidRPr="00466073">
        <w:rPr>
          <w:rFonts w:asciiTheme="minorHAnsi" w:hAnsiTheme="minorHAnsi" w:cstheme="minorHAnsi"/>
          <w:lang w:val="el-GR"/>
        </w:rPr>
        <w:t xml:space="preserve"> συνοδευόμενη από τα κατά περίπτωση απαραίτητα δικαιολογητικά. </w:t>
      </w:r>
      <w:r w:rsidR="00262D9E" w:rsidRPr="00466073">
        <w:rPr>
          <w:rFonts w:asciiTheme="minorHAnsi" w:hAnsiTheme="minorHAnsi" w:cstheme="minorHAnsi"/>
          <w:lang w:val="el-GR"/>
        </w:rPr>
        <w:t>Επίσης, η εταιρεία θα πρέπει να καταχωρηθεί και στην Εθνική Στατιστική Υπηρεσία.</w:t>
      </w:r>
    </w:p>
    <w:p w:rsidR="00EB0528" w:rsidRPr="00466073" w:rsidRDefault="00EB0528" w:rsidP="00EB0528">
      <w:pPr>
        <w:widowControl w:val="0"/>
        <w:overflowPunct w:val="0"/>
        <w:autoSpaceDE w:val="0"/>
        <w:autoSpaceDN w:val="0"/>
        <w:adjustRightInd w:val="0"/>
        <w:spacing w:line="180" w:lineRule="auto"/>
        <w:jc w:val="both"/>
        <w:rPr>
          <w:rFonts w:asciiTheme="minorHAnsi" w:hAnsiTheme="minorHAnsi" w:cstheme="minorHAnsi"/>
          <w:b/>
          <w:bCs/>
          <w:lang w:val="el-GR"/>
        </w:rPr>
      </w:pPr>
    </w:p>
    <w:p w:rsidR="00113598" w:rsidRPr="00466073" w:rsidRDefault="00113598" w:rsidP="00EB0528">
      <w:pPr>
        <w:jc w:val="both"/>
        <w:rPr>
          <w:rFonts w:asciiTheme="minorHAnsi" w:hAnsiTheme="minorHAnsi" w:cstheme="minorHAnsi"/>
          <w:b/>
          <w:u w:val="single"/>
          <w:lang w:val="el-GR"/>
        </w:rPr>
      </w:pPr>
      <w:r w:rsidRPr="00466073">
        <w:rPr>
          <w:rFonts w:asciiTheme="minorHAnsi" w:hAnsiTheme="minorHAnsi" w:cstheme="minorHAnsi"/>
          <w:b/>
          <w:u w:val="single"/>
          <w:lang w:val="el-GR"/>
        </w:rPr>
        <w:t>Άδεια λειτουργίας</w:t>
      </w:r>
      <w:r w:rsidR="00EB0528" w:rsidRPr="00466073">
        <w:rPr>
          <w:rFonts w:asciiTheme="minorHAnsi" w:hAnsiTheme="minorHAnsi" w:cstheme="minorHAnsi"/>
          <w:b/>
          <w:u w:val="single"/>
          <w:lang w:val="el-GR"/>
        </w:rPr>
        <w:t>:</w:t>
      </w:r>
    </w:p>
    <w:p w:rsidR="00113598" w:rsidRPr="00466073" w:rsidRDefault="00113598" w:rsidP="00113598">
      <w:pPr>
        <w:widowControl w:val="0"/>
        <w:autoSpaceDE w:val="0"/>
        <w:autoSpaceDN w:val="0"/>
        <w:adjustRightInd w:val="0"/>
        <w:spacing w:line="55" w:lineRule="exact"/>
        <w:rPr>
          <w:rFonts w:asciiTheme="minorHAnsi" w:hAnsiTheme="minorHAnsi" w:cstheme="minorHAnsi"/>
          <w:lang w:val="el-GR"/>
        </w:rPr>
      </w:pPr>
    </w:p>
    <w:p w:rsidR="00113598" w:rsidRPr="00466073" w:rsidRDefault="00113598" w:rsidP="00EB0528">
      <w:pPr>
        <w:widowControl w:val="0"/>
        <w:overflowPunct w:val="0"/>
        <w:autoSpaceDE w:val="0"/>
        <w:autoSpaceDN w:val="0"/>
        <w:adjustRightInd w:val="0"/>
        <w:spacing w:line="231" w:lineRule="auto"/>
        <w:jc w:val="both"/>
        <w:rPr>
          <w:rFonts w:asciiTheme="minorHAnsi" w:hAnsiTheme="minorHAnsi" w:cstheme="minorHAnsi"/>
          <w:lang w:val="el-GR"/>
        </w:rPr>
      </w:pPr>
      <w:r w:rsidRPr="00466073">
        <w:rPr>
          <w:rFonts w:asciiTheme="minorHAnsi" w:hAnsiTheme="minorHAnsi" w:cstheme="minorHAnsi"/>
          <w:lang w:val="el-GR"/>
        </w:rPr>
        <w:t>Εκδίδεται με την εγγραφή</w:t>
      </w:r>
      <w:r w:rsidR="00262D9E" w:rsidRPr="00466073">
        <w:rPr>
          <w:rFonts w:asciiTheme="minorHAnsi" w:hAnsiTheme="minorHAnsi" w:cstheme="minorHAnsi"/>
          <w:lang w:val="el-GR"/>
        </w:rPr>
        <w:t>/καταχώρηση</w:t>
      </w:r>
      <w:r w:rsidRPr="00466073">
        <w:rPr>
          <w:rFonts w:asciiTheme="minorHAnsi" w:hAnsiTheme="minorHAnsi" w:cstheme="minorHAnsi"/>
          <w:lang w:val="el-GR"/>
        </w:rPr>
        <w:t xml:space="preserve"> της επιχείρησης στο αρμόδιο Δικαστήριο Καταχώρησης Εταιρειών. Μέχρι να εκδοθεί η άδεια, η επιχείρηση </w:t>
      </w:r>
      <w:r w:rsidR="00EB0528" w:rsidRPr="00466073">
        <w:rPr>
          <w:rFonts w:asciiTheme="minorHAnsi" w:hAnsiTheme="minorHAnsi" w:cstheme="minorHAnsi"/>
          <w:lang w:val="el-GR"/>
        </w:rPr>
        <w:t>τελεί υπό προσωρινή νομική μορφή</w:t>
      </w:r>
      <w:r w:rsidRPr="00466073">
        <w:rPr>
          <w:rFonts w:asciiTheme="minorHAnsi" w:hAnsiTheme="minorHAnsi" w:cstheme="minorHAnsi"/>
          <w:lang w:val="el-GR"/>
        </w:rPr>
        <w:t xml:space="preserve"> </w:t>
      </w:r>
      <w:r w:rsidR="00EB0528" w:rsidRPr="00466073">
        <w:rPr>
          <w:rFonts w:asciiTheme="minorHAnsi" w:hAnsiTheme="minorHAnsi" w:cstheme="minorHAnsi"/>
          <w:lang w:val="el-GR"/>
        </w:rPr>
        <w:t>(</w:t>
      </w:r>
      <w:r w:rsidRPr="00466073">
        <w:rPr>
          <w:rFonts w:asciiTheme="minorHAnsi" w:hAnsiTheme="minorHAnsi" w:cstheme="minorHAnsi"/>
          <w:lang w:val="el-GR"/>
        </w:rPr>
        <w:t>“</w:t>
      </w:r>
      <w:r w:rsidRPr="00466073">
        <w:rPr>
          <w:rFonts w:asciiTheme="minorHAnsi" w:hAnsiTheme="minorHAnsi" w:cstheme="minorHAnsi"/>
        </w:rPr>
        <w:t>pre</w:t>
      </w:r>
      <w:r w:rsidRPr="00466073">
        <w:rPr>
          <w:rFonts w:asciiTheme="minorHAnsi" w:hAnsiTheme="minorHAnsi" w:cstheme="minorHAnsi"/>
          <w:lang w:val="el-GR"/>
        </w:rPr>
        <w:t>-</w:t>
      </w:r>
      <w:r w:rsidRPr="00466073">
        <w:rPr>
          <w:rFonts w:asciiTheme="minorHAnsi" w:hAnsiTheme="minorHAnsi" w:cstheme="minorHAnsi"/>
        </w:rPr>
        <w:t>company</w:t>
      </w:r>
      <w:r w:rsidRPr="00466073">
        <w:rPr>
          <w:rFonts w:asciiTheme="minorHAnsi" w:hAnsiTheme="minorHAnsi" w:cstheme="minorHAnsi"/>
          <w:lang w:val="el-GR"/>
        </w:rPr>
        <w:t>”</w:t>
      </w:r>
      <w:r w:rsidR="00EB0528" w:rsidRPr="00466073">
        <w:rPr>
          <w:rFonts w:asciiTheme="minorHAnsi" w:hAnsiTheme="minorHAnsi" w:cstheme="minorHAnsi"/>
          <w:lang w:val="el-GR"/>
        </w:rPr>
        <w:t>)</w:t>
      </w:r>
      <w:r w:rsidRPr="00466073">
        <w:rPr>
          <w:rFonts w:asciiTheme="minorHAnsi" w:hAnsiTheme="minorHAnsi" w:cstheme="minorHAnsi"/>
          <w:lang w:val="el-GR"/>
        </w:rPr>
        <w:t xml:space="preserve">. Η επιχείρηση </w:t>
      </w:r>
      <w:r w:rsidR="00EB0528" w:rsidRPr="00466073">
        <w:rPr>
          <w:rFonts w:asciiTheme="minorHAnsi" w:hAnsiTheme="minorHAnsi" w:cstheme="minorHAnsi"/>
          <w:lang w:val="el-GR"/>
        </w:rPr>
        <w:t xml:space="preserve">οφείλει, </w:t>
      </w:r>
      <w:r w:rsidRPr="00466073">
        <w:rPr>
          <w:rFonts w:asciiTheme="minorHAnsi" w:hAnsiTheme="minorHAnsi" w:cstheme="minorHAnsi"/>
          <w:lang w:val="el-GR"/>
        </w:rPr>
        <w:t xml:space="preserve">εντός 30 ημερών από την υπογραφή του Καταστατικού </w:t>
      </w:r>
      <w:r w:rsidR="00EB0528" w:rsidRPr="00466073">
        <w:rPr>
          <w:rFonts w:asciiTheme="minorHAnsi" w:hAnsiTheme="minorHAnsi" w:cstheme="minorHAnsi"/>
          <w:lang w:val="el-GR"/>
        </w:rPr>
        <w:t>της,</w:t>
      </w:r>
      <w:r w:rsidRPr="00466073">
        <w:rPr>
          <w:rFonts w:asciiTheme="minorHAnsi" w:hAnsiTheme="minorHAnsi" w:cstheme="minorHAnsi"/>
          <w:lang w:val="el-GR"/>
        </w:rPr>
        <w:t xml:space="preserve"> να υποβάλλει αίτηση έκδοσης άδειας λειτουργίας στο αρμόδιο Δικαστήριο Καταχώρησης Εταιρειών. Εάν το Δικαστήριο δεν εκδώσει απόφαση εντός συγκεκριμένου χρονικού διαστήματος, τότε η εγγραφή συντελείται αυτόματα.</w:t>
      </w:r>
    </w:p>
    <w:p w:rsidR="00EB0528" w:rsidRPr="00466073" w:rsidRDefault="00EB0528" w:rsidP="00EB0528">
      <w:pPr>
        <w:widowControl w:val="0"/>
        <w:overflowPunct w:val="0"/>
        <w:autoSpaceDE w:val="0"/>
        <w:autoSpaceDN w:val="0"/>
        <w:adjustRightInd w:val="0"/>
        <w:spacing w:line="182" w:lineRule="auto"/>
        <w:jc w:val="both"/>
        <w:rPr>
          <w:rFonts w:asciiTheme="minorHAnsi" w:hAnsiTheme="minorHAnsi" w:cstheme="minorHAnsi"/>
          <w:b/>
          <w:bCs/>
          <w:lang w:val="el-GR"/>
        </w:rPr>
      </w:pPr>
    </w:p>
    <w:p w:rsidR="00113598" w:rsidRPr="00466073" w:rsidRDefault="00EB0528" w:rsidP="00EB0528">
      <w:pPr>
        <w:jc w:val="both"/>
        <w:rPr>
          <w:rFonts w:asciiTheme="minorHAnsi" w:hAnsiTheme="minorHAnsi" w:cstheme="minorHAnsi"/>
          <w:lang w:val="el-GR"/>
        </w:rPr>
      </w:pPr>
      <w:r w:rsidRPr="00466073">
        <w:rPr>
          <w:rFonts w:asciiTheme="minorHAnsi" w:hAnsiTheme="minorHAnsi" w:cstheme="minorHAnsi"/>
          <w:b/>
          <w:u w:val="single"/>
          <w:lang w:val="el-GR"/>
        </w:rPr>
        <w:t>Κεφαλαιακή δομή</w:t>
      </w:r>
      <w:r w:rsidRPr="00466073">
        <w:rPr>
          <w:rFonts w:asciiTheme="minorHAnsi" w:hAnsiTheme="minorHAnsi" w:cstheme="minorHAnsi"/>
          <w:lang w:val="el-GR"/>
        </w:rPr>
        <w:t>:</w:t>
      </w:r>
    </w:p>
    <w:p w:rsidR="00113598" w:rsidRPr="00466073" w:rsidRDefault="00113598" w:rsidP="00113598">
      <w:pPr>
        <w:widowControl w:val="0"/>
        <w:autoSpaceDE w:val="0"/>
        <w:autoSpaceDN w:val="0"/>
        <w:adjustRightInd w:val="0"/>
        <w:spacing w:line="54" w:lineRule="exact"/>
        <w:rPr>
          <w:rFonts w:asciiTheme="minorHAnsi" w:hAnsiTheme="minorHAnsi" w:cstheme="minorHAnsi"/>
          <w:lang w:val="el-GR"/>
        </w:rPr>
      </w:pPr>
    </w:p>
    <w:p w:rsidR="00113598" w:rsidRDefault="00113598" w:rsidP="00EB0528">
      <w:pPr>
        <w:widowControl w:val="0"/>
        <w:overflowPunct w:val="0"/>
        <w:autoSpaceDE w:val="0"/>
        <w:autoSpaceDN w:val="0"/>
        <w:adjustRightInd w:val="0"/>
        <w:spacing w:line="235" w:lineRule="auto"/>
        <w:jc w:val="both"/>
        <w:rPr>
          <w:rFonts w:asciiTheme="minorHAnsi" w:hAnsiTheme="minorHAnsi" w:cstheme="minorHAnsi"/>
          <w:lang w:val="el-GR"/>
        </w:rPr>
      </w:pPr>
      <w:r w:rsidRPr="00466073">
        <w:rPr>
          <w:rFonts w:asciiTheme="minorHAnsi" w:hAnsiTheme="minorHAnsi" w:cstheme="minorHAnsi"/>
          <w:lang w:val="el-GR"/>
        </w:rPr>
        <w:t xml:space="preserve">Για τις εταιρείες </w:t>
      </w:r>
      <w:r w:rsidRPr="00466073">
        <w:rPr>
          <w:rFonts w:asciiTheme="minorHAnsi" w:hAnsiTheme="minorHAnsi" w:cstheme="minorHAnsi"/>
        </w:rPr>
        <w:t>KFT</w:t>
      </w:r>
      <w:r w:rsidRPr="00466073">
        <w:rPr>
          <w:rFonts w:asciiTheme="minorHAnsi" w:hAnsiTheme="minorHAnsi" w:cstheme="minorHAnsi"/>
          <w:lang w:val="el-GR"/>
        </w:rPr>
        <w:t xml:space="preserve"> απαιτείται κεφάλαιο τουλάχιστον 3 εκατ. </w:t>
      </w:r>
      <w:proofErr w:type="spellStart"/>
      <w:r w:rsidRPr="00466073">
        <w:rPr>
          <w:rFonts w:asciiTheme="minorHAnsi" w:hAnsiTheme="minorHAnsi" w:cstheme="minorHAnsi"/>
          <w:lang w:val="el-GR"/>
        </w:rPr>
        <w:t>ουγγρ</w:t>
      </w:r>
      <w:proofErr w:type="spellEnd"/>
      <w:r w:rsidRPr="00466073">
        <w:rPr>
          <w:rFonts w:asciiTheme="minorHAnsi" w:hAnsiTheme="minorHAnsi" w:cstheme="minorHAnsi"/>
          <w:lang w:val="el-GR"/>
        </w:rPr>
        <w:t>. φιορινιών-</w:t>
      </w:r>
      <w:r w:rsidRPr="00466073">
        <w:rPr>
          <w:rFonts w:asciiTheme="minorHAnsi" w:hAnsiTheme="minorHAnsi" w:cstheme="minorHAnsi"/>
        </w:rPr>
        <w:t>HUF</w:t>
      </w:r>
      <w:r w:rsidR="00CD48C7" w:rsidRPr="00466073">
        <w:rPr>
          <w:rFonts w:asciiTheme="minorHAnsi" w:hAnsiTheme="minorHAnsi" w:cstheme="minorHAnsi"/>
          <w:lang w:val="el-GR"/>
        </w:rPr>
        <w:t xml:space="preserve"> (περίπου €9.632</w:t>
      </w:r>
      <w:r w:rsidRPr="00466073">
        <w:rPr>
          <w:rFonts w:asciiTheme="minorHAnsi" w:hAnsiTheme="minorHAnsi" w:cstheme="minorHAnsi"/>
          <w:lang w:val="el-GR"/>
        </w:rPr>
        <w:t>)</w:t>
      </w:r>
      <w:r w:rsidR="00CD48C7" w:rsidRPr="00466073">
        <w:rPr>
          <w:rStyle w:val="FootnoteReference"/>
          <w:rFonts w:asciiTheme="minorHAnsi" w:hAnsiTheme="minorHAnsi" w:cstheme="minorHAnsi"/>
          <w:lang w:val="el-GR"/>
        </w:rPr>
        <w:footnoteReference w:id="2"/>
      </w:r>
      <w:r w:rsidRPr="00466073">
        <w:rPr>
          <w:rFonts w:asciiTheme="minorHAnsi" w:hAnsiTheme="minorHAnsi" w:cstheme="minorHAnsi"/>
          <w:lang w:val="el-GR"/>
        </w:rPr>
        <w:t xml:space="preserve">, σε μετρητά ή σε είδος (δηλ. αντικείμενα ή πνευματική ιδιοκτησία με αγοραία αξία), ενώ κάθε εταιρικό μέλος θα πρέπει να συμμετάσχει με τουλάχιστον </w:t>
      </w:r>
      <w:r w:rsidR="00CD48C7" w:rsidRPr="00466073">
        <w:rPr>
          <w:rFonts w:asciiTheme="minorHAnsi" w:hAnsiTheme="minorHAnsi" w:cstheme="minorHAnsi"/>
        </w:rPr>
        <w:t>HUF</w:t>
      </w:r>
      <w:r w:rsidR="00CD48C7" w:rsidRPr="00466073">
        <w:rPr>
          <w:rFonts w:asciiTheme="minorHAnsi" w:hAnsiTheme="minorHAnsi" w:cstheme="minorHAnsi"/>
          <w:lang w:val="el-GR"/>
        </w:rPr>
        <w:t xml:space="preserve"> </w:t>
      </w:r>
      <w:r w:rsidRPr="00466073">
        <w:rPr>
          <w:rFonts w:asciiTheme="minorHAnsi" w:hAnsiTheme="minorHAnsi" w:cstheme="minorHAnsi"/>
          <w:lang w:val="el-GR"/>
        </w:rPr>
        <w:t xml:space="preserve">500 χιλ. </w:t>
      </w:r>
      <w:r w:rsidR="00CD48C7" w:rsidRPr="00466073">
        <w:rPr>
          <w:rFonts w:asciiTheme="minorHAnsi" w:hAnsiTheme="minorHAnsi" w:cstheme="minorHAnsi"/>
          <w:lang w:val="el-GR"/>
        </w:rPr>
        <w:t>(περίπου €1.60</w:t>
      </w:r>
      <w:r w:rsidRPr="00466073">
        <w:rPr>
          <w:rFonts w:asciiTheme="minorHAnsi" w:hAnsiTheme="minorHAnsi" w:cstheme="minorHAnsi"/>
          <w:lang w:val="el-GR"/>
        </w:rPr>
        <w:t xml:space="preserve">5). Τουλάχιστον το ήμισυ του κεφαλαίου σε μετρητά θα πρέπει να κατατεθεί σε τραπεζικό λογαριασμό της επιχείρησης πριν την κατάθεση της αίτησης για έκδοση άδειας λειτουργίας. Στην περίπτωση της εταιρικής μορφής </w:t>
      </w:r>
      <w:r w:rsidRPr="00466073">
        <w:rPr>
          <w:rFonts w:asciiTheme="minorHAnsi" w:hAnsiTheme="minorHAnsi" w:cstheme="minorHAnsi"/>
        </w:rPr>
        <w:t>ZRT</w:t>
      </w:r>
      <w:r w:rsidRPr="00466073">
        <w:rPr>
          <w:rFonts w:asciiTheme="minorHAnsi" w:hAnsiTheme="minorHAnsi" w:cstheme="minorHAnsi"/>
          <w:lang w:val="el-GR"/>
        </w:rPr>
        <w:t xml:space="preserve">, το εγγεγραμμένο κεφάλαιο δεν πρέπει να υπολείπεται των </w:t>
      </w:r>
      <w:r w:rsidR="00CD48C7" w:rsidRPr="00466073">
        <w:rPr>
          <w:rFonts w:asciiTheme="minorHAnsi" w:hAnsiTheme="minorHAnsi" w:cstheme="minorHAnsi"/>
        </w:rPr>
        <w:t>HUF</w:t>
      </w:r>
      <w:r w:rsidR="00CD48C7" w:rsidRPr="00466073">
        <w:rPr>
          <w:rFonts w:asciiTheme="minorHAnsi" w:hAnsiTheme="minorHAnsi" w:cstheme="minorHAnsi"/>
          <w:lang w:val="el-GR"/>
        </w:rPr>
        <w:t xml:space="preserve"> 5 εκ</w:t>
      </w:r>
      <w:r w:rsidRPr="00466073">
        <w:rPr>
          <w:rFonts w:asciiTheme="minorHAnsi" w:hAnsiTheme="minorHAnsi" w:cstheme="minorHAnsi"/>
          <w:lang w:val="el-GR"/>
        </w:rPr>
        <w:t>. (περίπου €1</w:t>
      </w:r>
      <w:r w:rsidR="00CD48C7" w:rsidRPr="00466073">
        <w:rPr>
          <w:rFonts w:asciiTheme="minorHAnsi" w:hAnsiTheme="minorHAnsi" w:cstheme="minorHAnsi"/>
          <w:lang w:val="el-GR"/>
        </w:rPr>
        <w:t>6</w:t>
      </w:r>
      <w:r w:rsidRPr="00466073">
        <w:rPr>
          <w:rFonts w:asciiTheme="minorHAnsi" w:hAnsiTheme="minorHAnsi" w:cstheme="minorHAnsi"/>
          <w:lang w:val="el-GR"/>
        </w:rPr>
        <w:t>.</w:t>
      </w:r>
      <w:r w:rsidR="00CD48C7" w:rsidRPr="00466073">
        <w:rPr>
          <w:rFonts w:asciiTheme="minorHAnsi" w:hAnsiTheme="minorHAnsi" w:cstheme="minorHAnsi"/>
          <w:lang w:val="el-GR"/>
        </w:rPr>
        <w:t>0</w:t>
      </w:r>
      <w:r w:rsidRPr="00466073">
        <w:rPr>
          <w:rFonts w:asciiTheme="minorHAnsi" w:hAnsiTheme="minorHAnsi" w:cstheme="minorHAnsi"/>
          <w:lang w:val="el-GR"/>
        </w:rPr>
        <w:t>5</w:t>
      </w:r>
      <w:r w:rsidR="00CD48C7" w:rsidRPr="00466073">
        <w:rPr>
          <w:rFonts w:asciiTheme="minorHAnsi" w:hAnsiTheme="minorHAnsi" w:cstheme="minorHAnsi"/>
          <w:lang w:val="el-GR"/>
        </w:rPr>
        <w:t>3</w:t>
      </w:r>
      <w:r w:rsidRPr="00466073">
        <w:rPr>
          <w:rFonts w:asciiTheme="minorHAnsi" w:hAnsiTheme="minorHAnsi" w:cstheme="minorHAnsi"/>
          <w:lang w:val="el-GR"/>
        </w:rPr>
        <w:t xml:space="preserve">) ενώ στην περίπτωση της </w:t>
      </w:r>
      <w:r w:rsidRPr="00466073">
        <w:rPr>
          <w:rFonts w:asciiTheme="minorHAnsi" w:hAnsiTheme="minorHAnsi" w:cstheme="minorHAnsi"/>
        </w:rPr>
        <w:t>NYRT</w:t>
      </w:r>
      <w:r w:rsidRPr="00466073">
        <w:rPr>
          <w:rFonts w:asciiTheme="minorHAnsi" w:hAnsiTheme="minorHAnsi" w:cstheme="minorHAnsi"/>
          <w:lang w:val="el-GR"/>
        </w:rPr>
        <w:t xml:space="preserve">, το μετοχικό κεφάλαιο θα πρέπει να υπερβαίνει τα </w:t>
      </w:r>
      <w:r w:rsidR="00CD48C7" w:rsidRPr="00466073">
        <w:rPr>
          <w:rFonts w:asciiTheme="minorHAnsi" w:hAnsiTheme="minorHAnsi" w:cstheme="minorHAnsi"/>
        </w:rPr>
        <w:t>HUF</w:t>
      </w:r>
      <w:r w:rsidR="00CD48C7" w:rsidRPr="00466073">
        <w:rPr>
          <w:rFonts w:asciiTheme="minorHAnsi" w:hAnsiTheme="minorHAnsi" w:cstheme="minorHAnsi"/>
          <w:lang w:val="el-GR"/>
        </w:rPr>
        <w:t xml:space="preserve"> 20 εκ</w:t>
      </w:r>
      <w:r w:rsidRPr="00466073">
        <w:rPr>
          <w:rFonts w:asciiTheme="minorHAnsi" w:hAnsiTheme="minorHAnsi" w:cstheme="minorHAnsi"/>
          <w:lang w:val="el-GR"/>
        </w:rPr>
        <w:t xml:space="preserve">. </w:t>
      </w:r>
      <w:r w:rsidR="00CD48C7" w:rsidRPr="00466073">
        <w:rPr>
          <w:rFonts w:asciiTheme="minorHAnsi" w:hAnsiTheme="minorHAnsi" w:cstheme="minorHAnsi"/>
          <w:lang w:val="el-GR"/>
        </w:rPr>
        <w:t>(περίπου €64.213</w:t>
      </w:r>
      <w:r w:rsidRPr="00466073">
        <w:rPr>
          <w:rFonts w:asciiTheme="minorHAnsi" w:hAnsiTheme="minorHAnsi" w:cstheme="minorHAnsi"/>
          <w:lang w:val="el-GR"/>
        </w:rPr>
        <w:t xml:space="preserve">). </w:t>
      </w:r>
      <w:r w:rsidR="00CD48C7" w:rsidRPr="00466073">
        <w:rPr>
          <w:rFonts w:asciiTheme="minorHAnsi" w:hAnsiTheme="minorHAnsi" w:cstheme="minorHAnsi"/>
          <w:lang w:val="el-GR"/>
        </w:rPr>
        <w:t>Τέλος, ο</w:t>
      </w:r>
      <w:r w:rsidRPr="00466073">
        <w:rPr>
          <w:rFonts w:asciiTheme="minorHAnsi" w:hAnsiTheme="minorHAnsi" w:cstheme="minorHAnsi"/>
          <w:lang w:val="el-GR"/>
        </w:rPr>
        <w:t xml:space="preserve">ι </w:t>
      </w:r>
      <w:r w:rsidRPr="00466073">
        <w:rPr>
          <w:rFonts w:asciiTheme="minorHAnsi" w:hAnsiTheme="minorHAnsi" w:cstheme="minorHAnsi"/>
        </w:rPr>
        <w:t>ZRT</w:t>
      </w:r>
      <w:r w:rsidRPr="00466073">
        <w:rPr>
          <w:rFonts w:asciiTheme="minorHAnsi" w:hAnsiTheme="minorHAnsi" w:cstheme="minorHAnsi"/>
          <w:lang w:val="el-GR"/>
        </w:rPr>
        <w:t xml:space="preserve"> και </w:t>
      </w:r>
      <w:r w:rsidRPr="00466073">
        <w:rPr>
          <w:rFonts w:asciiTheme="minorHAnsi" w:hAnsiTheme="minorHAnsi" w:cstheme="minorHAnsi"/>
        </w:rPr>
        <w:t>NYRT</w:t>
      </w:r>
      <w:r w:rsidRPr="00466073">
        <w:rPr>
          <w:rFonts w:asciiTheme="minorHAnsi" w:hAnsiTheme="minorHAnsi" w:cstheme="minorHAnsi"/>
          <w:lang w:val="el-GR"/>
        </w:rPr>
        <w:t xml:space="preserve"> που απασχολούν περισσότερους από 200 εργαζόμενους υποχρεούνται να συστήσουν Εποπτικό Συμβούλιο (</w:t>
      </w:r>
      <w:r w:rsidRPr="00466073">
        <w:rPr>
          <w:rFonts w:asciiTheme="minorHAnsi" w:hAnsiTheme="minorHAnsi" w:cstheme="minorHAnsi"/>
        </w:rPr>
        <w:t>Supervisory</w:t>
      </w:r>
      <w:r w:rsidRPr="00466073">
        <w:rPr>
          <w:rFonts w:asciiTheme="minorHAnsi" w:hAnsiTheme="minorHAnsi" w:cstheme="minorHAnsi"/>
          <w:lang w:val="el-GR"/>
        </w:rPr>
        <w:t xml:space="preserve"> </w:t>
      </w:r>
      <w:r w:rsidRPr="00466073">
        <w:rPr>
          <w:rFonts w:asciiTheme="minorHAnsi" w:hAnsiTheme="minorHAnsi" w:cstheme="minorHAnsi"/>
        </w:rPr>
        <w:t>Board</w:t>
      </w:r>
      <w:r w:rsidRPr="00466073">
        <w:rPr>
          <w:rFonts w:asciiTheme="minorHAnsi" w:hAnsiTheme="minorHAnsi" w:cstheme="minorHAnsi"/>
          <w:lang w:val="el-GR"/>
        </w:rPr>
        <w:t>).</w:t>
      </w:r>
    </w:p>
    <w:p w:rsidR="00321689" w:rsidRDefault="00321689" w:rsidP="00EB0528">
      <w:pPr>
        <w:widowControl w:val="0"/>
        <w:overflowPunct w:val="0"/>
        <w:autoSpaceDE w:val="0"/>
        <w:autoSpaceDN w:val="0"/>
        <w:adjustRightInd w:val="0"/>
        <w:spacing w:line="235" w:lineRule="auto"/>
        <w:jc w:val="both"/>
        <w:rPr>
          <w:rFonts w:asciiTheme="minorHAnsi" w:hAnsiTheme="minorHAnsi" w:cstheme="minorHAnsi"/>
          <w:lang w:val="el-GR"/>
        </w:rPr>
      </w:pPr>
    </w:p>
    <w:p w:rsidR="00321689" w:rsidRDefault="00321689" w:rsidP="00EB0528">
      <w:pPr>
        <w:widowControl w:val="0"/>
        <w:overflowPunct w:val="0"/>
        <w:autoSpaceDE w:val="0"/>
        <w:autoSpaceDN w:val="0"/>
        <w:adjustRightInd w:val="0"/>
        <w:spacing w:line="235" w:lineRule="auto"/>
        <w:jc w:val="both"/>
        <w:rPr>
          <w:rFonts w:asciiTheme="minorHAnsi" w:hAnsiTheme="minorHAnsi" w:cstheme="minorHAnsi"/>
          <w:lang w:val="el-GR"/>
        </w:rPr>
      </w:pPr>
    </w:p>
    <w:p w:rsidR="00321689" w:rsidRPr="00466073" w:rsidRDefault="00321689" w:rsidP="00EB0528">
      <w:pPr>
        <w:widowControl w:val="0"/>
        <w:overflowPunct w:val="0"/>
        <w:autoSpaceDE w:val="0"/>
        <w:autoSpaceDN w:val="0"/>
        <w:adjustRightInd w:val="0"/>
        <w:spacing w:line="235" w:lineRule="auto"/>
        <w:jc w:val="both"/>
        <w:rPr>
          <w:rFonts w:asciiTheme="minorHAnsi" w:hAnsiTheme="minorHAnsi" w:cstheme="minorHAnsi"/>
          <w:lang w:val="el-GR"/>
        </w:rPr>
      </w:pPr>
    </w:p>
    <w:p w:rsidR="00113598" w:rsidRPr="00466073" w:rsidRDefault="00113598" w:rsidP="00113598">
      <w:pPr>
        <w:widowControl w:val="0"/>
        <w:overflowPunct w:val="0"/>
        <w:autoSpaceDE w:val="0"/>
        <w:autoSpaceDN w:val="0"/>
        <w:adjustRightInd w:val="0"/>
        <w:jc w:val="both"/>
        <w:rPr>
          <w:rFonts w:asciiTheme="minorHAnsi" w:hAnsiTheme="minorHAnsi" w:cstheme="minorHAnsi"/>
          <w:lang w:val="el-GR"/>
        </w:rPr>
      </w:pPr>
    </w:p>
    <w:p w:rsidR="00113598" w:rsidRPr="00466073" w:rsidRDefault="00113598" w:rsidP="00113598">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u w:val="single"/>
          <w:lang w:val="el-GR"/>
        </w:rPr>
      </w:pPr>
      <w:r w:rsidRPr="00466073">
        <w:rPr>
          <w:rFonts w:asciiTheme="minorHAnsi" w:hAnsiTheme="minorHAnsi" w:cstheme="minorHAnsi"/>
          <w:u w:val="single"/>
          <w:lang w:val="el-GR"/>
        </w:rPr>
        <w:t>Τραπεζικό Σύστημα</w:t>
      </w:r>
    </w:p>
    <w:p w:rsidR="00AB41E4" w:rsidRPr="00466073" w:rsidRDefault="00AB41E4" w:rsidP="00AB41E4">
      <w:pPr>
        <w:widowControl w:val="0"/>
        <w:autoSpaceDE w:val="0"/>
        <w:autoSpaceDN w:val="0"/>
        <w:adjustRightInd w:val="0"/>
        <w:rPr>
          <w:rFonts w:asciiTheme="minorHAnsi" w:hAnsiTheme="minorHAnsi" w:cstheme="minorHAnsi"/>
          <w:u w:val="single"/>
        </w:rPr>
      </w:pPr>
    </w:p>
    <w:p w:rsidR="00113598" w:rsidRPr="00466073" w:rsidRDefault="00254B32" w:rsidP="00C74808">
      <w:pPr>
        <w:widowControl w:val="0"/>
        <w:overflowPunct w:val="0"/>
        <w:autoSpaceDE w:val="0"/>
        <w:autoSpaceDN w:val="0"/>
        <w:adjustRightInd w:val="0"/>
        <w:spacing w:line="235" w:lineRule="auto"/>
        <w:jc w:val="both"/>
        <w:rPr>
          <w:rFonts w:asciiTheme="minorHAnsi" w:hAnsiTheme="minorHAnsi" w:cstheme="minorHAnsi"/>
          <w:lang w:val="el-GR"/>
        </w:rPr>
      </w:pPr>
      <w:r w:rsidRPr="00466073">
        <w:rPr>
          <w:rFonts w:asciiTheme="minorHAnsi" w:hAnsiTheme="minorHAnsi" w:cstheme="minorHAnsi"/>
          <w:lang w:val="el-GR"/>
        </w:rPr>
        <w:t>Το τραπεζικό σύστημα στην Ουγγαρία, περιλαμβάνει 31 τράπεζες</w:t>
      </w:r>
      <w:r w:rsidR="00FA3ED1" w:rsidRPr="00466073">
        <w:rPr>
          <w:rFonts w:asciiTheme="minorHAnsi" w:hAnsiTheme="minorHAnsi" w:cstheme="minorHAnsi"/>
          <w:lang w:val="el-GR"/>
        </w:rPr>
        <w:t xml:space="preserve"> (ξένες με υποκαταστήματα στην Ουγγαρία</w:t>
      </w:r>
      <w:r w:rsidRPr="00466073">
        <w:rPr>
          <w:rFonts w:asciiTheme="minorHAnsi" w:hAnsiTheme="minorHAnsi" w:cstheme="minorHAnsi"/>
          <w:lang w:val="el-GR"/>
        </w:rPr>
        <w:t>,</w:t>
      </w:r>
      <w:r w:rsidR="00FA3ED1" w:rsidRPr="00466073">
        <w:rPr>
          <w:rFonts w:asciiTheme="minorHAnsi" w:hAnsiTheme="minorHAnsi" w:cstheme="minorHAnsi"/>
          <w:lang w:val="el-GR"/>
        </w:rPr>
        <w:t xml:space="preserve"> αλλά και εγχώριες),</w:t>
      </w:r>
      <w:r w:rsidRPr="00466073">
        <w:rPr>
          <w:rFonts w:asciiTheme="minorHAnsi" w:hAnsiTheme="minorHAnsi" w:cstheme="minorHAnsi"/>
          <w:lang w:val="el-GR"/>
        </w:rPr>
        <w:t xml:space="preserve"> 11 εξειδικευμένα </w:t>
      </w:r>
      <w:r w:rsidR="00FA3ED1" w:rsidRPr="00466073">
        <w:rPr>
          <w:rFonts w:asciiTheme="minorHAnsi" w:hAnsiTheme="minorHAnsi" w:cstheme="minorHAnsi"/>
          <w:lang w:val="el-GR"/>
        </w:rPr>
        <w:t xml:space="preserve">πιστωτικά ιδρύματα και 12 συνεταιριστικά πιστωτικά ιδρύματα. </w:t>
      </w:r>
      <w:r w:rsidR="00113598" w:rsidRPr="00466073">
        <w:rPr>
          <w:rFonts w:asciiTheme="minorHAnsi" w:hAnsiTheme="minorHAnsi" w:cstheme="minorHAnsi"/>
          <w:lang w:val="el-GR"/>
        </w:rPr>
        <w:t xml:space="preserve">Οι εμπορικές τράπεζες </w:t>
      </w:r>
      <w:r w:rsidR="00FA3ED1" w:rsidRPr="00466073">
        <w:rPr>
          <w:rFonts w:asciiTheme="minorHAnsi" w:hAnsiTheme="minorHAnsi" w:cstheme="minorHAnsi"/>
          <w:lang w:val="el-GR"/>
        </w:rPr>
        <w:t xml:space="preserve">καταγράφονται ως μέλη στην </w:t>
      </w:r>
      <w:r w:rsidR="00113598" w:rsidRPr="00466073">
        <w:rPr>
          <w:rFonts w:asciiTheme="minorHAnsi" w:hAnsiTheme="minorHAnsi" w:cstheme="minorHAnsi"/>
          <w:lang w:val="el-GR"/>
        </w:rPr>
        <w:t>Ουγγρική</w:t>
      </w:r>
      <w:r w:rsidR="00FA3ED1" w:rsidRPr="00466073">
        <w:rPr>
          <w:rFonts w:asciiTheme="minorHAnsi" w:hAnsiTheme="minorHAnsi" w:cstheme="minorHAnsi"/>
          <w:lang w:val="el-GR"/>
        </w:rPr>
        <w:t xml:space="preserve"> Ένωση</w:t>
      </w:r>
      <w:r w:rsidR="00113598" w:rsidRPr="00466073">
        <w:rPr>
          <w:rFonts w:asciiTheme="minorHAnsi" w:hAnsiTheme="minorHAnsi" w:cstheme="minorHAnsi"/>
          <w:lang w:val="el-GR"/>
        </w:rPr>
        <w:t xml:space="preserve"> Τραπεζών (</w:t>
      </w:r>
      <w:r w:rsidR="00113598" w:rsidRPr="00466073">
        <w:rPr>
          <w:rFonts w:asciiTheme="minorHAnsi" w:hAnsiTheme="minorHAnsi" w:cstheme="minorHAnsi"/>
        </w:rPr>
        <w:t>Hungarian</w:t>
      </w:r>
      <w:r w:rsidR="00113598" w:rsidRPr="00466073">
        <w:rPr>
          <w:rFonts w:asciiTheme="minorHAnsi" w:hAnsiTheme="minorHAnsi" w:cstheme="minorHAnsi"/>
          <w:lang w:val="el-GR"/>
        </w:rPr>
        <w:t xml:space="preserve"> </w:t>
      </w:r>
      <w:r w:rsidR="00113598" w:rsidRPr="00466073">
        <w:rPr>
          <w:rFonts w:asciiTheme="minorHAnsi" w:hAnsiTheme="minorHAnsi" w:cstheme="minorHAnsi"/>
        </w:rPr>
        <w:t>Banking</w:t>
      </w:r>
      <w:r w:rsidR="00113598" w:rsidRPr="00466073">
        <w:rPr>
          <w:rFonts w:asciiTheme="minorHAnsi" w:hAnsiTheme="minorHAnsi" w:cstheme="minorHAnsi"/>
          <w:lang w:val="el-GR"/>
        </w:rPr>
        <w:t xml:space="preserve"> </w:t>
      </w:r>
      <w:r w:rsidR="00113598" w:rsidRPr="00466073">
        <w:rPr>
          <w:rFonts w:asciiTheme="minorHAnsi" w:hAnsiTheme="minorHAnsi" w:cstheme="minorHAnsi"/>
        </w:rPr>
        <w:t>Association</w:t>
      </w:r>
      <w:r w:rsidR="00113598" w:rsidRPr="00466073">
        <w:rPr>
          <w:rFonts w:asciiTheme="minorHAnsi" w:hAnsiTheme="minorHAnsi" w:cstheme="minorHAnsi"/>
          <w:lang w:val="el-GR"/>
        </w:rPr>
        <w:t xml:space="preserve">, </w:t>
      </w:r>
      <w:hyperlink r:id="rId14" w:history="1">
        <w:r w:rsidR="00113598" w:rsidRPr="00466073">
          <w:rPr>
            <w:rStyle w:val="Hyperlink"/>
            <w:rFonts w:asciiTheme="minorHAnsi" w:hAnsiTheme="minorHAnsi" w:cstheme="minorHAnsi"/>
          </w:rPr>
          <w:t>www</w:t>
        </w:r>
        <w:r w:rsidR="00113598" w:rsidRPr="00466073">
          <w:rPr>
            <w:rStyle w:val="Hyperlink"/>
            <w:rFonts w:asciiTheme="minorHAnsi" w:hAnsiTheme="minorHAnsi" w:cstheme="minorHAnsi"/>
            <w:lang w:val="el-GR"/>
          </w:rPr>
          <w:t>.</w:t>
        </w:r>
        <w:proofErr w:type="spellStart"/>
        <w:r w:rsidR="00113598" w:rsidRPr="00466073">
          <w:rPr>
            <w:rStyle w:val="Hyperlink"/>
            <w:rFonts w:asciiTheme="minorHAnsi" w:hAnsiTheme="minorHAnsi" w:cstheme="minorHAnsi"/>
          </w:rPr>
          <w:t>bankszovetseg</w:t>
        </w:r>
        <w:proofErr w:type="spellEnd"/>
        <w:r w:rsidR="00113598" w:rsidRPr="00466073">
          <w:rPr>
            <w:rStyle w:val="Hyperlink"/>
            <w:rFonts w:asciiTheme="minorHAnsi" w:hAnsiTheme="minorHAnsi" w:cstheme="minorHAnsi"/>
            <w:lang w:val="el-GR"/>
          </w:rPr>
          <w:t>.</w:t>
        </w:r>
        <w:proofErr w:type="spellStart"/>
        <w:r w:rsidR="00113598" w:rsidRPr="00466073">
          <w:rPr>
            <w:rStyle w:val="Hyperlink"/>
            <w:rFonts w:asciiTheme="minorHAnsi" w:hAnsiTheme="minorHAnsi" w:cstheme="minorHAnsi"/>
          </w:rPr>
          <w:t>hu</w:t>
        </w:r>
        <w:proofErr w:type="spellEnd"/>
      </w:hyperlink>
      <w:r w:rsidR="00113598" w:rsidRPr="00466073">
        <w:rPr>
          <w:rFonts w:asciiTheme="minorHAnsi" w:hAnsiTheme="minorHAnsi" w:cstheme="minorHAnsi"/>
          <w:lang w:val="el-GR"/>
        </w:rPr>
        <w:t xml:space="preserve">). </w:t>
      </w:r>
      <w:r w:rsidR="00FA3ED1" w:rsidRPr="00466073">
        <w:rPr>
          <w:rFonts w:asciiTheme="minorHAnsi" w:hAnsiTheme="minorHAnsi" w:cstheme="minorHAnsi"/>
          <w:lang w:val="el-GR"/>
        </w:rPr>
        <w:t>Σύμφωνα με την Κεντρική Τράπεζα Ουγγαρίας (ΜΝΒ), τ</w:t>
      </w:r>
      <w:r w:rsidR="00113598" w:rsidRPr="00466073">
        <w:rPr>
          <w:rFonts w:asciiTheme="minorHAnsi" w:hAnsiTheme="minorHAnsi" w:cstheme="minorHAnsi"/>
          <w:lang w:val="el-GR"/>
        </w:rPr>
        <w:t xml:space="preserve">ο τραπεζικό σύστημα της χώρας χαρακτηρίζεται από </w:t>
      </w:r>
      <w:r w:rsidR="00FA3ED1" w:rsidRPr="00466073">
        <w:rPr>
          <w:rFonts w:asciiTheme="minorHAnsi" w:hAnsiTheme="minorHAnsi" w:cstheme="minorHAnsi"/>
          <w:lang w:val="el-GR"/>
        </w:rPr>
        <w:t xml:space="preserve">σταθερότητα ως προς την ρευστότητά του και την κεφαλαιακή </w:t>
      </w:r>
      <w:r w:rsidR="00C74808" w:rsidRPr="00466073">
        <w:rPr>
          <w:rFonts w:asciiTheme="minorHAnsi" w:hAnsiTheme="minorHAnsi" w:cstheme="minorHAnsi"/>
          <w:lang w:val="el-GR"/>
        </w:rPr>
        <w:t xml:space="preserve">του </w:t>
      </w:r>
      <w:r w:rsidR="00FA3ED1" w:rsidRPr="00466073">
        <w:rPr>
          <w:rFonts w:asciiTheme="minorHAnsi" w:hAnsiTheme="minorHAnsi" w:cstheme="minorHAnsi"/>
          <w:lang w:val="el-GR"/>
        </w:rPr>
        <w:t>επάρκει</w:t>
      </w:r>
      <w:r w:rsidR="00C74808" w:rsidRPr="00466073">
        <w:rPr>
          <w:rFonts w:asciiTheme="minorHAnsi" w:hAnsiTheme="minorHAnsi" w:cstheme="minorHAnsi"/>
          <w:lang w:val="el-GR"/>
        </w:rPr>
        <w:t>α</w:t>
      </w:r>
      <w:r w:rsidR="00FA3ED1" w:rsidRPr="00466073">
        <w:rPr>
          <w:rFonts w:asciiTheme="minorHAnsi" w:hAnsiTheme="minorHAnsi" w:cstheme="minorHAnsi"/>
          <w:lang w:val="el-GR"/>
        </w:rPr>
        <w:t xml:space="preserve">. </w:t>
      </w:r>
      <w:r w:rsidR="00C74808" w:rsidRPr="00466073">
        <w:rPr>
          <w:rFonts w:asciiTheme="minorHAnsi" w:hAnsiTheme="minorHAnsi" w:cstheme="minorHAnsi"/>
          <w:lang w:val="el-GR"/>
        </w:rPr>
        <w:t>Επίσης, χαρακτηρίζεται από έντονο ανταγωνισμό και μέτριο βαθμό συγκέντρωσης, αφού ο</w:t>
      </w:r>
      <w:r w:rsidR="00113598" w:rsidRPr="00466073">
        <w:rPr>
          <w:rFonts w:asciiTheme="minorHAnsi" w:hAnsiTheme="minorHAnsi" w:cstheme="minorHAnsi"/>
          <w:lang w:val="el-GR"/>
        </w:rPr>
        <w:t>ι 7 μεγαλύτερες τράπεζες (</w:t>
      </w:r>
      <w:r w:rsidR="00113598" w:rsidRPr="00466073">
        <w:rPr>
          <w:rFonts w:asciiTheme="minorHAnsi" w:hAnsiTheme="minorHAnsi" w:cstheme="minorHAnsi"/>
        </w:rPr>
        <w:t>OTP</w:t>
      </w:r>
      <w:r w:rsidR="00113598" w:rsidRPr="00466073">
        <w:rPr>
          <w:rFonts w:asciiTheme="minorHAnsi" w:hAnsiTheme="minorHAnsi" w:cstheme="minorHAnsi"/>
          <w:lang w:val="el-GR"/>
        </w:rPr>
        <w:t xml:space="preserve">, </w:t>
      </w:r>
      <w:r w:rsidR="00113598" w:rsidRPr="00466073">
        <w:rPr>
          <w:rFonts w:asciiTheme="minorHAnsi" w:hAnsiTheme="minorHAnsi" w:cstheme="minorHAnsi"/>
        </w:rPr>
        <w:t>K</w:t>
      </w:r>
      <w:r w:rsidR="00113598" w:rsidRPr="00466073">
        <w:rPr>
          <w:rFonts w:asciiTheme="minorHAnsi" w:hAnsiTheme="minorHAnsi" w:cstheme="minorHAnsi"/>
          <w:lang w:val="el-GR"/>
        </w:rPr>
        <w:t>&amp;</w:t>
      </w:r>
      <w:r w:rsidR="00113598" w:rsidRPr="00466073">
        <w:rPr>
          <w:rFonts w:asciiTheme="minorHAnsi" w:hAnsiTheme="minorHAnsi" w:cstheme="minorHAnsi"/>
        </w:rPr>
        <w:t>H</w:t>
      </w:r>
      <w:r w:rsidR="00113598" w:rsidRPr="00466073">
        <w:rPr>
          <w:rFonts w:asciiTheme="minorHAnsi" w:hAnsiTheme="minorHAnsi" w:cstheme="minorHAnsi"/>
          <w:lang w:val="el-GR"/>
        </w:rPr>
        <w:t xml:space="preserve">, </w:t>
      </w:r>
      <w:r w:rsidR="00113598" w:rsidRPr="00466073">
        <w:rPr>
          <w:rFonts w:asciiTheme="minorHAnsi" w:hAnsiTheme="minorHAnsi" w:cstheme="minorHAnsi"/>
        </w:rPr>
        <w:t>MKB</w:t>
      </w:r>
      <w:r w:rsidR="00113598" w:rsidRPr="00466073">
        <w:rPr>
          <w:rFonts w:asciiTheme="minorHAnsi" w:hAnsiTheme="minorHAnsi" w:cstheme="minorHAnsi"/>
          <w:lang w:val="el-GR"/>
        </w:rPr>
        <w:t xml:space="preserve">, </w:t>
      </w:r>
      <w:proofErr w:type="spellStart"/>
      <w:r w:rsidR="00113598" w:rsidRPr="00466073">
        <w:rPr>
          <w:rFonts w:asciiTheme="minorHAnsi" w:hAnsiTheme="minorHAnsi" w:cstheme="minorHAnsi"/>
        </w:rPr>
        <w:t>Erste</w:t>
      </w:r>
      <w:proofErr w:type="spellEnd"/>
      <w:r w:rsidR="00113598" w:rsidRPr="00466073">
        <w:rPr>
          <w:rFonts w:asciiTheme="minorHAnsi" w:hAnsiTheme="minorHAnsi" w:cstheme="minorHAnsi"/>
          <w:lang w:val="el-GR"/>
        </w:rPr>
        <w:t xml:space="preserve">, </w:t>
      </w:r>
      <w:r w:rsidR="00113598" w:rsidRPr="00466073">
        <w:rPr>
          <w:rFonts w:asciiTheme="minorHAnsi" w:hAnsiTheme="minorHAnsi" w:cstheme="minorHAnsi"/>
        </w:rPr>
        <w:t>CIB</w:t>
      </w:r>
      <w:r w:rsidR="00113598" w:rsidRPr="00466073">
        <w:rPr>
          <w:rFonts w:asciiTheme="minorHAnsi" w:hAnsiTheme="minorHAnsi" w:cstheme="minorHAnsi"/>
          <w:lang w:val="el-GR"/>
        </w:rPr>
        <w:t xml:space="preserve">, </w:t>
      </w:r>
      <w:proofErr w:type="spellStart"/>
      <w:r w:rsidR="00113598" w:rsidRPr="00466073">
        <w:rPr>
          <w:rFonts w:asciiTheme="minorHAnsi" w:hAnsiTheme="minorHAnsi" w:cstheme="minorHAnsi"/>
        </w:rPr>
        <w:t>Raifeissen</w:t>
      </w:r>
      <w:proofErr w:type="spellEnd"/>
      <w:r w:rsidR="00113598" w:rsidRPr="00466073">
        <w:rPr>
          <w:rFonts w:asciiTheme="minorHAnsi" w:hAnsiTheme="minorHAnsi" w:cstheme="minorHAnsi"/>
          <w:lang w:val="el-GR"/>
        </w:rPr>
        <w:t xml:space="preserve"> και </w:t>
      </w:r>
      <w:proofErr w:type="spellStart"/>
      <w:r w:rsidR="00113598" w:rsidRPr="00466073">
        <w:rPr>
          <w:rFonts w:asciiTheme="minorHAnsi" w:hAnsiTheme="minorHAnsi" w:cstheme="minorHAnsi"/>
        </w:rPr>
        <w:t>Unicredit</w:t>
      </w:r>
      <w:proofErr w:type="spellEnd"/>
      <w:r w:rsidR="00113598" w:rsidRPr="00466073">
        <w:rPr>
          <w:rFonts w:asciiTheme="minorHAnsi" w:hAnsiTheme="minorHAnsi" w:cstheme="minorHAnsi"/>
          <w:lang w:val="el-GR"/>
        </w:rPr>
        <w:t>) κατέχουν περί το 70% του συνολικού ενεργητικού του τραπεζικού κλάδου.</w:t>
      </w:r>
      <w:r w:rsidR="00FA3ED1" w:rsidRPr="00466073">
        <w:rPr>
          <w:rFonts w:asciiTheme="minorHAnsi" w:hAnsiTheme="minorHAnsi" w:cstheme="minorHAnsi"/>
          <w:lang w:val="el-GR"/>
        </w:rPr>
        <w:t xml:space="preserve"> </w:t>
      </w:r>
    </w:p>
    <w:p w:rsidR="00113598" w:rsidRPr="00466073" w:rsidRDefault="00113598" w:rsidP="00113598">
      <w:pPr>
        <w:widowControl w:val="0"/>
        <w:autoSpaceDE w:val="0"/>
        <w:autoSpaceDN w:val="0"/>
        <w:adjustRightInd w:val="0"/>
        <w:spacing w:line="155" w:lineRule="exact"/>
        <w:rPr>
          <w:rFonts w:asciiTheme="minorHAnsi" w:hAnsiTheme="minorHAnsi" w:cstheme="minorHAnsi"/>
          <w:lang w:val="el-GR"/>
        </w:rPr>
      </w:pPr>
    </w:p>
    <w:p w:rsidR="00113598" w:rsidRPr="00466073" w:rsidRDefault="00113598" w:rsidP="00113598">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Ο βαθμός της χρηματοπιστωτικής διαμεσολάβησης παρουσιάζει αυξητικές τάσεις, υπολείπεται όμως αυτού των χωρών της Δυτικής Ευρώπης. Ο λόγος του κεφαλαίου των τραπεζών προς το επισφαλές ενεργητικό τους παρουσιάζει ικανοποιητικό βαθμό </w:t>
      </w:r>
      <w:r w:rsidR="007B1C90" w:rsidRPr="00466073">
        <w:rPr>
          <w:rFonts w:asciiTheme="minorHAnsi" w:hAnsiTheme="minorHAnsi" w:cstheme="minorHAnsi"/>
          <w:lang w:val="el-GR"/>
        </w:rPr>
        <w:t>ασφάλειας</w:t>
      </w:r>
      <w:r w:rsidRPr="00466073">
        <w:rPr>
          <w:rFonts w:asciiTheme="minorHAnsi" w:hAnsiTheme="minorHAnsi" w:cstheme="minorHAnsi"/>
          <w:lang w:val="el-GR"/>
        </w:rPr>
        <w:t xml:space="preserve">, για το σύνολο του τραπεζικού συστήματος της Ουγγαρίας. Βέβαια, λόγω της κεφαλαιακής υποχρέωσης των </w:t>
      </w:r>
      <w:r w:rsidR="007B1C90" w:rsidRPr="00466073">
        <w:rPr>
          <w:rFonts w:asciiTheme="minorHAnsi" w:hAnsiTheme="minorHAnsi" w:cstheme="minorHAnsi"/>
        </w:rPr>
        <w:t>HUF</w:t>
      </w:r>
      <w:r w:rsidR="007B1C90" w:rsidRPr="00466073">
        <w:rPr>
          <w:rFonts w:asciiTheme="minorHAnsi" w:hAnsiTheme="minorHAnsi" w:cstheme="minorHAnsi"/>
          <w:lang w:val="el-GR"/>
        </w:rPr>
        <w:t xml:space="preserve"> </w:t>
      </w:r>
      <w:r w:rsidRPr="00466073">
        <w:rPr>
          <w:rFonts w:asciiTheme="minorHAnsi" w:hAnsiTheme="minorHAnsi" w:cstheme="minorHAnsi"/>
          <w:lang w:val="el-GR"/>
        </w:rPr>
        <w:t xml:space="preserve">2 </w:t>
      </w:r>
      <w:proofErr w:type="spellStart"/>
      <w:r w:rsidRPr="00466073">
        <w:rPr>
          <w:rFonts w:asciiTheme="minorHAnsi" w:hAnsiTheme="minorHAnsi" w:cstheme="minorHAnsi"/>
          <w:lang w:val="el-GR"/>
        </w:rPr>
        <w:t>δισ</w:t>
      </w:r>
      <w:r w:rsidR="00865C5B" w:rsidRPr="00466073">
        <w:rPr>
          <w:rFonts w:asciiTheme="minorHAnsi" w:hAnsiTheme="minorHAnsi" w:cstheme="minorHAnsi"/>
          <w:lang w:val="el-GR"/>
        </w:rPr>
        <w:t>εκ</w:t>
      </w:r>
      <w:proofErr w:type="spellEnd"/>
      <w:r w:rsidRPr="00466073">
        <w:rPr>
          <w:rFonts w:asciiTheme="minorHAnsi" w:hAnsiTheme="minorHAnsi" w:cstheme="minorHAnsi"/>
          <w:lang w:val="el-GR"/>
        </w:rPr>
        <w:t>. (περίπου €</w:t>
      </w:r>
      <w:r w:rsidR="007B1C90" w:rsidRPr="00466073">
        <w:rPr>
          <w:rFonts w:asciiTheme="minorHAnsi" w:hAnsiTheme="minorHAnsi" w:cstheme="minorHAnsi"/>
          <w:lang w:val="el-GR"/>
        </w:rPr>
        <w:t>6,4</w:t>
      </w:r>
      <w:r w:rsidRPr="00466073">
        <w:rPr>
          <w:rFonts w:asciiTheme="minorHAnsi" w:hAnsiTheme="minorHAnsi" w:cstheme="minorHAnsi"/>
          <w:lang w:val="el-GR"/>
        </w:rPr>
        <w:t xml:space="preserve"> εκ.), οι μικρότερες τράπεζες δεν μπορούν να εκμεταλλευθούν επαρκώς τις δανειοδοτικές ευκαιρίες, πράγμα που επηρεάζει την κερδοφορία τους και την κεφαλαιακή τους επάρκεια.</w:t>
      </w:r>
    </w:p>
    <w:p w:rsidR="00113598" w:rsidRPr="00466073" w:rsidRDefault="00113598" w:rsidP="00113598">
      <w:pPr>
        <w:widowControl w:val="0"/>
        <w:autoSpaceDE w:val="0"/>
        <w:autoSpaceDN w:val="0"/>
        <w:adjustRightInd w:val="0"/>
        <w:spacing w:line="150" w:lineRule="exact"/>
        <w:rPr>
          <w:rFonts w:asciiTheme="minorHAnsi" w:hAnsiTheme="minorHAnsi" w:cstheme="minorHAnsi"/>
          <w:lang w:val="el-GR"/>
        </w:rPr>
      </w:pPr>
    </w:p>
    <w:p w:rsidR="00C74808" w:rsidRPr="00466073" w:rsidRDefault="00113598" w:rsidP="004C54EA">
      <w:pPr>
        <w:widowControl w:val="0"/>
        <w:overflowPunct w:val="0"/>
        <w:autoSpaceDE w:val="0"/>
        <w:autoSpaceDN w:val="0"/>
        <w:adjustRightInd w:val="0"/>
        <w:spacing w:line="227" w:lineRule="auto"/>
        <w:jc w:val="both"/>
        <w:rPr>
          <w:rFonts w:asciiTheme="minorHAnsi" w:hAnsiTheme="minorHAnsi" w:cstheme="minorHAnsi"/>
          <w:lang w:val="el-GR"/>
        </w:rPr>
      </w:pPr>
      <w:r w:rsidRPr="00466073">
        <w:rPr>
          <w:rFonts w:asciiTheme="minorHAnsi" w:hAnsiTheme="minorHAnsi" w:cstheme="minorHAnsi"/>
          <w:lang w:val="el-GR"/>
        </w:rPr>
        <w:t>Η πορεία των μεγάλων εταιρικών δανείων έχει ακολουθήσει</w:t>
      </w:r>
      <w:r w:rsidR="00C74808" w:rsidRPr="00466073">
        <w:rPr>
          <w:rFonts w:asciiTheme="minorHAnsi" w:hAnsiTheme="minorHAnsi" w:cstheme="minorHAnsi"/>
          <w:lang w:val="el-GR"/>
        </w:rPr>
        <w:t>,</w:t>
      </w:r>
      <w:r w:rsidRPr="00466073">
        <w:rPr>
          <w:rFonts w:asciiTheme="minorHAnsi" w:hAnsiTheme="minorHAnsi" w:cstheme="minorHAnsi"/>
          <w:lang w:val="el-GR"/>
        </w:rPr>
        <w:t xml:space="preserve"> σε γενικές γραμμές</w:t>
      </w:r>
      <w:r w:rsidR="00C74808" w:rsidRPr="00466073">
        <w:rPr>
          <w:rFonts w:asciiTheme="minorHAnsi" w:hAnsiTheme="minorHAnsi" w:cstheme="minorHAnsi"/>
          <w:lang w:val="el-GR"/>
        </w:rPr>
        <w:t>,</w:t>
      </w:r>
      <w:r w:rsidRPr="00466073">
        <w:rPr>
          <w:rFonts w:asciiTheme="minorHAnsi" w:hAnsiTheme="minorHAnsi" w:cstheme="minorHAnsi"/>
          <w:lang w:val="el-GR"/>
        </w:rPr>
        <w:t xml:space="preserve"> αυτή</w:t>
      </w:r>
      <w:r w:rsidR="00C74808" w:rsidRPr="00466073">
        <w:rPr>
          <w:rFonts w:asciiTheme="minorHAnsi" w:hAnsiTheme="minorHAnsi" w:cstheme="minorHAnsi"/>
          <w:lang w:val="el-GR"/>
        </w:rPr>
        <w:t>ν</w:t>
      </w:r>
      <w:r w:rsidRPr="00466073">
        <w:rPr>
          <w:rFonts w:asciiTheme="minorHAnsi" w:hAnsiTheme="minorHAnsi" w:cstheme="minorHAnsi"/>
          <w:lang w:val="el-GR"/>
        </w:rPr>
        <w:t xml:space="preserve"> του ΑΕΠ</w:t>
      </w:r>
      <w:r w:rsidR="00C74808" w:rsidRPr="00466073">
        <w:rPr>
          <w:rFonts w:asciiTheme="minorHAnsi" w:hAnsiTheme="minorHAnsi" w:cstheme="minorHAnsi"/>
          <w:lang w:val="el-GR"/>
        </w:rPr>
        <w:t>, δηλαδή, ανοδική τάση</w:t>
      </w:r>
      <w:r w:rsidRPr="00466073">
        <w:rPr>
          <w:rFonts w:asciiTheme="minorHAnsi" w:hAnsiTheme="minorHAnsi" w:cstheme="minorHAnsi"/>
          <w:lang w:val="el-GR"/>
        </w:rPr>
        <w:t>. Η εξέλιξη αυτή μπορεί να αποδοθεί στο γεγονός ότι οι περισσότερες μεγάλες επιχειρήσεις (συμπεριλαμβανομένων των τραπεζώ</w:t>
      </w:r>
      <w:r w:rsidR="00737221" w:rsidRPr="00466073">
        <w:rPr>
          <w:rFonts w:asciiTheme="minorHAnsi" w:hAnsiTheme="minorHAnsi" w:cstheme="minorHAnsi"/>
          <w:lang w:val="el-GR"/>
        </w:rPr>
        <w:t xml:space="preserve">ν) είναι αλλοδαπές και οι δανειακές </w:t>
      </w:r>
      <w:r w:rsidRPr="00466073">
        <w:rPr>
          <w:rFonts w:asciiTheme="minorHAnsi" w:hAnsiTheme="minorHAnsi" w:cstheme="minorHAnsi"/>
          <w:lang w:val="el-GR"/>
        </w:rPr>
        <w:t xml:space="preserve">τους </w:t>
      </w:r>
      <w:r w:rsidR="00737221" w:rsidRPr="00466073">
        <w:rPr>
          <w:rFonts w:asciiTheme="minorHAnsi" w:hAnsiTheme="minorHAnsi" w:cstheme="minorHAnsi"/>
          <w:lang w:val="el-GR"/>
        </w:rPr>
        <w:t xml:space="preserve">συμβάσεις </w:t>
      </w:r>
      <w:r w:rsidRPr="00466073">
        <w:rPr>
          <w:rFonts w:asciiTheme="minorHAnsi" w:hAnsiTheme="minorHAnsi" w:cstheme="minorHAnsi"/>
          <w:lang w:val="el-GR"/>
        </w:rPr>
        <w:t>μόνο κατά το ήμισυ προέρχονται από την εγχώρια αγορά.</w:t>
      </w:r>
      <w:r w:rsidR="004C54EA" w:rsidRPr="00466073">
        <w:rPr>
          <w:rFonts w:asciiTheme="minorHAnsi" w:hAnsiTheme="minorHAnsi" w:cstheme="minorHAnsi"/>
          <w:lang w:val="el-GR"/>
        </w:rPr>
        <w:t xml:space="preserve"> </w:t>
      </w:r>
      <w:r w:rsidRPr="00466073">
        <w:rPr>
          <w:rFonts w:asciiTheme="minorHAnsi" w:hAnsiTheme="minorHAnsi" w:cstheme="minorHAnsi"/>
          <w:lang w:val="el-GR"/>
        </w:rPr>
        <w:t>Τα δάνεια προς μικρομεσαίες επιχειρήσεις (ΜΜΕ) παρουσιάζουν σταθερούς ρυθμούς ανάπτυξης, με το ποσοστό των δανείων προς τις ΜΜΕ, σε σχέση με το σύνολο των εταιρικών δανείων, να αυξάνεται με βραδείς, αλλά σταθερούς ρυθμούς σε ετήσια βάση (2-3%) και καλύπτει περί το 62% επί του συνόλου των εταιρικών δανείων.</w:t>
      </w:r>
      <w:r w:rsidR="004C54EA" w:rsidRPr="00466073">
        <w:rPr>
          <w:rFonts w:asciiTheme="minorHAnsi" w:hAnsiTheme="minorHAnsi" w:cstheme="minorHAnsi"/>
          <w:lang w:val="el-GR"/>
        </w:rPr>
        <w:t xml:space="preserve"> </w:t>
      </w:r>
      <w:r w:rsidR="00C74808" w:rsidRPr="00466073">
        <w:rPr>
          <w:rFonts w:asciiTheme="minorHAnsi" w:hAnsiTheme="minorHAnsi" w:cstheme="minorHAnsi"/>
          <w:lang w:val="el-GR"/>
        </w:rPr>
        <w:t>Ο εταιρικός δανεισμός αναμένεται να αυξηθεί περαιτέρω, ακολουθώντας τους ρυθμούς οικονομικής ανάπτυξης της χώρας και ωθούμενος από τα χαμηλά επιτόκια δανεισμού. Προς αυτή την κατεύθυνση, δηλαδή της διευκόλυνσης λήψης εταιρικών δανείων, η ΜΝΒ εγκαινίασε στις αρχές του έτους το Δανειακό Πρόγραμμα «</w:t>
      </w:r>
      <w:proofErr w:type="spellStart"/>
      <w:r w:rsidR="00C74808" w:rsidRPr="00466073">
        <w:rPr>
          <w:rFonts w:asciiTheme="minorHAnsi" w:hAnsiTheme="minorHAnsi" w:cstheme="minorHAnsi"/>
          <w:lang w:val="el-GR"/>
        </w:rPr>
        <w:t>Funding</w:t>
      </w:r>
      <w:proofErr w:type="spellEnd"/>
      <w:r w:rsidR="00C74808" w:rsidRPr="00466073">
        <w:rPr>
          <w:rFonts w:asciiTheme="minorHAnsi" w:hAnsiTheme="minorHAnsi" w:cstheme="minorHAnsi"/>
          <w:lang w:val="el-GR"/>
        </w:rPr>
        <w:t xml:space="preserve"> </w:t>
      </w:r>
      <w:proofErr w:type="spellStart"/>
      <w:r w:rsidR="00C74808" w:rsidRPr="00466073">
        <w:rPr>
          <w:rFonts w:asciiTheme="minorHAnsi" w:hAnsiTheme="minorHAnsi" w:cstheme="minorHAnsi"/>
          <w:lang w:val="el-GR"/>
        </w:rPr>
        <w:t>for</w:t>
      </w:r>
      <w:proofErr w:type="spellEnd"/>
      <w:r w:rsidR="00C74808" w:rsidRPr="00466073">
        <w:rPr>
          <w:rFonts w:asciiTheme="minorHAnsi" w:hAnsiTheme="minorHAnsi" w:cstheme="minorHAnsi"/>
          <w:lang w:val="el-GR"/>
        </w:rPr>
        <w:t xml:space="preserve"> </w:t>
      </w:r>
      <w:proofErr w:type="spellStart"/>
      <w:r w:rsidR="00C74808" w:rsidRPr="00466073">
        <w:rPr>
          <w:rFonts w:asciiTheme="minorHAnsi" w:hAnsiTheme="minorHAnsi" w:cstheme="minorHAnsi"/>
          <w:lang w:val="el-GR"/>
        </w:rPr>
        <w:t>Growth</w:t>
      </w:r>
      <w:proofErr w:type="spellEnd"/>
      <w:r w:rsidR="00C74808" w:rsidRPr="00466073">
        <w:rPr>
          <w:rFonts w:asciiTheme="minorHAnsi" w:hAnsiTheme="minorHAnsi" w:cstheme="minorHAnsi"/>
          <w:lang w:val="el-GR"/>
        </w:rPr>
        <w:t xml:space="preserve"> </w:t>
      </w:r>
      <w:proofErr w:type="spellStart"/>
      <w:r w:rsidR="00C74808" w:rsidRPr="00466073">
        <w:rPr>
          <w:rFonts w:asciiTheme="minorHAnsi" w:hAnsiTheme="minorHAnsi" w:cstheme="minorHAnsi"/>
          <w:lang w:val="el-GR"/>
        </w:rPr>
        <w:t>Scheme</w:t>
      </w:r>
      <w:proofErr w:type="spellEnd"/>
      <w:r w:rsidR="00C74808" w:rsidRPr="00466073">
        <w:rPr>
          <w:rFonts w:asciiTheme="minorHAnsi" w:hAnsiTheme="minorHAnsi" w:cstheme="minorHAnsi"/>
          <w:lang w:val="el-GR"/>
        </w:rPr>
        <w:t xml:space="preserve"> </w:t>
      </w:r>
      <w:proofErr w:type="spellStart"/>
      <w:r w:rsidR="00C74808" w:rsidRPr="00466073">
        <w:rPr>
          <w:rFonts w:asciiTheme="minorHAnsi" w:hAnsiTheme="minorHAnsi" w:cstheme="minorHAnsi"/>
          <w:lang w:val="el-GR"/>
        </w:rPr>
        <w:t>Fix</w:t>
      </w:r>
      <w:proofErr w:type="spellEnd"/>
      <w:r w:rsidR="00C74808" w:rsidRPr="00466073">
        <w:rPr>
          <w:rFonts w:asciiTheme="minorHAnsi" w:hAnsiTheme="minorHAnsi" w:cstheme="minorHAnsi"/>
          <w:lang w:val="el-GR"/>
        </w:rPr>
        <w:t xml:space="preserve"> -FGS </w:t>
      </w:r>
      <w:r w:rsidR="00C74808" w:rsidRPr="00466073">
        <w:rPr>
          <w:rFonts w:asciiTheme="minorHAnsi" w:hAnsiTheme="minorHAnsi" w:cstheme="minorHAnsi"/>
          <w:lang w:val="hu-HU"/>
        </w:rPr>
        <w:t>F</w:t>
      </w:r>
      <w:r w:rsidR="00C74808" w:rsidRPr="00466073">
        <w:rPr>
          <w:rFonts w:asciiTheme="minorHAnsi" w:hAnsiTheme="minorHAnsi" w:cstheme="minorHAnsi"/>
          <w:lang w:val="el-GR"/>
        </w:rPr>
        <w:t xml:space="preserve">ix» ύψους 1 </w:t>
      </w:r>
      <w:proofErr w:type="spellStart"/>
      <w:r w:rsidR="00C74808" w:rsidRPr="00466073">
        <w:rPr>
          <w:rFonts w:asciiTheme="minorHAnsi" w:hAnsiTheme="minorHAnsi" w:cstheme="minorHAnsi"/>
          <w:lang w:val="el-GR"/>
        </w:rPr>
        <w:t>τρισεκ</w:t>
      </w:r>
      <w:proofErr w:type="spellEnd"/>
      <w:r w:rsidR="00C74808" w:rsidRPr="00466073">
        <w:rPr>
          <w:rFonts w:asciiTheme="minorHAnsi" w:hAnsiTheme="minorHAnsi" w:cstheme="minorHAnsi"/>
          <w:lang w:val="el-GR"/>
        </w:rPr>
        <w:t xml:space="preserve">. HUF. </w:t>
      </w:r>
    </w:p>
    <w:p w:rsidR="00113598" w:rsidRPr="00466073" w:rsidRDefault="00113598" w:rsidP="00113598">
      <w:pPr>
        <w:widowControl w:val="0"/>
        <w:autoSpaceDE w:val="0"/>
        <w:autoSpaceDN w:val="0"/>
        <w:adjustRightInd w:val="0"/>
        <w:spacing w:line="152" w:lineRule="exact"/>
        <w:rPr>
          <w:rFonts w:asciiTheme="minorHAnsi" w:hAnsiTheme="minorHAnsi" w:cstheme="minorHAnsi"/>
          <w:lang w:val="el-GR"/>
        </w:rPr>
      </w:pPr>
    </w:p>
    <w:p w:rsidR="00C674FF" w:rsidRPr="002E7491" w:rsidRDefault="00C674FF" w:rsidP="00267D12">
      <w:pPr>
        <w:widowControl w:val="0"/>
        <w:overflowPunct w:val="0"/>
        <w:autoSpaceDE w:val="0"/>
        <w:autoSpaceDN w:val="0"/>
        <w:adjustRightInd w:val="0"/>
        <w:spacing w:line="214" w:lineRule="auto"/>
        <w:jc w:val="both"/>
        <w:rPr>
          <w:rFonts w:asciiTheme="minorHAnsi" w:hAnsiTheme="minorHAnsi" w:cstheme="minorHAnsi"/>
          <w:lang w:val="el-GR"/>
        </w:rPr>
      </w:pPr>
    </w:p>
    <w:p w:rsidR="00113598" w:rsidRDefault="00113598" w:rsidP="00267D12">
      <w:pPr>
        <w:widowControl w:val="0"/>
        <w:overflowPunct w:val="0"/>
        <w:autoSpaceDE w:val="0"/>
        <w:autoSpaceDN w:val="0"/>
        <w:adjustRightInd w:val="0"/>
        <w:spacing w:line="214" w:lineRule="auto"/>
        <w:jc w:val="both"/>
        <w:rPr>
          <w:rFonts w:asciiTheme="minorHAnsi" w:hAnsiTheme="minorHAnsi" w:cstheme="minorHAnsi"/>
          <w:lang w:val="el-GR"/>
        </w:rPr>
      </w:pPr>
      <w:r w:rsidRPr="00466073">
        <w:rPr>
          <w:rFonts w:asciiTheme="minorHAnsi" w:hAnsiTheme="minorHAnsi" w:cstheme="minorHAnsi"/>
          <w:lang w:val="el-GR"/>
        </w:rPr>
        <w:t>Οι σημαντικότερες τράπεζες που δραστηριοποιούνται στην Ουγγαρία, βάσει του ενεργητικού τους, είναι οι εξής:</w:t>
      </w:r>
    </w:p>
    <w:p w:rsidR="002E7491" w:rsidRPr="00466073" w:rsidRDefault="002E7491" w:rsidP="00267D12">
      <w:pPr>
        <w:widowControl w:val="0"/>
        <w:overflowPunct w:val="0"/>
        <w:autoSpaceDE w:val="0"/>
        <w:autoSpaceDN w:val="0"/>
        <w:adjustRightInd w:val="0"/>
        <w:spacing w:line="214" w:lineRule="auto"/>
        <w:jc w:val="both"/>
        <w:rPr>
          <w:rFonts w:asciiTheme="minorHAnsi" w:hAnsiTheme="minorHAnsi" w:cstheme="minorHAnsi"/>
          <w:lang w:val="el-GR"/>
        </w:rPr>
      </w:pPr>
    </w:p>
    <w:p w:rsidR="00113598" w:rsidRPr="00466073" w:rsidRDefault="00113598" w:rsidP="00113598">
      <w:pPr>
        <w:widowControl w:val="0"/>
        <w:autoSpaceDE w:val="0"/>
        <w:autoSpaceDN w:val="0"/>
        <w:adjustRightInd w:val="0"/>
        <w:spacing w:line="151" w:lineRule="exact"/>
        <w:rPr>
          <w:rFonts w:asciiTheme="minorHAnsi" w:hAnsiTheme="minorHAnsi" w:cstheme="minorHAnsi"/>
          <w:lang w:val="el-GR"/>
        </w:rPr>
      </w:pPr>
    </w:p>
    <w:p w:rsidR="00267D12" w:rsidRPr="00466073" w:rsidRDefault="00113598" w:rsidP="00267D12">
      <w:pPr>
        <w:widowControl w:val="0"/>
        <w:overflowPunct w:val="0"/>
        <w:autoSpaceDE w:val="0"/>
        <w:autoSpaceDN w:val="0"/>
        <w:adjustRightInd w:val="0"/>
        <w:spacing w:line="214" w:lineRule="auto"/>
        <w:ind w:right="2560"/>
        <w:rPr>
          <w:rFonts w:asciiTheme="minorHAnsi" w:hAnsiTheme="minorHAnsi" w:cstheme="minorHAnsi"/>
          <w:lang w:val="el-GR"/>
        </w:rPr>
      </w:pPr>
      <w:r w:rsidRPr="00466073">
        <w:rPr>
          <w:rFonts w:asciiTheme="minorHAnsi" w:hAnsiTheme="minorHAnsi" w:cstheme="minorHAnsi"/>
          <w:lang w:val="el-GR"/>
        </w:rPr>
        <w:t>-ΟΤ</w:t>
      </w:r>
      <w:r w:rsidRPr="00466073">
        <w:rPr>
          <w:rFonts w:asciiTheme="minorHAnsi" w:hAnsiTheme="minorHAnsi" w:cstheme="minorHAnsi"/>
        </w:rPr>
        <w:t>P</w:t>
      </w:r>
      <w:r w:rsidRPr="00466073">
        <w:rPr>
          <w:rFonts w:asciiTheme="minorHAnsi" w:hAnsiTheme="minorHAnsi" w:cstheme="minorHAnsi"/>
          <w:lang w:val="el-GR"/>
        </w:rPr>
        <w:t xml:space="preserve"> </w:t>
      </w:r>
      <w:r w:rsidRPr="00466073">
        <w:rPr>
          <w:rFonts w:asciiTheme="minorHAnsi" w:hAnsiTheme="minorHAnsi" w:cstheme="minorHAnsi"/>
        </w:rPr>
        <w:t>Bank</w:t>
      </w:r>
      <w:r w:rsidRPr="00466073">
        <w:rPr>
          <w:rFonts w:asciiTheme="minorHAnsi" w:hAnsiTheme="minorHAnsi" w:cstheme="minorHAnsi"/>
          <w:lang w:val="el-GR"/>
        </w:rPr>
        <w:t xml:space="preserve"> </w:t>
      </w:r>
      <w:proofErr w:type="spellStart"/>
      <w:r w:rsidRPr="00466073">
        <w:rPr>
          <w:rFonts w:asciiTheme="minorHAnsi" w:hAnsiTheme="minorHAnsi" w:cstheme="minorHAnsi"/>
        </w:rPr>
        <w:t>Nyrt</w:t>
      </w:r>
      <w:proofErr w:type="spellEnd"/>
      <w:r w:rsidRPr="00466073">
        <w:rPr>
          <w:rFonts w:asciiTheme="minorHAnsi" w:hAnsiTheme="minorHAnsi" w:cstheme="minorHAnsi"/>
          <w:lang w:val="el-GR"/>
        </w:rPr>
        <w:t xml:space="preserve"> (</w:t>
      </w:r>
      <w:hyperlink r:id="rId15" w:history="1">
        <w:r w:rsidRPr="00466073">
          <w:rPr>
            <w:rStyle w:val="Hyperlink"/>
            <w:rFonts w:asciiTheme="minorHAnsi" w:hAnsiTheme="minorHAnsi" w:cstheme="minorHAnsi"/>
          </w:rPr>
          <w:t>www</w:t>
        </w:r>
        <w:r w:rsidRPr="00466073">
          <w:rPr>
            <w:rStyle w:val="Hyperlink"/>
            <w:rFonts w:asciiTheme="minorHAnsi" w:hAnsiTheme="minorHAnsi" w:cstheme="minorHAnsi"/>
            <w:lang w:val="el-GR"/>
          </w:rPr>
          <w:t>.</w:t>
        </w:r>
        <w:proofErr w:type="spellStart"/>
        <w:r w:rsidRPr="00466073">
          <w:rPr>
            <w:rStyle w:val="Hyperlink"/>
            <w:rFonts w:asciiTheme="minorHAnsi" w:hAnsiTheme="minorHAnsi" w:cstheme="minorHAnsi"/>
          </w:rPr>
          <w:t>otpbamk</w:t>
        </w:r>
        <w:proofErr w:type="spellEnd"/>
        <w:r w:rsidRPr="00466073">
          <w:rPr>
            <w:rStyle w:val="Hyperlink"/>
            <w:rFonts w:asciiTheme="minorHAnsi" w:hAnsiTheme="minorHAnsi" w:cstheme="minorHAnsi"/>
            <w:lang w:val="el-GR"/>
          </w:rPr>
          <w:t>.</w:t>
        </w:r>
        <w:proofErr w:type="spellStart"/>
        <w:r w:rsidRPr="00466073">
          <w:rPr>
            <w:rStyle w:val="Hyperlink"/>
            <w:rFonts w:asciiTheme="minorHAnsi" w:hAnsiTheme="minorHAnsi" w:cstheme="minorHAnsi"/>
          </w:rPr>
          <w:t>hu</w:t>
        </w:r>
        <w:proofErr w:type="spellEnd"/>
      </w:hyperlink>
      <w:r w:rsidRPr="00466073">
        <w:rPr>
          <w:rFonts w:asciiTheme="minorHAnsi" w:hAnsiTheme="minorHAnsi" w:cstheme="minorHAnsi"/>
          <w:lang w:val="el-GR"/>
        </w:rPr>
        <w:t xml:space="preserve">), ουγγρικών συμφερόντων </w:t>
      </w:r>
    </w:p>
    <w:p w:rsidR="002E7491" w:rsidRPr="00466073" w:rsidRDefault="002E7491" w:rsidP="002E7491">
      <w:pPr>
        <w:widowControl w:val="0"/>
        <w:autoSpaceDE w:val="0"/>
        <w:autoSpaceDN w:val="0"/>
        <w:adjustRightInd w:val="0"/>
        <w:rPr>
          <w:rFonts w:asciiTheme="minorHAnsi" w:hAnsiTheme="minorHAnsi" w:cstheme="minorHAnsi"/>
          <w:lang w:val="el-GR"/>
        </w:rPr>
      </w:pPr>
      <w:r w:rsidRPr="00466073">
        <w:rPr>
          <w:rFonts w:asciiTheme="minorHAnsi" w:hAnsiTheme="minorHAnsi" w:cstheme="minorHAnsi"/>
          <w:lang w:val="el-GR"/>
        </w:rPr>
        <w:t>-</w:t>
      </w:r>
      <w:r>
        <w:rPr>
          <w:rFonts w:asciiTheme="minorHAnsi" w:hAnsiTheme="minorHAnsi" w:cstheme="minorHAnsi"/>
        </w:rPr>
        <w:t>M</w:t>
      </w:r>
      <w:r>
        <w:rPr>
          <w:rFonts w:asciiTheme="minorHAnsi" w:hAnsiTheme="minorHAnsi" w:cstheme="minorHAnsi"/>
          <w:lang w:val="el-GR"/>
        </w:rPr>
        <w:t>ΒΗ</w:t>
      </w:r>
      <w:r w:rsidRPr="00466073">
        <w:rPr>
          <w:rFonts w:asciiTheme="minorHAnsi" w:hAnsiTheme="minorHAnsi" w:cstheme="minorHAnsi"/>
          <w:lang w:val="el-GR"/>
        </w:rPr>
        <w:t xml:space="preserve"> </w:t>
      </w:r>
      <w:r w:rsidRPr="00466073">
        <w:rPr>
          <w:rFonts w:asciiTheme="minorHAnsi" w:hAnsiTheme="minorHAnsi" w:cstheme="minorHAnsi"/>
        </w:rPr>
        <w:t>Bank</w:t>
      </w:r>
      <w:r w:rsidRPr="00466073">
        <w:rPr>
          <w:rFonts w:asciiTheme="minorHAnsi" w:hAnsiTheme="minorHAnsi" w:cstheme="minorHAnsi"/>
          <w:lang w:val="el-GR"/>
        </w:rPr>
        <w:t xml:space="preserve"> </w:t>
      </w:r>
      <w:proofErr w:type="spellStart"/>
      <w:r w:rsidRPr="00466073">
        <w:rPr>
          <w:rFonts w:asciiTheme="minorHAnsi" w:hAnsiTheme="minorHAnsi" w:cstheme="minorHAnsi"/>
        </w:rPr>
        <w:t>Zrt</w:t>
      </w:r>
      <w:proofErr w:type="spellEnd"/>
      <w:r w:rsidRPr="00466073">
        <w:rPr>
          <w:rFonts w:asciiTheme="minorHAnsi" w:hAnsiTheme="minorHAnsi" w:cstheme="minorHAnsi"/>
          <w:lang w:val="el-GR"/>
        </w:rPr>
        <w:t xml:space="preserve"> (</w:t>
      </w:r>
      <w:hyperlink r:id="rId16" w:history="1">
        <w:r w:rsidRPr="00763751">
          <w:rPr>
            <w:rStyle w:val="Hyperlink"/>
            <w:rFonts w:asciiTheme="minorHAnsi" w:hAnsiTheme="minorHAnsi" w:cstheme="minorHAnsi"/>
          </w:rPr>
          <w:t>www</w:t>
        </w:r>
        <w:r w:rsidRPr="00763751">
          <w:rPr>
            <w:rStyle w:val="Hyperlink"/>
            <w:rFonts w:asciiTheme="minorHAnsi" w:hAnsiTheme="minorHAnsi" w:cstheme="minorHAnsi"/>
            <w:lang w:val="el-GR"/>
          </w:rPr>
          <w:t>.</w:t>
        </w:r>
        <w:proofErr w:type="spellStart"/>
        <w:r w:rsidRPr="00763751">
          <w:rPr>
            <w:rStyle w:val="Hyperlink"/>
            <w:rFonts w:asciiTheme="minorHAnsi" w:hAnsiTheme="minorHAnsi" w:cstheme="minorHAnsi"/>
          </w:rPr>
          <w:t>mbhbank</w:t>
        </w:r>
        <w:proofErr w:type="spellEnd"/>
        <w:r w:rsidRPr="00763751">
          <w:rPr>
            <w:rStyle w:val="Hyperlink"/>
            <w:rFonts w:asciiTheme="minorHAnsi" w:hAnsiTheme="minorHAnsi" w:cstheme="minorHAnsi"/>
            <w:lang w:val="el-GR"/>
          </w:rPr>
          <w:t>.</w:t>
        </w:r>
        <w:proofErr w:type="spellStart"/>
        <w:r w:rsidRPr="00763751">
          <w:rPr>
            <w:rStyle w:val="Hyperlink"/>
            <w:rFonts w:asciiTheme="minorHAnsi" w:hAnsiTheme="minorHAnsi" w:cstheme="minorHAnsi"/>
          </w:rPr>
          <w:t>hu</w:t>
        </w:r>
        <w:proofErr w:type="spellEnd"/>
      </w:hyperlink>
      <w:r w:rsidRPr="00466073">
        <w:rPr>
          <w:rFonts w:asciiTheme="minorHAnsi" w:hAnsiTheme="minorHAnsi" w:cstheme="minorHAnsi"/>
          <w:lang w:val="el-GR"/>
        </w:rPr>
        <w:t xml:space="preserve">), </w:t>
      </w:r>
      <w:r>
        <w:rPr>
          <w:rFonts w:asciiTheme="minorHAnsi" w:hAnsiTheme="minorHAnsi" w:cstheme="minorHAnsi"/>
          <w:lang w:val="el-GR"/>
        </w:rPr>
        <w:t xml:space="preserve">ουγγρικών </w:t>
      </w:r>
      <w:r w:rsidRPr="00466073">
        <w:rPr>
          <w:rFonts w:asciiTheme="minorHAnsi" w:hAnsiTheme="minorHAnsi" w:cstheme="minorHAnsi"/>
          <w:lang w:val="el-GR"/>
        </w:rPr>
        <w:t>συμφερόντων</w:t>
      </w:r>
    </w:p>
    <w:p w:rsidR="002E7491" w:rsidRPr="00466073" w:rsidRDefault="002E7491" w:rsidP="002E7491">
      <w:pPr>
        <w:widowControl w:val="0"/>
        <w:overflowPunct w:val="0"/>
        <w:autoSpaceDE w:val="0"/>
        <w:autoSpaceDN w:val="0"/>
        <w:adjustRightInd w:val="0"/>
        <w:spacing w:line="214" w:lineRule="auto"/>
        <w:ind w:right="2060"/>
        <w:rPr>
          <w:rFonts w:asciiTheme="minorHAnsi" w:hAnsiTheme="minorHAnsi" w:cstheme="minorHAnsi"/>
          <w:lang w:val="el-GR"/>
        </w:rPr>
      </w:pPr>
      <w:r w:rsidRPr="00466073">
        <w:rPr>
          <w:rFonts w:asciiTheme="minorHAnsi" w:hAnsiTheme="minorHAnsi" w:cstheme="minorHAnsi"/>
          <w:lang w:val="el-GR"/>
        </w:rPr>
        <w:t>-</w:t>
      </w:r>
      <w:proofErr w:type="spellStart"/>
      <w:r w:rsidRPr="00466073">
        <w:rPr>
          <w:rFonts w:asciiTheme="minorHAnsi" w:hAnsiTheme="minorHAnsi" w:cstheme="minorHAnsi"/>
        </w:rPr>
        <w:t>Raiffeisen</w:t>
      </w:r>
      <w:proofErr w:type="spellEnd"/>
      <w:r w:rsidRPr="00466073">
        <w:rPr>
          <w:rFonts w:asciiTheme="minorHAnsi" w:hAnsiTheme="minorHAnsi" w:cstheme="minorHAnsi"/>
          <w:lang w:val="el-GR"/>
        </w:rPr>
        <w:t xml:space="preserve"> </w:t>
      </w:r>
      <w:r w:rsidRPr="00466073">
        <w:rPr>
          <w:rFonts w:asciiTheme="minorHAnsi" w:hAnsiTheme="minorHAnsi" w:cstheme="minorHAnsi"/>
        </w:rPr>
        <w:t>Bank</w:t>
      </w:r>
      <w:r w:rsidRPr="00466073">
        <w:rPr>
          <w:rFonts w:asciiTheme="minorHAnsi" w:hAnsiTheme="minorHAnsi" w:cstheme="minorHAnsi"/>
          <w:lang w:val="el-GR"/>
        </w:rPr>
        <w:t xml:space="preserve"> </w:t>
      </w:r>
      <w:proofErr w:type="spellStart"/>
      <w:r w:rsidRPr="00466073">
        <w:rPr>
          <w:rFonts w:asciiTheme="minorHAnsi" w:hAnsiTheme="minorHAnsi" w:cstheme="minorHAnsi"/>
        </w:rPr>
        <w:t>Zrt</w:t>
      </w:r>
      <w:proofErr w:type="spellEnd"/>
      <w:r w:rsidRPr="00466073">
        <w:rPr>
          <w:rFonts w:asciiTheme="minorHAnsi" w:hAnsiTheme="minorHAnsi" w:cstheme="minorHAnsi"/>
          <w:lang w:val="el-GR"/>
        </w:rPr>
        <w:t xml:space="preserve"> (</w:t>
      </w:r>
      <w:hyperlink r:id="rId17" w:history="1">
        <w:r w:rsidRPr="00466073">
          <w:rPr>
            <w:rStyle w:val="Hyperlink"/>
            <w:rFonts w:asciiTheme="minorHAnsi" w:hAnsiTheme="minorHAnsi" w:cstheme="minorHAnsi"/>
          </w:rPr>
          <w:t>www</w:t>
        </w:r>
        <w:r w:rsidRPr="00466073">
          <w:rPr>
            <w:rStyle w:val="Hyperlink"/>
            <w:rFonts w:asciiTheme="minorHAnsi" w:hAnsiTheme="minorHAnsi" w:cstheme="minorHAnsi"/>
            <w:lang w:val="el-GR"/>
          </w:rPr>
          <w:t>.</w:t>
        </w:r>
        <w:proofErr w:type="spellStart"/>
        <w:r w:rsidRPr="00466073">
          <w:rPr>
            <w:rStyle w:val="Hyperlink"/>
            <w:rFonts w:asciiTheme="minorHAnsi" w:hAnsiTheme="minorHAnsi" w:cstheme="minorHAnsi"/>
          </w:rPr>
          <w:t>raifeisen</w:t>
        </w:r>
        <w:proofErr w:type="spellEnd"/>
        <w:r w:rsidRPr="00466073">
          <w:rPr>
            <w:rStyle w:val="Hyperlink"/>
            <w:rFonts w:asciiTheme="minorHAnsi" w:hAnsiTheme="minorHAnsi" w:cstheme="minorHAnsi"/>
            <w:lang w:val="el-GR"/>
          </w:rPr>
          <w:t>.</w:t>
        </w:r>
        <w:proofErr w:type="spellStart"/>
        <w:r w:rsidRPr="00466073">
          <w:rPr>
            <w:rStyle w:val="Hyperlink"/>
            <w:rFonts w:asciiTheme="minorHAnsi" w:hAnsiTheme="minorHAnsi" w:cstheme="minorHAnsi"/>
          </w:rPr>
          <w:t>hu</w:t>
        </w:r>
        <w:proofErr w:type="spellEnd"/>
      </w:hyperlink>
      <w:r w:rsidRPr="00466073">
        <w:rPr>
          <w:rFonts w:asciiTheme="minorHAnsi" w:hAnsiTheme="minorHAnsi" w:cstheme="minorHAnsi"/>
          <w:lang w:val="el-GR"/>
        </w:rPr>
        <w:t>), αυστριακών συμφερόντων</w:t>
      </w:r>
    </w:p>
    <w:p w:rsidR="00113598" w:rsidRPr="00466073" w:rsidRDefault="00113598" w:rsidP="00267D12">
      <w:pPr>
        <w:widowControl w:val="0"/>
        <w:overflowPunct w:val="0"/>
        <w:autoSpaceDE w:val="0"/>
        <w:autoSpaceDN w:val="0"/>
        <w:adjustRightInd w:val="0"/>
        <w:spacing w:line="214" w:lineRule="auto"/>
        <w:ind w:right="2560"/>
        <w:rPr>
          <w:rFonts w:asciiTheme="minorHAnsi" w:hAnsiTheme="minorHAnsi" w:cstheme="minorHAnsi"/>
          <w:lang w:val="el-GR"/>
        </w:rPr>
      </w:pPr>
      <w:r w:rsidRPr="00466073">
        <w:rPr>
          <w:rFonts w:asciiTheme="minorHAnsi" w:hAnsiTheme="minorHAnsi" w:cstheme="minorHAnsi"/>
          <w:lang w:val="el-GR"/>
        </w:rPr>
        <w:t>-</w:t>
      </w:r>
      <w:r w:rsidRPr="00466073">
        <w:rPr>
          <w:rFonts w:asciiTheme="minorHAnsi" w:hAnsiTheme="minorHAnsi" w:cstheme="minorHAnsi"/>
        </w:rPr>
        <w:t>K</w:t>
      </w:r>
      <w:r w:rsidRPr="00466073">
        <w:rPr>
          <w:rFonts w:asciiTheme="minorHAnsi" w:hAnsiTheme="minorHAnsi" w:cstheme="minorHAnsi"/>
          <w:lang w:val="el-GR"/>
        </w:rPr>
        <w:t>&amp;</w:t>
      </w:r>
      <w:r w:rsidRPr="00466073">
        <w:rPr>
          <w:rFonts w:asciiTheme="minorHAnsi" w:hAnsiTheme="minorHAnsi" w:cstheme="minorHAnsi"/>
        </w:rPr>
        <w:t>H</w:t>
      </w:r>
      <w:r w:rsidRPr="00466073">
        <w:rPr>
          <w:rFonts w:asciiTheme="minorHAnsi" w:hAnsiTheme="minorHAnsi" w:cstheme="minorHAnsi"/>
          <w:lang w:val="el-GR"/>
        </w:rPr>
        <w:t xml:space="preserve"> </w:t>
      </w:r>
      <w:r w:rsidRPr="00466073">
        <w:rPr>
          <w:rFonts w:asciiTheme="minorHAnsi" w:hAnsiTheme="minorHAnsi" w:cstheme="minorHAnsi"/>
        </w:rPr>
        <w:t>Bank</w:t>
      </w:r>
      <w:r w:rsidRPr="00466073">
        <w:rPr>
          <w:rFonts w:asciiTheme="minorHAnsi" w:hAnsiTheme="minorHAnsi" w:cstheme="minorHAnsi"/>
          <w:lang w:val="el-GR"/>
        </w:rPr>
        <w:t xml:space="preserve"> </w:t>
      </w:r>
      <w:proofErr w:type="spellStart"/>
      <w:r w:rsidRPr="00466073">
        <w:rPr>
          <w:rFonts w:asciiTheme="minorHAnsi" w:hAnsiTheme="minorHAnsi" w:cstheme="minorHAnsi"/>
        </w:rPr>
        <w:t>Zrt</w:t>
      </w:r>
      <w:proofErr w:type="spellEnd"/>
      <w:r w:rsidRPr="00466073">
        <w:rPr>
          <w:rFonts w:asciiTheme="minorHAnsi" w:hAnsiTheme="minorHAnsi" w:cstheme="minorHAnsi"/>
          <w:lang w:val="el-GR"/>
        </w:rPr>
        <w:t xml:space="preserve"> (</w:t>
      </w:r>
      <w:hyperlink r:id="rId18" w:history="1">
        <w:r w:rsidRPr="00466073">
          <w:rPr>
            <w:rStyle w:val="Hyperlink"/>
            <w:rFonts w:asciiTheme="minorHAnsi" w:hAnsiTheme="minorHAnsi" w:cstheme="minorHAnsi"/>
          </w:rPr>
          <w:t>www</w:t>
        </w:r>
        <w:r w:rsidRPr="00466073">
          <w:rPr>
            <w:rStyle w:val="Hyperlink"/>
            <w:rFonts w:asciiTheme="minorHAnsi" w:hAnsiTheme="minorHAnsi" w:cstheme="minorHAnsi"/>
            <w:lang w:val="el-GR"/>
          </w:rPr>
          <w:t>.</w:t>
        </w:r>
        <w:proofErr w:type="spellStart"/>
        <w:r w:rsidRPr="00466073">
          <w:rPr>
            <w:rStyle w:val="Hyperlink"/>
            <w:rFonts w:asciiTheme="minorHAnsi" w:hAnsiTheme="minorHAnsi" w:cstheme="minorHAnsi"/>
          </w:rPr>
          <w:t>kh</w:t>
        </w:r>
        <w:proofErr w:type="spellEnd"/>
        <w:r w:rsidRPr="00466073">
          <w:rPr>
            <w:rStyle w:val="Hyperlink"/>
            <w:rFonts w:asciiTheme="minorHAnsi" w:hAnsiTheme="minorHAnsi" w:cstheme="minorHAnsi"/>
            <w:lang w:val="el-GR"/>
          </w:rPr>
          <w:t>.</w:t>
        </w:r>
        <w:proofErr w:type="spellStart"/>
        <w:r w:rsidRPr="00466073">
          <w:rPr>
            <w:rStyle w:val="Hyperlink"/>
            <w:rFonts w:asciiTheme="minorHAnsi" w:hAnsiTheme="minorHAnsi" w:cstheme="minorHAnsi"/>
          </w:rPr>
          <w:t>hu</w:t>
        </w:r>
        <w:proofErr w:type="spellEnd"/>
      </w:hyperlink>
      <w:r w:rsidRPr="00466073">
        <w:rPr>
          <w:rFonts w:asciiTheme="minorHAnsi" w:hAnsiTheme="minorHAnsi" w:cstheme="minorHAnsi"/>
          <w:lang w:val="el-GR"/>
        </w:rPr>
        <w:t>), βελγικών συμφερόντων</w:t>
      </w:r>
    </w:p>
    <w:p w:rsidR="00113598" w:rsidRPr="00466073" w:rsidRDefault="00113598" w:rsidP="00267D12">
      <w:pPr>
        <w:widowControl w:val="0"/>
        <w:autoSpaceDE w:val="0"/>
        <w:autoSpaceDN w:val="0"/>
        <w:adjustRightInd w:val="0"/>
        <w:spacing w:line="2" w:lineRule="exact"/>
        <w:rPr>
          <w:rFonts w:asciiTheme="minorHAnsi" w:hAnsiTheme="minorHAnsi" w:cstheme="minorHAnsi"/>
          <w:lang w:val="el-GR"/>
        </w:rPr>
      </w:pPr>
    </w:p>
    <w:p w:rsidR="00113598" w:rsidRPr="002E7491" w:rsidRDefault="00113598" w:rsidP="00267D12">
      <w:pPr>
        <w:widowControl w:val="0"/>
        <w:autoSpaceDE w:val="0"/>
        <w:autoSpaceDN w:val="0"/>
        <w:adjustRightInd w:val="0"/>
        <w:rPr>
          <w:rFonts w:asciiTheme="minorHAnsi" w:hAnsiTheme="minorHAnsi" w:cstheme="minorHAnsi"/>
          <w:lang w:val="el-GR"/>
        </w:rPr>
      </w:pPr>
      <w:r w:rsidRPr="002E7491">
        <w:rPr>
          <w:rFonts w:asciiTheme="minorHAnsi" w:hAnsiTheme="minorHAnsi" w:cstheme="minorHAnsi"/>
          <w:lang w:val="el-GR"/>
        </w:rPr>
        <w:t>-</w:t>
      </w:r>
      <w:proofErr w:type="spellStart"/>
      <w:r w:rsidRPr="00466073">
        <w:rPr>
          <w:rFonts w:asciiTheme="minorHAnsi" w:hAnsiTheme="minorHAnsi" w:cstheme="minorHAnsi"/>
        </w:rPr>
        <w:t>Erste</w:t>
      </w:r>
      <w:proofErr w:type="spellEnd"/>
      <w:r w:rsidRPr="002E7491">
        <w:rPr>
          <w:rFonts w:asciiTheme="minorHAnsi" w:hAnsiTheme="minorHAnsi" w:cstheme="minorHAnsi"/>
          <w:lang w:val="el-GR"/>
        </w:rPr>
        <w:t xml:space="preserve"> </w:t>
      </w:r>
      <w:r w:rsidRPr="00466073">
        <w:rPr>
          <w:rFonts w:asciiTheme="minorHAnsi" w:hAnsiTheme="minorHAnsi" w:cstheme="minorHAnsi"/>
        </w:rPr>
        <w:t>bank</w:t>
      </w:r>
      <w:r w:rsidRPr="002E7491">
        <w:rPr>
          <w:rFonts w:asciiTheme="minorHAnsi" w:hAnsiTheme="minorHAnsi" w:cstheme="minorHAnsi"/>
          <w:lang w:val="el-GR"/>
        </w:rPr>
        <w:t xml:space="preserve"> </w:t>
      </w:r>
      <w:r w:rsidRPr="00466073">
        <w:rPr>
          <w:rFonts w:asciiTheme="minorHAnsi" w:hAnsiTheme="minorHAnsi" w:cstheme="minorHAnsi"/>
        </w:rPr>
        <w:t>Hungary</w:t>
      </w:r>
      <w:r w:rsidRPr="002E7491">
        <w:rPr>
          <w:rFonts w:asciiTheme="minorHAnsi" w:hAnsiTheme="minorHAnsi" w:cstheme="minorHAnsi"/>
          <w:lang w:val="el-GR"/>
        </w:rPr>
        <w:t xml:space="preserve"> </w:t>
      </w:r>
      <w:proofErr w:type="spellStart"/>
      <w:r w:rsidRPr="00466073">
        <w:rPr>
          <w:rFonts w:asciiTheme="minorHAnsi" w:hAnsiTheme="minorHAnsi" w:cstheme="minorHAnsi"/>
        </w:rPr>
        <w:t>Zrt</w:t>
      </w:r>
      <w:proofErr w:type="spellEnd"/>
      <w:r w:rsidRPr="002E7491">
        <w:rPr>
          <w:rFonts w:asciiTheme="minorHAnsi" w:hAnsiTheme="minorHAnsi" w:cstheme="minorHAnsi"/>
          <w:lang w:val="el-GR"/>
        </w:rPr>
        <w:t xml:space="preserve"> (</w:t>
      </w:r>
      <w:hyperlink r:id="rId19" w:history="1">
        <w:r w:rsidRPr="00466073">
          <w:rPr>
            <w:rStyle w:val="Hyperlink"/>
            <w:rFonts w:asciiTheme="minorHAnsi" w:hAnsiTheme="minorHAnsi" w:cstheme="minorHAnsi"/>
          </w:rPr>
          <w:t>www</w:t>
        </w:r>
        <w:r w:rsidRPr="002E7491">
          <w:rPr>
            <w:rStyle w:val="Hyperlink"/>
            <w:rFonts w:asciiTheme="minorHAnsi" w:hAnsiTheme="minorHAnsi" w:cstheme="minorHAnsi"/>
            <w:lang w:val="el-GR"/>
          </w:rPr>
          <w:t>.</w:t>
        </w:r>
        <w:proofErr w:type="spellStart"/>
        <w:r w:rsidRPr="00466073">
          <w:rPr>
            <w:rStyle w:val="Hyperlink"/>
            <w:rFonts w:asciiTheme="minorHAnsi" w:hAnsiTheme="minorHAnsi" w:cstheme="minorHAnsi"/>
          </w:rPr>
          <w:t>erstebank</w:t>
        </w:r>
        <w:proofErr w:type="spellEnd"/>
        <w:r w:rsidRPr="002E7491">
          <w:rPr>
            <w:rStyle w:val="Hyperlink"/>
            <w:rFonts w:asciiTheme="minorHAnsi" w:hAnsiTheme="minorHAnsi" w:cstheme="minorHAnsi"/>
            <w:lang w:val="el-GR"/>
          </w:rPr>
          <w:t>.</w:t>
        </w:r>
        <w:proofErr w:type="spellStart"/>
        <w:r w:rsidRPr="00466073">
          <w:rPr>
            <w:rStyle w:val="Hyperlink"/>
            <w:rFonts w:asciiTheme="minorHAnsi" w:hAnsiTheme="minorHAnsi" w:cstheme="minorHAnsi"/>
          </w:rPr>
          <w:t>hu</w:t>
        </w:r>
        <w:proofErr w:type="spellEnd"/>
      </w:hyperlink>
      <w:r w:rsidRPr="002E7491">
        <w:rPr>
          <w:rFonts w:asciiTheme="minorHAnsi" w:hAnsiTheme="minorHAnsi" w:cstheme="minorHAnsi"/>
          <w:lang w:val="el-GR"/>
        </w:rPr>
        <w:t xml:space="preserve">), </w:t>
      </w:r>
      <w:proofErr w:type="spellStart"/>
      <w:r w:rsidR="002E7491">
        <w:rPr>
          <w:rFonts w:asciiTheme="minorHAnsi" w:hAnsiTheme="minorHAnsi" w:cstheme="minorHAnsi"/>
          <w:lang w:val="el-GR"/>
        </w:rPr>
        <w:t>γερμανικών</w:t>
      </w:r>
      <w:r w:rsidRPr="00466073">
        <w:rPr>
          <w:rFonts w:asciiTheme="minorHAnsi" w:hAnsiTheme="minorHAnsi" w:cstheme="minorHAnsi"/>
          <w:lang w:val="el-GR"/>
        </w:rPr>
        <w:t>συμφερόντων</w:t>
      </w:r>
      <w:proofErr w:type="spellEnd"/>
    </w:p>
    <w:p w:rsidR="00113598" w:rsidRPr="002E7491" w:rsidRDefault="00113598" w:rsidP="00267D12">
      <w:pPr>
        <w:widowControl w:val="0"/>
        <w:autoSpaceDE w:val="0"/>
        <w:autoSpaceDN w:val="0"/>
        <w:adjustRightInd w:val="0"/>
        <w:spacing w:line="58" w:lineRule="exact"/>
        <w:rPr>
          <w:rFonts w:asciiTheme="minorHAnsi" w:hAnsiTheme="minorHAnsi" w:cstheme="minorHAnsi"/>
          <w:lang w:val="el-GR"/>
        </w:rPr>
      </w:pPr>
    </w:p>
    <w:p w:rsidR="00267D12" w:rsidRPr="002E7491" w:rsidRDefault="00113598" w:rsidP="00267D12">
      <w:pPr>
        <w:widowControl w:val="0"/>
        <w:overflowPunct w:val="0"/>
        <w:autoSpaceDE w:val="0"/>
        <w:autoSpaceDN w:val="0"/>
        <w:adjustRightInd w:val="0"/>
        <w:spacing w:line="214" w:lineRule="auto"/>
        <w:ind w:right="2060"/>
        <w:rPr>
          <w:rFonts w:asciiTheme="minorHAnsi" w:hAnsiTheme="minorHAnsi" w:cstheme="minorHAnsi"/>
          <w:lang w:val="el-GR"/>
        </w:rPr>
      </w:pPr>
      <w:r w:rsidRPr="002E7491">
        <w:rPr>
          <w:rFonts w:asciiTheme="minorHAnsi" w:hAnsiTheme="minorHAnsi" w:cstheme="minorHAnsi"/>
          <w:lang w:val="el-GR"/>
        </w:rPr>
        <w:t>-</w:t>
      </w:r>
      <w:r w:rsidRPr="00466073">
        <w:rPr>
          <w:rFonts w:asciiTheme="minorHAnsi" w:hAnsiTheme="minorHAnsi" w:cstheme="minorHAnsi"/>
        </w:rPr>
        <w:t>CIB</w:t>
      </w:r>
      <w:r w:rsidRPr="002E7491">
        <w:rPr>
          <w:rFonts w:asciiTheme="minorHAnsi" w:hAnsiTheme="minorHAnsi" w:cstheme="minorHAnsi"/>
          <w:lang w:val="el-GR"/>
        </w:rPr>
        <w:t xml:space="preserve"> </w:t>
      </w:r>
      <w:r w:rsidRPr="00466073">
        <w:rPr>
          <w:rFonts w:asciiTheme="minorHAnsi" w:hAnsiTheme="minorHAnsi" w:cstheme="minorHAnsi"/>
        </w:rPr>
        <w:t>National</w:t>
      </w:r>
      <w:r w:rsidRPr="002E7491">
        <w:rPr>
          <w:rFonts w:asciiTheme="minorHAnsi" w:hAnsiTheme="minorHAnsi" w:cstheme="minorHAnsi"/>
          <w:lang w:val="el-GR"/>
        </w:rPr>
        <w:t xml:space="preserve"> </w:t>
      </w:r>
      <w:r w:rsidRPr="00466073">
        <w:rPr>
          <w:rFonts w:asciiTheme="minorHAnsi" w:hAnsiTheme="minorHAnsi" w:cstheme="minorHAnsi"/>
        </w:rPr>
        <w:t>bank</w:t>
      </w:r>
      <w:r w:rsidRPr="002E7491">
        <w:rPr>
          <w:rFonts w:asciiTheme="minorHAnsi" w:hAnsiTheme="minorHAnsi" w:cstheme="minorHAnsi"/>
          <w:lang w:val="el-GR"/>
        </w:rPr>
        <w:t xml:space="preserve"> </w:t>
      </w:r>
      <w:proofErr w:type="spellStart"/>
      <w:r w:rsidRPr="00466073">
        <w:rPr>
          <w:rFonts w:asciiTheme="minorHAnsi" w:hAnsiTheme="minorHAnsi" w:cstheme="minorHAnsi"/>
        </w:rPr>
        <w:t>Zrt</w:t>
      </w:r>
      <w:proofErr w:type="spellEnd"/>
      <w:r w:rsidRPr="002E7491">
        <w:rPr>
          <w:rFonts w:asciiTheme="minorHAnsi" w:hAnsiTheme="minorHAnsi" w:cstheme="minorHAnsi"/>
          <w:lang w:val="el-GR"/>
        </w:rPr>
        <w:t xml:space="preserve"> (</w:t>
      </w:r>
      <w:hyperlink r:id="rId20" w:history="1">
        <w:r w:rsidRPr="00466073">
          <w:rPr>
            <w:rStyle w:val="Hyperlink"/>
            <w:rFonts w:asciiTheme="minorHAnsi" w:hAnsiTheme="minorHAnsi" w:cstheme="minorHAnsi"/>
          </w:rPr>
          <w:t>www</w:t>
        </w:r>
        <w:r w:rsidRPr="002E7491">
          <w:rPr>
            <w:rStyle w:val="Hyperlink"/>
            <w:rFonts w:asciiTheme="minorHAnsi" w:hAnsiTheme="minorHAnsi" w:cstheme="minorHAnsi"/>
            <w:lang w:val="el-GR"/>
          </w:rPr>
          <w:t>.</w:t>
        </w:r>
        <w:proofErr w:type="spellStart"/>
        <w:r w:rsidRPr="00466073">
          <w:rPr>
            <w:rStyle w:val="Hyperlink"/>
            <w:rFonts w:asciiTheme="minorHAnsi" w:hAnsiTheme="minorHAnsi" w:cstheme="minorHAnsi"/>
          </w:rPr>
          <w:t>cib</w:t>
        </w:r>
        <w:proofErr w:type="spellEnd"/>
        <w:r w:rsidRPr="002E7491">
          <w:rPr>
            <w:rStyle w:val="Hyperlink"/>
            <w:rFonts w:asciiTheme="minorHAnsi" w:hAnsiTheme="minorHAnsi" w:cstheme="minorHAnsi"/>
            <w:lang w:val="el-GR"/>
          </w:rPr>
          <w:t>.</w:t>
        </w:r>
        <w:proofErr w:type="spellStart"/>
        <w:r w:rsidRPr="00466073">
          <w:rPr>
            <w:rStyle w:val="Hyperlink"/>
            <w:rFonts w:asciiTheme="minorHAnsi" w:hAnsiTheme="minorHAnsi" w:cstheme="minorHAnsi"/>
          </w:rPr>
          <w:t>hu</w:t>
        </w:r>
        <w:proofErr w:type="spellEnd"/>
      </w:hyperlink>
      <w:r w:rsidRPr="002E7491">
        <w:rPr>
          <w:rFonts w:asciiTheme="minorHAnsi" w:hAnsiTheme="minorHAnsi" w:cstheme="minorHAnsi"/>
          <w:lang w:val="el-GR"/>
        </w:rPr>
        <w:t xml:space="preserve">) </w:t>
      </w:r>
      <w:r w:rsidR="002E7491">
        <w:rPr>
          <w:rFonts w:asciiTheme="minorHAnsi" w:hAnsiTheme="minorHAnsi" w:cstheme="minorHAnsi"/>
          <w:lang w:val="el-GR"/>
        </w:rPr>
        <w:t xml:space="preserve">βραζιλιάνων </w:t>
      </w:r>
      <w:r w:rsidRPr="002E7491">
        <w:rPr>
          <w:rFonts w:asciiTheme="minorHAnsi" w:hAnsiTheme="minorHAnsi" w:cstheme="minorHAnsi"/>
          <w:lang w:val="el-GR"/>
        </w:rPr>
        <w:t xml:space="preserve"> </w:t>
      </w:r>
      <w:r w:rsidRPr="00466073">
        <w:rPr>
          <w:rFonts w:asciiTheme="minorHAnsi" w:hAnsiTheme="minorHAnsi" w:cstheme="minorHAnsi"/>
          <w:lang w:val="el-GR"/>
        </w:rPr>
        <w:t>συμφερόντων</w:t>
      </w:r>
      <w:r w:rsidRPr="002E7491">
        <w:rPr>
          <w:rFonts w:asciiTheme="minorHAnsi" w:hAnsiTheme="minorHAnsi" w:cstheme="minorHAnsi"/>
          <w:lang w:val="el-GR"/>
        </w:rPr>
        <w:t xml:space="preserve"> </w:t>
      </w:r>
    </w:p>
    <w:p w:rsidR="00113598" w:rsidRPr="002E7491" w:rsidRDefault="00113598" w:rsidP="00267D12">
      <w:pPr>
        <w:widowControl w:val="0"/>
        <w:autoSpaceDE w:val="0"/>
        <w:autoSpaceDN w:val="0"/>
        <w:adjustRightInd w:val="0"/>
        <w:spacing w:line="2" w:lineRule="exact"/>
        <w:rPr>
          <w:rFonts w:asciiTheme="minorHAnsi" w:hAnsiTheme="minorHAnsi" w:cstheme="minorHAnsi"/>
          <w:lang w:val="el-GR"/>
        </w:rPr>
      </w:pPr>
    </w:p>
    <w:p w:rsidR="00113598" w:rsidRPr="00466073" w:rsidRDefault="00113598" w:rsidP="00267D12">
      <w:pPr>
        <w:widowControl w:val="0"/>
        <w:autoSpaceDE w:val="0"/>
        <w:autoSpaceDN w:val="0"/>
        <w:adjustRightInd w:val="0"/>
        <w:rPr>
          <w:rFonts w:asciiTheme="minorHAnsi" w:hAnsiTheme="minorHAnsi" w:cstheme="minorHAnsi"/>
          <w:lang w:val="el-GR"/>
        </w:rPr>
      </w:pPr>
      <w:r w:rsidRPr="00466073">
        <w:rPr>
          <w:rFonts w:asciiTheme="minorHAnsi" w:hAnsiTheme="minorHAnsi" w:cstheme="minorHAnsi"/>
          <w:lang w:val="el-GR"/>
        </w:rPr>
        <w:t>-</w:t>
      </w:r>
      <w:proofErr w:type="spellStart"/>
      <w:r w:rsidRPr="00466073">
        <w:rPr>
          <w:rFonts w:asciiTheme="minorHAnsi" w:hAnsiTheme="minorHAnsi" w:cstheme="minorHAnsi"/>
        </w:rPr>
        <w:t>UniCredit</w:t>
      </w:r>
      <w:proofErr w:type="spellEnd"/>
      <w:r w:rsidRPr="00466073">
        <w:rPr>
          <w:rFonts w:asciiTheme="minorHAnsi" w:hAnsiTheme="minorHAnsi" w:cstheme="minorHAnsi"/>
          <w:lang w:val="el-GR"/>
        </w:rPr>
        <w:t xml:space="preserve"> </w:t>
      </w:r>
      <w:r w:rsidRPr="00466073">
        <w:rPr>
          <w:rFonts w:asciiTheme="minorHAnsi" w:hAnsiTheme="minorHAnsi" w:cstheme="minorHAnsi"/>
        </w:rPr>
        <w:t>Bank</w:t>
      </w:r>
      <w:r w:rsidRPr="00466073">
        <w:rPr>
          <w:rFonts w:asciiTheme="minorHAnsi" w:hAnsiTheme="minorHAnsi" w:cstheme="minorHAnsi"/>
          <w:lang w:val="el-GR"/>
        </w:rPr>
        <w:t xml:space="preserve"> </w:t>
      </w:r>
      <w:r w:rsidRPr="00466073">
        <w:rPr>
          <w:rFonts w:asciiTheme="minorHAnsi" w:hAnsiTheme="minorHAnsi" w:cstheme="minorHAnsi"/>
        </w:rPr>
        <w:t>Hungary</w:t>
      </w:r>
      <w:r w:rsidRPr="00466073">
        <w:rPr>
          <w:rFonts w:asciiTheme="minorHAnsi" w:hAnsiTheme="minorHAnsi" w:cstheme="minorHAnsi"/>
          <w:lang w:val="el-GR"/>
        </w:rPr>
        <w:t xml:space="preserve"> </w:t>
      </w:r>
      <w:proofErr w:type="spellStart"/>
      <w:r w:rsidRPr="00466073">
        <w:rPr>
          <w:rFonts w:asciiTheme="minorHAnsi" w:hAnsiTheme="minorHAnsi" w:cstheme="minorHAnsi"/>
        </w:rPr>
        <w:t>Zrt</w:t>
      </w:r>
      <w:proofErr w:type="spellEnd"/>
      <w:r w:rsidRPr="00466073">
        <w:rPr>
          <w:rFonts w:asciiTheme="minorHAnsi" w:hAnsiTheme="minorHAnsi" w:cstheme="minorHAnsi"/>
          <w:lang w:val="el-GR"/>
        </w:rPr>
        <w:t xml:space="preserve"> (</w:t>
      </w:r>
      <w:hyperlink r:id="rId21" w:history="1">
        <w:r w:rsidRPr="00466073">
          <w:rPr>
            <w:rStyle w:val="Hyperlink"/>
            <w:rFonts w:asciiTheme="minorHAnsi" w:hAnsiTheme="minorHAnsi" w:cstheme="minorHAnsi"/>
          </w:rPr>
          <w:t>www</w:t>
        </w:r>
        <w:r w:rsidRPr="00466073">
          <w:rPr>
            <w:rStyle w:val="Hyperlink"/>
            <w:rFonts w:asciiTheme="minorHAnsi" w:hAnsiTheme="minorHAnsi" w:cstheme="minorHAnsi"/>
            <w:lang w:val="el-GR"/>
          </w:rPr>
          <w:t>.</w:t>
        </w:r>
        <w:proofErr w:type="spellStart"/>
        <w:r w:rsidRPr="00466073">
          <w:rPr>
            <w:rStyle w:val="Hyperlink"/>
            <w:rFonts w:asciiTheme="minorHAnsi" w:hAnsiTheme="minorHAnsi" w:cstheme="minorHAnsi"/>
          </w:rPr>
          <w:t>unicreditbank</w:t>
        </w:r>
        <w:proofErr w:type="spellEnd"/>
        <w:r w:rsidRPr="00466073">
          <w:rPr>
            <w:rStyle w:val="Hyperlink"/>
            <w:rFonts w:asciiTheme="minorHAnsi" w:hAnsiTheme="minorHAnsi" w:cstheme="minorHAnsi"/>
            <w:lang w:val="el-GR"/>
          </w:rPr>
          <w:t>.</w:t>
        </w:r>
        <w:proofErr w:type="spellStart"/>
        <w:r w:rsidRPr="00466073">
          <w:rPr>
            <w:rStyle w:val="Hyperlink"/>
            <w:rFonts w:asciiTheme="minorHAnsi" w:hAnsiTheme="minorHAnsi" w:cstheme="minorHAnsi"/>
          </w:rPr>
          <w:t>hu</w:t>
        </w:r>
        <w:proofErr w:type="spellEnd"/>
      </w:hyperlink>
      <w:r w:rsidRPr="00466073">
        <w:rPr>
          <w:rFonts w:asciiTheme="minorHAnsi" w:hAnsiTheme="minorHAnsi" w:cstheme="minorHAnsi"/>
          <w:lang w:val="el-GR"/>
        </w:rPr>
        <w:t xml:space="preserve">) </w:t>
      </w:r>
      <w:r w:rsidR="007738EA" w:rsidRPr="00466073">
        <w:rPr>
          <w:rFonts w:asciiTheme="minorHAnsi" w:hAnsiTheme="minorHAnsi" w:cstheme="minorHAnsi"/>
          <w:lang w:val="el-GR"/>
        </w:rPr>
        <w:t xml:space="preserve">ιταλικών </w:t>
      </w:r>
      <w:r w:rsidRPr="00466073">
        <w:rPr>
          <w:rFonts w:asciiTheme="minorHAnsi" w:hAnsiTheme="minorHAnsi" w:cstheme="minorHAnsi"/>
          <w:lang w:val="el-GR"/>
        </w:rPr>
        <w:t>συμφερόντων</w:t>
      </w:r>
    </w:p>
    <w:p w:rsidR="00113598" w:rsidRPr="00466073" w:rsidRDefault="00113598" w:rsidP="00113598">
      <w:pPr>
        <w:widowControl w:val="0"/>
        <w:overflowPunct w:val="0"/>
        <w:autoSpaceDE w:val="0"/>
        <w:autoSpaceDN w:val="0"/>
        <w:adjustRightInd w:val="0"/>
        <w:spacing w:line="231" w:lineRule="auto"/>
        <w:ind w:firstLine="720"/>
        <w:jc w:val="both"/>
        <w:rPr>
          <w:rFonts w:asciiTheme="minorHAnsi" w:hAnsiTheme="minorHAnsi" w:cstheme="minorHAnsi"/>
          <w:lang w:val="el-GR"/>
        </w:rPr>
      </w:pPr>
    </w:p>
    <w:p w:rsidR="00267D12" w:rsidRPr="00466073" w:rsidRDefault="00267D12" w:rsidP="00113598">
      <w:pPr>
        <w:widowControl w:val="0"/>
        <w:overflowPunct w:val="0"/>
        <w:autoSpaceDE w:val="0"/>
        <w:autoSpaceDN w:val="0"/>
        <w:adjustRightInd w:val="0"/>
        <w:spacing w:line="231" w:lineRule="auto"/>
        <w:ind w:firstLine="720"/>
        <w:jc w:val="both"/>
        <w:rPr>
          <w:rFonts w:asciiTheme="minorHAnsi" w:hAnsiTheme="minorHAnsi" w:cstheme="minorHAnsi"/>
          <w:lang w:val="el-GR"/>
        </w:rPr>
      </w:pPr>
    </w:p>
    <w:p w:rsidR="00113598" w:rsidRPr="00466073" w:rsidRDefault="00113598" w:rsidP="00113598">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u w:val="single"/>
          <w:lang w:val="el-GR"/>
        </w:rPr>
      </w:pPr>
      <w:r w:rsidRPr="00466073">
        <w:rPr>
          <w:rFonts w:asciiTheme="minorHAnsi" w:hAnsiTheme="minorHAnsi" w:cstheme="minorHAnsi"/>
          <w:u w:val="single"/>
          <w:lang w:val="el-GR"/>
        </w:rPr>
        <w:t>Οδικές Εμπορευματικές Μεταφορές</w:t>
      </w:r>
    </w:p>
    <w:p w:rsidR="00267D12" w:rsidRPr="00466073" w:rsidRDefault="00267D12" w:rsidP="00267D12">
      <w:pPr>
        <w:widowControl w:val="0"/>
        <w:overflowPunct w:val="0"/>
        <w:autoSpaceDE w:val="0"/>
        <w:autoSpaceDN w:val="0"/>
        <w:adjustRightInd w:val="0"/>
        <w:spacing w:line="223" w:lineRule="auto"/>
        <w:jc w:val="both"/>
        <w:rPr>
          <w:rFonts w:asciiTheme="minorHAnsi" w:hAnsiTheme="minorHAnsi" w:cstheme="minorHAnsi"/>
          <w:lang w:val="el-GR"/>
        </w:rPr>
      </w:pPr>
    </w:p>
    <w:p w:rsidR="00113598" w:rsidRPr="00466073" w:rsidRDefault="00113598" w:rsidP="00267D12">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Από 1ης Ιανουαρίου 2015, τέθηκε σε εφαρμογή το Ηλεκτρονικό Σύστημα Ελέγχου Οδικής Διακίνησης Εμπορευμάτων-</w:t>
      </w:r>
      <w:r w:rsidRPr="00466073">
        <w:rPr>
          <w:rFonts w:asciiTheme="minorHAnsi" w:hAnsiTheme="minorHAnsi" w:cstheme="minorHAnsi"/>
        </w:rPr>
        <w:t>EKAER</w:t>
      </w:r>
      <w:r w:rsidRPr="00466073">
        <w:rPr>
          <w:rFonts w:asciiTheme="minorHAnsi" w:hAnsiTheme="minorHAnsi" w:cstheme="minorHAnsi"/>
          <w:lang w:val="el-GR"/>
        </w:rPr>
        <w:t>. Το εν λόγω σύστημα προβλέπει την υποχρέωση δήλωσης:</w:t>
      </w:r>
    </w:p>
    <w:p w:rsidR="00267D12" w:rsidRPr="00466073" w:rsidRDefault="00113598" w:rsidP="00113598">
      <w:pPr>
        <w:widowControl w:val="0"/>
        <w:overflowPunct w:val="0"/>
        <w:autoSpaceDE w:val="0"/>
        <w:autoSpaceDN w:val="0"/>
        <w:adjustRightInd w:val="0"/>
        <w:spacing w:line="214" w:lineRule="auto"/>
        <w:jc w:val="both"/>
        <w:rPr>
          <w:rFonts w:asciiTheme="minorHAnsi" w:hAnsiTheme="minorHAnsi" w:cstheme="minorHAnsi"/>
          <w:lang w:val="el-GR"/>
        </w:rPr>
      </w:pPr>
      <w:r w:rsidRPr="00466073">
        <w:rPr>
          <w:rFonts w:asciiTheme="minorHAnsi" w:hAnsiTheme="minorHAnsi" w:cstheme="minorHAnsi"/>
          <w:lang w:val="el-GR"/>
        </w:rPr>
        <w:t xml:space="preserve">α) για τις </w:t>
      </w:r>
      <w:r w:rsidR="00267D12" w:rsidRPr="00466073">
        <w:rPr>
          <w:rFonts w:asciiTheme="minorHAnsi" w:hAnsiTheme="minorHAnsi" w:cstheme="minorHAnsi"/>
          <w:lang w:val="el-GR"/>
        </w:rPr>
        <w:t>οδικές εμπορευματικές μεταφορές</w:t>
      </w:r>
      <w:r w:rsidRPr="00466073">
        <w:rPr>
          <w:rFonts w:asciiTheme="minorHAnsi" w:hAnsiTheme="minorHAnsi" w:cstheme="minorHAnsi"/>
          <w:lang w:val="el-GR"/>
        </w:rPr>
        <w:t xml:space="preserve"> από άλλα κράτη μέλη της Ε.Ε. </w:t>
      </w:r>
      <w:r w:rsidR="00267D12" w:rsidRPr="00466073">
        <w:rPr>
          <w:rFonts w:asciiTheme="minorHAnsi" w:hAnsiTheme="minorHAnsi" w:cstheme="minorHAnsi"/>
          <w:lang w:val="el-GR"/>
        </w:rPr>
        <w:t>προς</w:t>
      </w:r>
      <w:r w:rsidRPr="00466073">
        <w:rPr>
          <w:rFonts w:asciiTheme="minorHAnsi" w:hAnsiTheme="minorHAnsi" w:cstheme="minorHAnsi"/>
          <w:lang w:val="el-GR"/>
        </w:rPr>
        <w:t xml:space="preserve"> Ουγγαρία, </w:t>
      </w:r>
    </w:p>
    <w:p w:rsidR="00267D12" w:rsidRPr="00466073" w:rsidRDefault="00113598" w:rsidP="00113598">
      <w:pPr>
        <w:widowControl w:val="0"/>
        <w:overflowPunct w:val="0"/>
        <w:autoSpaceDE w:val="0"/>
        <w:autoSpaceDN w:val="0"/>
        <w:adjustRightInd w:val="0"/>
        <w:spacing w:line="214" w:lineRule="auto"/>
        <w:jc w:val="both"/>
        <w:rPr>
          <w:rFonts w:asciiTheme="minorHAnsi" w:hAnsiTheme="minorHAnsi" w:cstheme="minorHAnsi"/>
          <w:lang w:val="el-GR"/>
        </w:rPr>
      </w:pPr>
      <w:r w:rsidRPr="00466073">
        <w:rPr>
          <w:rFonts w:asciiTheme="minorHAnsi" w:hAnsiTheme="minorHAnsi" w:cstheme="minorHAnsi"/>
          <w:lang w:val="el-GR"/>
        </w:rPr>
        <w:t xml:space="preserve">β) για </w:t>
      </w:r>
      <w:r w:rsidR="00267D12" w:rsidRPr="00466073">
        <w:rPr>
          <w:rFonts w:asciiTheme="minorHAnsi" w:hAnsiTheme="minorHAnsi" w:cstheme="minorHAnsi"/>
          <w:lang w:val="el-GR"/>
        </w:rPr>
        <w:t xml:space="preserve">τις οδικές εμπορευματικές μεταφορές από </w:t>
      </w:r>
      <w:r w:rsidRPr="00466073">
        <w:rPr>
          <w:rFonts w:asciiTheme="minorHAnsi" w:hAnsiTheme="minorHAnsi" w:cstheme="minorHAnsi"/>
          <w:lang w:val="el-GR"/>
        </w:rPr>
        <w:t>τη</w:t>
      </w:r>
      <w:r w:rsidR="00267D12" w:rsidRPr="00466073">
        <w:rPr>
          <w:rFonts w:asciiTheme="minorHAnsi" w:hAnsiTheme="minorHAnsi" w:cstheme="minorHAnsi"/>
          <w:lang w:val="el-GR"/>
        </w:rPr>
        <w:t xml:space="preserve">ν Ουγγαρία προς </w:t>
      </w:r>
      <w:r w:rsidRPr="00466073">
        <w:rPr>
          <w:rFonts w:asciiTheme="minorHAnsi" w:hAnsiTheme="minorHAnsi" w:cstheme="minorHAnsi"/>
          <w:lang w:val="el-GR"/>
        </w:rPr>
        <w:t xml:space="preserve"> άλλα κ</w:t>
      </w:r>
      <w:r w:rsidR="00267D12" w:rsidRPr="00466073">
        <w:rPr>
          <w:rFonts w:asciiTheme="minorHAnsi" w:hAnsiTheme="minorHAnsi" w:cstheme="minorHAnsi"/>
          <w:lang w:val="el-GR"/>
        </w:rPr>
        <w:t>-μ</w:t>
      </w:r>
      <w:r w:rsidRPr="00466073">
        <w:rPr>
          <w:rFonts w:asciiTheme="minorHAnsi" w:hAnsiTheme="minorHAnsi" w:cstheme="minorHAnsi"/>
          <w:lang w:val="el-GR"/>
        </w:rPr>
        <w:t xml:space="preserve"> της Ε.Ε, </w:t>
      </w:r>
      <w:r w:rsidR="00267D12" w:rsidRPr="00466073">
        <w:rPr>
          <w:rFonts w:asciiTheme="minorHAnsi" w:hAnsiTheme="minorHAnsi" w:cstheme="minorHAnsi"/>
          <w:lang w:val="el-GR"/>
        </w:rPr>
        <w:t>και</w:t>
      </w:r>
    </w:p>
    <w:p w:rsidR="00113598" w:rsidRPr="00466073" w:rsidRDefault="00113598" w:rsidP="00113598">
      <w:pPr>
        <w:widowControl w:val="0"/>
        <w:overflowPunct w:val="0"/>
        <w:autoSpaceDE w:val="0"/>
        <w:autoSpaceDN w:val="0"/>
        <w:adjustRightInd w:val="0"/>
        <w:spacing w:line="214" w:lineRule="auto"/>
        <w:jc w:val="both"/>
        <w:rPr>
          <w:rFonts w:asciiTheme="minorHAnsi" w:hAnsiTheme="minorHAnsi" w:cstheme="minorHAnsi"/>
          <w:lang w:val="el-GR"/>
        </w:rPr>
      </w:pPr>
      <w:r w:rsidRPr="00466073">
        <w:rPr>
          <w:rFonts w:asciiTheme="minorHAnsi" w:hAnsiTheme="minorHAnsi" w:cstheme="minorHAnsi"/>
          <w:lang w:val="el-GR"/>
        </w:rPr>
        <w:lastRenderedPageBreak/>
        <w:t xml:space="preserve">γ) για παραδόσεις αγαθών </w:t>
      </w:r>
      <w:r w:rsidR="0077500E" w:rsidRPr="00466073">
        <w:rPr>
          <w:rFonts w:asciiTheme="minorHAnsi" w:hAnsiTheme="minorHAnsi" w:cstheme="minorHAnsi"/>
          <w:lang w:val="el-GR"/>
        </w:rPr>
        <w:t xml:space="preserve">εντός Ουγγαρίας, που όμως </w:t>
      </w:r>
      <w:r w:rsidRPr="00466073">
        <w:rPr>
          <w:rFonts w:asciiTheme="minorHAnsi" w:hAnsiTheme="minorHAnsi" w:cstheme="minorHAnsi"/>
          <w:lang w:val="el-GR"/>
        </w:rPr>
        <w:t>δεν</w:t>
      </w:r>
      <w:r w:rsidR="00267D12" w:rsidRPr="00466073">
        <w:rPr>
          <w:rFonts w:asciiTheme="minorHAnsi" w:hAnsiTheme="minorHAnsi" w:cstheme="minorHAnsi"/>
          <w:lang w:val="el-GR"/>
        </w:rPr>
        <w:t xml:space="preserve"> </w:t>
      </w:r>
      <w:r w:rsidRPr="00466073">
        <w:rPr>
          <w:rFonts w:asciiTheme="minorHAnsi" w:hAnsiTheme="minorHAnsi" w:cstheme="minorHAnsi"/>
          <w:lang w:val="el-GR"/>
        </w:rPr>
        <w:t>προορίζονται για τον τελικό χρήστη, εφόσον εκτελούνται από όχημα που υπόκειται σε καταβολή διοδίων (δηλ. μεικτού βάρους άνω των 3,5 τόνων).</w:t>
      </w:r>
    </w:p>
    <w:p w:rsidR="00113598" w:rsidRPr="00466073" w:rsidRDefault="00113598" w:rsidP="00113598">
      <w:pPr>
        <w:widowControl w:val="0"/>
        <w:autoSpaceDE w:val="0"/>
        <w:autoSpaceDN w:val="0"/>
        <w:adjustRightInd w:val="0"/>
        <w:spacing w:line="175" w:lineRule="exact"/>
        <w:rPr>
          <w:rFonts w:asciiTheme="minorHAnsi" w:hAnsiTheme="minorHAnsi" w:cstheme="minorHAnsi"/>
          <w:lang w:val="el-GR"/>
        </w:rPr>
      </w:pPr>
    </w:p>
    <w:p w:rsidR="00113598" w:rsidRPr="00466073" w:rsidRDefault="00113598" w:rsidP="00BC4E14">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Ως εκ τούτου με την εφαρμογή του ανωτέρω συστήματος, από 1.1.2015, η άσκηση των ως άνω δραστηριοτήτων, σε ουγγρικό έδαφος, επιτρέπεται μόνο σε φορολογούμενους που διαθέτουν έγκυρο αριθμό </w:t>
      </w:r>
      <w:r w:rsidRPr="00466073">
        <w:rPr>
          <w:rFonts w:asciiTheme="minorHAnsi" w:hAnsiTheme="minorHAnsi" w:cstheme="minorHAnsi"/>
        </w:rPr>
        <w:t>EKAER</w:t>
      </w:r>
      <w:r w:rsidRPr="00466073">
        <w:rPr>
          <w:rFonts w:asciiTheme="minorHAnsi" w:hAnsiTheme="minorHAnsi" w:cstheme="minorHAnsi"/>
          <w:lang w:val="el-GR"/>
        </w:rPr>
        <w:t>.</w:t>
      </w:r>
      <w:r w:rsidR="00BC4E14" w:rsidRPr="00466073">
        <w:rPr>
          <w:rFonts w:asciiTheme="minorHAnsi" w:hAnsiTheme="minorHAnsi" w:cstheme="minorHAnsi"/>
          <w:lang w:val="el-GR"/>
        </w:rPr>
        <w:t xml:space="preserve"> </w:t>
      </w:r>
      <w:r w:rsidRPr="00466073">
        <w:rPr>
          <w:rFonts w:asciiTheme="minorHAnsi" w:hAnsiTheme="minorHAnsi" w:cstheme="minorHAnsi"/>
          <w:lang w:val="el-GR"/>
        </w:rPr>
        <w:t>Σύμφωνα με την Ουγγρική Φορολογική και Τελωνειακή Αρχή (</w:t>
      </w:r>
      <w:r w:rsidRPr="00466073">
        <w:rPr>
          <w:rFonts w:asciiTheme="minorHAnsi" w:hAnsiTheme="minorHAnsi" w:cstheme="minorHAnsi"/>
        </w:rPr>
        <w:t>Hungarian</w:t>
      </w:r>
      <w:r w:rsidRPr="00466073">
        <w:rPr>
          <w:rFonts w:asciiTheme="minorHAnsi" w:hAnsiTheme="minorHAnsi" w:cstheme="minorHAnsi"/>
          <w:lang w:val="el-GR"/>
        </w:rPr>
        <w:t xml:space="preserve"> </w:t>
      </w:r>
      <w:r w:rsidRPr="00466073">
        <w:rPr>
          <w:rFonts w:asciiTheme="minorHAnsi" w:hAnsiTheme="minorHAnsi" w:cstheme="minorHAnsi"/>
        </w:rPr>
        <w:t>Tax</w:t>
      </w:r>
      <w:r w:rsidRPr="00466073">
        <w:rPr>
          <w:rFonts w:asciiTheme="minorHAnsi" w:hAnsiTheme="minorHAnsi" w:cstheme="minorHAnsi"/>
          <w:lang w:val="el-GR"/>
        </w:rPr>
        <w:t xml:space="preserve"> </w:t>
      </w:r>
      <w:r w:rsidRPr="00466073">
        <w:rPr>
          <w:rFonts w:asciiTheme="minorHAnsi" w:hAnsiTheme="minorHAnsi" w:cstheme="minorHAnsi"/>
        </w:rPr>
        <w:t>and</w:t>
      </w:r>
      <w:r w:rsidRPr="00466073">
        <w:rPr>
          <w:rFonts w:asciiTheme="minorHAnsi" w:hAnsiTheme="minorHAnsi" w:cstheme="minorHAnsi"/>
          <w:lang w:val="el-GR"/>
        </w:rPr>
        <w:t xml:space="preserve"> </w:t>
      </w:r>
      <w:r w:rsidRPr="00466073">
        <w:rPr>
          <w:rFonts w:asciiTheme="minorHAnsi" w:hAnsiTheme="minorHAnsi" w:cstheme="minorHAnsi"/>
        </w:rPr>
        <w:t>Customs</w:t>
      </w:r>
      <w:r w:rsidRPr="00466073">
        <w:rPr>
          <w:rFonts w:asciiTheme="minorHAnsi" w:hAnsiTheme="minorHAnsi" w:cstheme="minorHAnsi"/>
          <w:lang w:val="el-GR"/>
        </w:rPr>
        <w:t xml:space="preserve"> </w:t>
      </w:r>
      <w:r w:rsidRPr="00466073">
        <w:rPr>
          <w:rFonts w:asciiTheme="minorHAnsi" w:hAnsiTheme="minorHAnsi" w:cstheme="minorHAnsi"/>
        </w:rPr>
        <w:t>Authority</w:t>
      </w:r>
      <w:r w:rsidRPr="00466073">
        <w:rPr>
          <w:rFonts w:asciiTheme="minorHAnsi" w:hAnsiTheme="minorHAnsi" w:cstheme="minorHAnsi"/>
          <w:lang w:val="el-GR"/>
        </w:rPr>
        <w:t>-</w:t>
      </w:r>
      <w:r w:rsidRPr="00466073">
        <w:rPr>
          <w:rFonts w:asciiTheme="minorHAnsi" w:hAnsiTheme="minorHAnsi" w:cstheme="minorHAnsi"/>
        </w:rPr>
        <w:t>NAV</w:t>
      </w:r>
      <w:r w:rsidRPr="00466073">
        <w:rPr>
          <w:rFonts w:asciiTheme="minorHAnsi" w:hAnsiTheme="minorHAnsi" w:cstheme="minorHAnsi"/>
          <w:lang w:val="el-GR"/>
        </w:rPr>
        <w:t xml:space="preserve">), απώτερος σκοπός του συστήματος </w:t>
      </w:r>
      <w:r w:rsidRPr="00466073">
        <w:rPr>
          <w:rFonts w:asciiTheme="minorHAnsi" w:hAnsiTheme="minorHAnsi" w:cstheme="minorHAnsi"/>
        </w:rPr>
        <w:t>EKAER</w:t>
      </w:r>
      <w:r w:rsidRPr="00466073">
        <w:rPr>
          <w:rFonts w:asciiTheme="minorHAnsi" w:hAnsiTheme="minorHAnsi" w:cstheme="minorHAnsi"/>
          <w:lang w:val="el-GR"/>
        </w:rPr>
        <w:t xml:space="preserve"> είναι η πλήρης καταγραφή και παρακολούθηση κάθε οδικής εμπορευματικής μεταφοράς, σε ουγγρικό έδαφος, ώστε να καταπολεμηθεί η φοροδιαφυγή και κυρίως η μη απόδοση ΦΠΑ. </w:t>
      </w:r>
    </w:p>
    <w:p w:rsidR="00113598" w:rsidRPr="00466073" w:rsidRDefault="00BC4E14" w:rsidP="00BC4E14">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 xml:space="preserve">Στο μέλλον θα υπάρχει δυνατότητα σύνδεσης του </w:t>
      </w:r>
      <w:r w:rsidR="00113598" w:rsidRPr="00466073">
        <w:rPr>
          <w:rFonts w:asciiTheme="minorHAnsi" w:hAnsiTheme="minorHAnsi" w:cstheme="minorHAnsi"/>
        </w:rPr>
        <w:t>EKAER</w:t>
      </w:r>
      <w:r w:rsidR="00113598" w:rsidRPr="00466073">
        <w:rPr>
          <w:rFonts w:asciiTheme="minorHAnsi" w:hAnsiTheme="minorHAnsi" w:cstheme="minorHAnsi"/>
          <w:lang w:val="el-GR"/>
        </w:rPr>
        <w:t xml:space="preserve"> με το ηλεκτρονικό σύστημα χρέωσης διοδίων </w:t>
      </w:r>
      <w:r w:rsidRPr="00466073">
        <w:rPr>
          <w:rFonts w:asciiTheme="minorHAnsi" w:hAnsiTheme="minorHAnsi" w:cstheme="minorHAnsi"/>
          <w:lang w:val="el-GR"/>
        </w:rPr>
        <w:t>(</w:t>
      </w:r>
      <w:proofErr w:type="spellStart"/>
      <w:r w:rsidRPr="00466073">
        <w:rPr>
          <w:rFonts w:asciiTheme="minorHAnsi" w:hAnsiTheme="minorHAnsi" w:cstheme="minorHAnsi"/>
        </w:rPr>
        <w:t>Hu</w:t>
      </w:r>
      <w:proofErr w:type="spellEnd"/>
      <w:r w:rsidRPr="00466073">
        <w:rPr>
          <w:rFonts w:asciiTheme="minorHAnsi" w:hAnsiTheme="minorHAnsi" w:cstheme="minorHAnsi"/>
          <w:lang w:val="el-GR"/>
        </w:rPr>
        <w:t>-</w:t>
      </w:r>
      <w:r w:rsidRPr="00466073">
        <w:rPr>
          <w:rFonts w:asciiTheme="minorHAnsi" w:hAnsiTheme="minorHAnsi" w:cstheme="minorHAnsi"/>
        </w:rPr>
        <w:t>Go</w:t>
      </w:r>
      <w:r w:rsidRPr="00466073">
        <w:rPr>
          <w:rFonts w:asciiTheme="minorHAnsi" w:hAnsiTheme="minorHAnsi" w:cstheme="minorHAnsi"/>
          <w:lang w:val="el-GR"/>
        </w:rPr>
        <w:t>)</w:t>
      </w:r>
      <w:r w:rsidR="00113598" w:rsidRPr="00466073">
        <w:rPr>
          <w:rFonts w:asciiTheme="minorHAnsi" w:hAnsiTheme="minorHAnsi" w:cstheme="minorHAnsi"/>
          <w:lang w:val="el-GR"/>
        </w:rPr>
        <w:t xml:space="preserve">, καθώς και με τα </w:t>
      </w:r>
      <w:r w:rsidR="009B52C6" w:rsidRPr="00466073">
        <w:rPr>
          <w:rFonts w:asciiTheme="minorHAnsi" w:hAnsiTheme="minorHAnsi" w:cstheme="minorHAnsi"/>
          <w:lang w:val="el-GR"/>
        </w:rPr>
        <w:t>υποχρεωτικά</w:t>
      </w:r>
      <w:r w:rsidR="00113598" w:rsidRPr="00466073">
        <w:rPr>
          <w:rFonts w:asciiTheme="minorHAnsi" w:hAnsiTheme="minorHAnsi" w:cstheme="minorHAnsi"/>
          <w:lang w:val="el-GR"/>
        </w:rPr>
        <w:t xml:space="preserve"> φορτωτικά έγγραφα (</w:t>
      </w:r>
      <w:r w:rsidR="00113598" w:rsidRPr="00466073">
        <w:rPr>
          <w:rFonts w:asciiTheme="minorHAnsi" w:hAnsiTheme="minorHAnsi" w:cstheme="minorHAnsi"/>
        </w:rPr>
        <w:t>CMR</w:t>
      </w:r>
      <w:r w:rsidR="00113598" w:rsidRPr="00466073">
        <w:rPr>
          <w:rFonts w:asciiTheme="minorHAnsi" w:hAnsiTheme="minorHAnsi" w:cstheme="minorHAnsi"/>
          <w:lang w:val="el-GR"/>
        </w:rPr>
        <w:t>).</w:t>
      </w:r>
    </w:p>
    <w:p w:rsidR="00113598" w:rsidRPr="00466073" w:rsidRDefault="00113598" w:rsidP="00113598">
      <w:pPr>
        <w:widowControl w:val="0"/>
        <w:autoSpaceDE w:val="0"/>
        <w:autoSpaceDN w:val="0"/>
        <w:adjustRightInd w:val="0"/>
        <w:spacing w:line="180" w:lineRule="exact"/>
        <w:rPr>
          <w:rFonts w:asciiTheme="minorHAnsi" w:hAnsiTheme="minorHAnsi" w:cstheme="minorHAnsi"/>
          <w:lang w:val="el-GR"/>
        </w:rPr>
      </w:pPr>
    </w:p>
    <w:p w:rsidR="00113598" w:rsidRPr="00466073" w:rsidRDefault="00113598" w:rsidP="00113598">
      <w:pPr>
        <w:widowControl w:val="0"/>
        <w:autoSpaceDE w:val="0"/>
        <w:autoSpaceDN w:val="0"/>
        <w:adjustRightInd w:val="0"/>
        <w:spacing w:line="180" w:lineRule="exact"/>
        <w:rPr>
          <w:rFonts w:asciiTheme="minorHAnsi" w:hAnsiTheme="minorHAnsi" w:cstheme="minorHAnsi"/>
          <w:lang w:val="el-GR"/>
        </w:rPr>
      </w:pPr>
    </w:p>
    <w:p w:rsidR="00DA625E" w:rsidRPr="00466073" w:rsidRDefault="009B52C6" w:rsidP="00EF62EE">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Το ηλεκτρονικό σύστημα διοδίων (</w:t>
      </w:r>
      <w:proofErr w:type="spellStart"/>
      <w:r w:rsidRPr="00466073">
        <w:rPr>
          <w:rFonts w:asciiTheme="minorHAnsi" w:hAnsiTheme="minorHAnsi" w:cstheme="minorHAnsi"/>
        </w:rPr>
        <w:t>Hu</w:t>
      </w:r>
      <w:proofErr w:type="spellEnd"/>
      <w:r w:rsidRPr="00466073">
        <w:rPr>
          <w:rFonts w:asciiTheme="minorHAnsi" w:hAnsiTheme="minorHAnsi" w:cstheme="minorHAnsi"/>
          <w:lang w:val="el-GR"/>
        </w:rPr>
        <w:t>-</w:t>
      </w:r>
      <w:r w:rsidRPr="00466073">
        <w:rPr>
          <w:rFonts w:asciiTheme="minorHAnsi" w:hAnsiTheme="minorHAnsi" w:cstheme="minorHAnsi"/>
        </w:rPr>
        <w:t>Go</w:t>
      </w:r>
      <w:r w:rsidRPr="00466073">
        <w:rPr>
          <w:rFonts w:asciiTheme="minorHAnsi" w:hAnsiTheme="minorHAnsi" w:cstheme="minorHAnsi"/>
          <w:lang w:val="el-GR"/>
        </w:rPr>
        <w:t xml:space="preserve">) ετέθη σε εφαρμογή την </w:t>
      </w:r>
      <w:r w:rsidR="00113598" w:rsidRPr="00466073">
        <w:rPr>
          <w:rFonts w:asciiTheme="minorHAnsi" w:hAnsiTheme="minorHAnsi" w:cstheme="minorHAnsi"/>
          <w:lang w:val="el-GR"/>
        </w:rPr>
        <w:t>1</w:t>
      </w:r>
      <w:r w:rsidRPr="00466073">
        <w:rPr>
          <w:rFonts w:asciiTheme="minorHAnsi" w:hAnsiTheme="minorHAnsi" w:cstheme="minorHAnsi"/>
          <w:vertAlign w:val="superscript"/>
          <w:lang w:val="el-GR"/>
        </w:rPr>
        <w:t>η</w:t>
      </w:r>
      <w:r w:rsidRPr="00466073">
        <w:rPr>
          <w:rFonts w:asciiTheme="minorHAnsi" w:hAnsiTheme="minorHAnsi" w:cstheme="minorHAnsi"/>
          <w:lang w:val="el-GR"/>
        </w:rPr>
        <w:t xml:space="preserve"> Ιουλίου 2013. </w:t>
      </w:r>
      <w:r w:rsidR="00113598" w:rsidRPr="00466073">
        <w:rPr>
          <w:rFonts w:asciiTheme="minorHAnsi" w:hAnsiTheme="minorHAnsi" w:cstheme="minorHAnsi"/>
          <w:lang w:val="el-GR"/>
        </w:rPr>
        <w:t xml:space="preserve">Το τέλος </w:t>
      </w:r>
      <w:r w:rsidRPr="00466073">
        <w:rPr>
          <w:rFonts w:asciiTheme="minorHAnsi" w:hAnsiTheme="minorHAnsi" w:cstheme="minorHAnsi"/>
          <w:lang w:val="el-GR"/>
        </w:rPr>
        <w:t>διέλευσης (</w:t>
      </w:r>
      <w:r w:rsidR="00113598" w:rsidRPr="00466073">
        <w:rPr>
          <w:rFonts w:asciiTheme="minorHAnsi" w:hAnsiTheme="minorHAnsi" w:cstheme="minorHAnsi"/>
          <w:lang w:val="el-GR"/>
        </w:rPr>
        <w:t>χρήσης</w:t>
      </w:r>
      <w:r w:rsidRPr="00466073">
        <w:rPr>
          <w:rFonts w:asciiTheme="minorHAnsi" w:hAnsiTheme="minorHAnsi" w:cstheme="minorHAnsi"/>
          <w:lang w:val="el-GR"/>
        </w:rPr>
        <w:t xml:space="preserve"> του οδικού δικτύου),</w:t>
      </w:r>
      <w:r w:rsidR="00113598" w:rsidRPr="00466073">
        <w:rPr>
          <w:rFonts w:asciiTheme="minorHAnsi" w:hAnsiTheme="minorHAnsi" w:cstheme="minorHAnsi"/>
          <w:lang w:val="el-GR"/>
        </w:rPr>
        <w:t xml:space="preserve"> υπολογίζεται ανά διανυόμενο χιλιόμετρο (διανυθείσα απόσταση) και όχι βάσει ημερολογιακής χρήσης. Το σύστημα αφορά</w:t>
      </w:r>
      <w:r w:rsidRPr="00466073">
        <w:rPr>
          <w:rFonts w:asciiTheme="minorHAnsi" w:hAnsiTheme="minorHAnsi" w:cstheme="minorHAnsi"/>
          <w:lang w:val="el-GR"/>
        </w:rPr>
        <w:t>, ανεξαιρέτως,</w:t>
      </w:r>
      <w:r w:rsidR="00113598" w:rsidRPr="00466073">
        <w:rPr>
          <w:rFonts w:asciiTheme="minorHAnsi" w:hAnsiTheme="minorHAnsi" w:cstheme="minorHAnsi"/>
          <w:lang w:val="el-GR"/>
        </w:rPr>
        <w:t xml:space="preserve"> όλα τα επαγγελματικά φορτηγά μικτού βάρους άνω των 3,5 </w:t>
      </w:r>
      <w:r w:rsidRPr="00466073">
        <w:rPr>
          <w:rFonts w:asciiTheme="minorHAnsi" w:hAnsiTheme="minorHAnsi" w:cstheme="minorHAnsi"/>
          <w:lang w:val="el-GR"/>
        </w:rPr>
        <w:t>τόνων</w:t>
      </w:r>
      <w:r w:rsidR="00DA625E" w:rsidRPr="00466073">
        <w:rPr>
          <w:rFonts w:asciiTheme="minorHAnsi" w:hAnsiTheme="minorHAnsi" w:cstheme="minorHAnsi"/>
          <w:lang w:val="el-GR"/>
        </w:rPr>
        <w:t xml:space="preserve">. Η καταβολή των τελών είναι υποχρεωτική, το σύστημα </w:t>
      </w:r>
      <w:r w:rsidR="00113598" w:rsidRPr="00466073">
        <w:rPr>
          <w:rFonts w:asciiTheme="minorHAnsi" w:hAnsiTheme="minorHAnsi" w:cstheme="minorHAnsi"/>
          <w:lang w:val="el-GR"/>
        </w:rPr>
        <w:t xml:space="preserve">πληροί τις απαιτήσεις της Ε.Ε. και τις σχετικές </w:t>
      </w:r>
      <w:r w:rsidR="00DA625E" w:rsidRPr="00466073">
        <w:rPr>
          <w:rFonts w:asciiTheme="minorHAnsi" w:hAnsiTheme="minorHAnsi" w:cstheme="minorHAnsi"/>
          <w:lang w:val="el-GR"/>
        </w:rPr>
        <w:t>ο</w:t>
      </w:r>
      <w:r w:rsidR="00113598" w:rsidRPr="00466073">
        <w:rPr>
          <w:rFonts w:asciiTheme="minorHAnsi" w:hAnsiTheme="minorHAnsi" w:cstheme="minorHAnsi"/>
          <w:lang w:val="el-GR"/>
        </w:rPr>
        <w:t xml:space="preserve">δηγίες της Ευρωπαϊκής Υπηρεσίας </w:t>
      </w:r>
      <w:proofErr w:type="spellStart"/>
      <w:r w:rsidR="00113598" w:rsidRPr="00466073">
        <w:rPr>
          <w:rFonts w:asciiTheme="minorHAnsi" w:hAnsiTheme="minorHAnsi" w:cstheme="minorHAnsi"/>
          <w:lang w:val="el-GR"/>
        </w:rPr>
        <w:t>Τηλε</w:t>
      </w:r>
      <w:proofErr w:type="spellEnd"/>
      <w:r w:rsidR="00DA625E" w:rsidRPr="00466073">
        <w:rPr>
          <w:rFonts w:asciiTheme="minorHAnsi" w:hAnsiTheme="minorHAnsi" w:cstheme="minorHAnsi"/>
          <w:lang w:val="el-GR"/>
        </w:rPr>
        <w:t>-</w:t>
      </w:r>
      <w:r w:rsidR="00113598" w:rsidRPr="00466073">
        <w:rPr>
          <w:rFonts w:asciiTheme="minorHAnsi" w:hAnsiTheme="minorHAnsi" w:cstheme="minorHAnsi"/>
          <w:lang w:val="el-GR"/>
        </w:rPr>
        <w:t>Διοδίων,</w:t>
      </w:r>
      <w:r w:rsidR="00DA625E" w:rsidRPr="00466073">
        <w:rPr>
          <w:rFonts w:asciiTheme="minorHAnsi" w:hAnsiTheme="minorHAnsi" w:cstheme="minorHAnsi"/>
          <w:lang w:val="el-GR"/>
        </w:rPr>
        <w:t xml:space="preserve"> ενώ</w:t>
      </w:r>
      <w:r w:rsidR="00113598" w:rsidRPr="00466073">
        <w:rPr>
          <w:rFonts w:asciiTheme="minorHAnsi" w:hAnsiTheme="minorHAnsi" w:cstheme="minorHAnsi"/>
          <w:lang w:val="el-GR"/>
        </w:rPr>
        <w:t xml:space="preserve"> παράλληλα</w:t>
      </w:r>
      <w:r w:rsidR="00DA625E" w:rsidRPr="00466073">
        <w:rPr>
          <w:rFonts w:asciiTheme="minorHAnsi" w:hAnsiTheme="minorHAnsi" w:cstheme="minorHAnsi"/>
          <w:lang w:val="el-GR"/>
        </w:rPr>
        <w:t>,</w:t>
      </w:r>
      <w:r w:rsidR="00113598" w:rsidRPr="00466073">
        <w:rPr>
          <w:rFonts w:asciiTheme="minorHAnsi" w:hAnsiTheme="minorHAnsi" w:cstheme="minorHAnsi"/>
          <w:lang w:val="el-GR"/>
        </w:rPr>
        <w:t xml:space="preserve"> τα επιβαλλόμενα τέλη </w:t>
      </w:r>
      <w:r w:rsidR="00DA625E" w:rsidRPr="00466073">
        <w:rPr>
          <w:rFonts w:asciiTheme="minorHAnsi" w:hAnsiTheme="minorHAnsi" w:cstheme="minorHAnsi"/>
          <w:lang w:val="el-GR"/>
        </w:rPr>
        <w:t xml:space="preserve">διέλευσης </w:t>
      </w:r>
      <w:r w:rsidR="00113598" w:rsidRPr="00466073">
        <w:rPr>
          <w:rFonts w:asciiTheme="minorHAnsi" w:hAnsiTheme="minorHAnsi" w:cstheme="minorHAnsi"/>
          <w:lang w:val="el-GR"/>
        </w:rPr>
        <w:t xml:space="preserve">είναι τα ανώτερα επιτρεπτά βάσει των Κοινοτικών Κανονισμών. </w:t>
      </w:r>
    </w:p>
    <w:p w:rsidR="001572BE" w:rsidRPr="00466073" w:rsidRDefault="00113598" w:rsidP="00EF62EE">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Οι εταιρείες διεθνών μεταφορών και οι ιδιώτες </w:t>
      </w:r>
      <w:r w:rsidR="001572BE" w:rsidRPr="00466073">
        <w:rPr>
          <w:rFonts w:asciiTheme="minorHAnsi" w:hAnsiTheme="minorHAnsi" w:cstheme="minorHAnsi"/>
          <w:lang w:val="el-GR"/>
        </w:rPr>
        <w:t>επαγγελματίες αυτοκινητιστές-</w:t>
      </w:r>
      <w:r w:rsidRPr="00466073">
        <w:rPr>
          <w:rFonts w:asciiTheme="minorHAnsi" w:hAnsiTheme="minorHAnsi" w:cstheme="minorHAnsi"/>
          <w:lang w:val="el-GR"/>
        </w:rPr>
        <w:t>διαμεταφορείς</w:t>
      </w:r>
      <w:r w:rsidR="001572BE" w:rsidRPr="00466073">
        <w:rPr>
          <w:rFonts w:asciiTheme="minorHAnsi" w:hAnsiTheme="minorHAnsi" w:cstheme="minorHAnsi"/>
          <w:lang w:val="el-GR"/>
        </w:rPr>
        <w:t xml:space="preserve"> υποχρεούνται να καταβάλλουν τα τέλη διέλευσης κάνοντας χρήση του ηλεκτρονικού συστήματος διοδίων. Υπάρχουν δύο τρόποι καταβολής: α) μ</w:t>
      </w:r>
      <w:r w:rsidRPr="00466073">
        <w:rPr>
          <w:rFonts w:asciiTheme="minorHAnsi" w:hAnsiTheme="minorHAnsi" w:cstheme="minorHAnsi"/>
          <w:lang w:val="el-GR"/>
        </w:rPr>
        <w:t>έσω ειδικής ηλεκτρονικής συσκευής</w:t>
      </w:r>
      <w:r w:rsidR="001572BE" w:rsidRPr="00466073">
        <w:rPr>
          <w:rFonts w:asciiTheme="minorHAnsi" w:hAnsiTheme="minorHAnsi" w:cstheme="minorHAnsi"/>
          <w:lang w:val="el-GR"/>
        </w:rPr>
        <w:t xml:space="preserve">, ή β) </w:t>
      </w:r>
      <w:r w:rsidRPr="00466073">
        <w:rPr>
          <w:rFonts w:asciiTheme="minorHAnsi" w:hAnsiTheme="minorHAnsi" w:cstheme="minorHAnsi"/>
          <w:lang w:val="el-GR"/>
        </w:rPr>
        <w:t>μέσω προ-πληρωμένου εισιτηρίου. Αν</w:t>
      </w:r>
      <w:r w:rsidR="001572BE" w:rsidRPr="00466073">
        <w:rPr>
          <w:rFonts w:asciiTheme="minorHAnsi" w:hAnsiTheme="minorHAnsi" w:cstheme="minorHAnsi"/>
          <w:lang w:val="el-GR"/>
        </w:rPr>
        <w:t xml:space="preserve">αλόγως της συχνότητας χρήσης του ουγγρικού εθνικού οδικού δικτύου, επιλέγεται και η προσφορότερη μέθοδος </w:t>
      </w:r>
      <w:r w:rsidRPr="00466073">
        <w:rPr>
          <w:rFonts w:asciiTheme="minorHAnsi" w:hAnsiTheme="minorHAnsi" w:cstheme="minorHAnsi"/>
          <w:lang w:val="el-GR"/>
        </w:rPr>
        <w:t>(στην περίπτωση συχνών διελεύσεων, ενδείκνυται η χρήση της ειδικής ηλεκτρονικής συσκευής).</w:t>
      </w:r>
      <w:r w:rsidR="001572BE" w:rsidRPr="00466073">
        <w:rPr>
          <w:rFonts w:asciiTheme="minorHAnsi" w:hAnsiTheme="minorHAnsi" w:cstheme="minorHAnsi"/>
          <w:lang w:val="el-GR"/>
        </w:rPr>
        <w:t xml:space="preserve"> Στην περίπτωση προ-</w:t>
      </w:r>
      <w:r w:rsidRPr="00466073">
        <w:rPr>
          <w:rFonts w:asciiTheme="minorHAnsi" w:hAnsiTheme="minorHAnsi" w:cstheme="minorHAnsi"/>
          <w:lang w:val="el-GR"/>
        </w:rPr>
        <w:t xml:space="preserve">πληρωμής εισιτηρίου, </w:t>
      </w:r>
      <w:r w:rsidR="001572BE" w:rsidRPr="00466073">
        <w:rPr>
          <w:rFonts w:asciiTheme="minorHAnsi" w:hAnsiTheme="minorHAnsi" w:cstheme="minorHAnsi"/>
          <w:lang w:val="el-GR"/>
        </w:rPr>
        <w:t xml:space="preserve">η καταγραφή των παρακάτω στοιχείων είναι απαραίτητη: </w:t>
      </w:r>
      <w:r w:rsidRPr="00466073">
        <w:rPr>
          <w:rFonts w:asciiTheme="minorHAnsi" w:hAnsiTheme="minorHAnsi" w:cstheme="minorHAnsi"/>
          <w:lang w:val="el-GR"/>
        </w:rPr>
        <w:t>κωδικός χώρας</w:t>
      </w:r>
      <w:r w:rsidR="001572BE" w:rsidRPr="00466073">
        <w:rPr>
          <w:rFonts w:asciiTheme="minorHAnsi" w:hAnsiTheme="minorHAnsi" w:cstheme="minorHAnsi"/>
          <w:lang w:val="el-GR"/>
        </w:rPr>
        <w:t xml:space="preserve">, </w:t>
      </w:r>
      <w:r w:rsidRPr="00466073">
        <w:rPr>
          <w:rFonts w:asciiTheme="minorHAnsi" w:hAnsiTheme="minorHAnsi" w:cstheme="minorHAnsi"/>
          <w:lang w:val="el-GR"/>
        </w:rPr>
        <w:t>συνοριακό σημείο εξόδου/εισόδου</w:t>
      </w:r>
      <w:r w:rsidR="001572BE" w:rsidRPr="00466073">
        <w:rPr>
          <w:rFonts w:asciiTheme="minorHAnsi" w:hAnsiTheme="minorHAnsi" w:cstheme="minorHAnsi"/>
          <w:lang w:val="el-GR"/>
        </w:rPr>
        <w:t xml:space="preserve">, </w:t>
      </w:r>
      <w:r w:rsidRPr="00466073">
        <w:rPr>
          <w:rFonts w:asciiTheme="minorHAnsi" w:hAnsiTheme="minorHAnsi" w:cstheme="minorHAnsi"/>
          <w:lang w:val="el-GR"/>
        </w:rPr>
        <w:t>αριθμός κυκλοφορίας οχήματος</w:t>
      </w:r>
      <w:r w:rsidR="001572BE" w:rsidRPr="00466073">
        <w:rPr>
          <w:rFonts w:asciiTheme="minorHAnsi" w:hAnsiTheme="minorHAnsi" w:cstheme="minorHAnsi"/>
          <w:lang w:val="el-GR"/>
        </w:rPr>
        <w:t>,</w:t>
      </w:r>
      <w:r w:rsidRPr="00466073">
        <w:rPr>
          <w:rFonts w:asciiTheme="minorHAnsi" w:hAnsiTheme="minorHAnsi" w:cstheme="minorHAnsi"/>
          <w:lang w:val="el-GR"/>
        </w:rPr>
        <w:t xml:space="preserve"> αριθμός αξόνων</w:t>
      </w:r>
      <w:r w:rsidR="001572BE" w:rsidRPr="00466073">
        <w:rPr>
          <w:rFonts w:asciiTheme="minorHAnsi" w:hAnsiTheme="minorHAnsi" w:cstheme="minorHAnsi"/>
          <w:lang w:val="el-GR"/>
        </w:rPr>
        <w:t>,</w:t>
      </w:r>
      <w:r w:rsidRPr="00466073">
        <w:rPr>
          <w:rFonts w:asciiTheme="minorHAnsi" w:hAnsiTheme="minorHAnsi" w:cstheme="minorHAnsi"/>
          <w:lang w:val="el-GR"/>
        </w:rPr>
        <w:t xml:space="preserve"> ανώτατο επιτρεπόμενο μικτό βάρος</w:t>
      </w:r>
      <w:r w:rsidR="001572BE" w:rsidRPr="00466073">
        <w:rPr>
          <w:rFonts w:asciiTheme="minorHAnsi" w:hAnsiTheme="minorHAnsi" w:cstheme="minorHAnsi"/>
          <w:lang w:val="el-GR"/>
        </w:rPr>
        <w:t xml:space="preserve">, </w:t>
      </w:r>
      <w:r w:rsidRPr="00466073">
        <w:rPr>
          <w:rFonts w:asciiTheme="minorHAnsi" w:hAnsiTheme="minorHAnsi" w:cstheme="minorHAnsi"/>
          <w:lang w:val="el-GR"/>
        </w:rPr>
        <w:t>ύψος οχήματος</w:t>
      </w:r>
      <w:r w:rsidR="001572BE" w:rsidRPr="00466073">
        <w:rPr>
          <w:rFonts w:asciiTheme="minorHAnsi" w:hAnsiTheme="minorHAnsi" w:cstheme="minorHAnsi"/>
          <w:lang w:val="el-GR"/>
        </w:rPr>
        <w:t xml:space="preserve">, </w:t>
      </w:r>
      <w:r w:rsidRPr="00466073">
        <w:rPr>
          <w:rFonts w:asciiTheme="minorHAnsi" w:hAnsiTheme="minorHAnsi" w:cstheme="minorHAnsi"/>
          <w:lang w:val="el-GR"/>
        </w:rPr>
        <w:t>κατάταξη περιβαλλοντικής προστασίας (EURO 1, 2, 3 κλπ)</w:t>
      </w:r>
      <w:r w:rsidR="001572BE" w:rsidRPr="00466073">
        <w:rPr>
          <w:rFonts w:asciiTheme="minorHAnsi" w:hAnsiTheme="minorHAnsi" w:cstheme="minorHAnsi"/>
          <w:lang w:val="el-GR"/>
        </w:rPr>
        <w:t xml:space="preserve">, </w:t>
      </w:r>
      <w:r w:rsidRPr="00466073">
        <w:rPr>
          <w:rFonts w:asciiTheme="minorHAnsi" w:hAnsiTheme="minorHAnsi" w:cstheme="minorHAnsi"/>
          <w:lang w:val="el-GR"/>
        </w:rPr>
        <w:t>ενημέρωση σημείων στάθμευσης (4 το μέγιστο)</w:t>
      </w:r>
      <w:r w:rsidR="001572BE" w:rsidRPr="00466073">
        <w:rPr>
          <w:rFonts w:asciiTheme="minorHAnsi" w:hAnsiTheme="minorHAnsi" w:cstheme="minorHAnsi"/>
          <w:lang w:val="el-GR"/>
        </w:rPr>
        <w:t>.</w:t>
      </w:r>
      <w:r w:rsidRPr="00466073">
        <w:rPr>
          <w:rFonts w:asciiTheme="minorHAnsi" w:hAnsiTheme="minorHAnsi" w:cstheme="minorHAnsi"/>
          <w:lang w:val="el-GR"/>
        </w:rPr>
        <w:t xml:space="preserve"> </w:t>
      </w:r>
    </w:p>
    <w:p w:rsidR="001572BE" w:rsidRPr="00466073" w:rsidRDefault="001572BE" w:rsidP="00EF62EE">
      <w:pPr>
        <w:widowControl w:val="0"/>
        <w:overflowPunct w:val="0"/>
        <w:autoSpaceDE w:val="0"/>
        <w:autoSpaceDN w:val="0"/>
        <w:adjustRightInd w:val="0"/>
        <w:spacing w:line="223" w:lineRule="auto"/>
        <w:jc w:val="both"/>
        <w:rPr>
          <w:rFonts w:asciiTheme="minorHAnsi" w:hAnsiTheme="minorHAnsi" w:cstheme="minorHAnsi"/>
          <w:lang w:val="el-GR"/>
        </w:rPr>
      </w:pPr>
    </w:p>
    <w:p w:rsidR="00113598" w:rsidRPr="00466073" w:rsidRDefault="00113598" w:rsidP="00EF62EE">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Ο έλεγχος για τη σωστή τήρηση των διαδικασιών διέλευσης και πληρωμής πραγματοποιείται από 74 ειδικά σταθερά σημεία ελέγχου/πύλες και από 45 κινητές μονάδες. Στην ιστοσελίδα </w:t>
      </w:r>
      <w:hyperlink r:id="rId22" w:history="1">
        <w:r w:rsidR="006632CC" w:rsidRPr="00466073">
          <w:rPr>
            <w:rStyle w:val="Hyperlink"/>
            <w:rFonts w:asciiTheme="minorHAnsi" w:hAnsiTheme="minorHAnsi" w:cstheme="minorHAnsi"/>
            <w:lang w:val="el-GR"/>
          </w:rPr>
          <w:t>http://www.hu-go.hu</w:t>
        </w:r>
      </w:hyperlink>
      <w:r w:rsidR="006632CC" w:rsidRPr="00466073">
        <w:rPr>
          <w:rFonts w:asciiTheme="minorHAnsi" w:hAnsiTheme="minorHAnsi" w:cstheme="minorHAnsi"/>
          <w:lang w:val="el-GR"/>
        </w:rPr>
        <w:t xml:space="preserve"> </w:t>
      </w:r>
      <w:r w:rsidRPr="00466073">
        <w:rPr>
          <w:rFonts w:asciiTheme="minorHAnsi" w:hAnsiTheme="minorHAnsi" w:cstheme="minorHAnsi"/>
          <w:lang w:val="el-GR"/>
        </w:rPr>
        <w:t xml:space="preserve">υπάρχει η δυνατότητα εγγραφής στο ηλεκτρονικό </w:t>
      </w:r>
      <w:r w:rsidR="00380E66" w:rsidRPr="00466073">
        <w:rPr>
          <w:rFonts w:asciiTheme="minorHAnsi" w:hAnsiTheme="minorHAnsi" w:cstheme="minorHAnsi"/>
          <w:lang w:val="el-GR"/>
        </w:rPr>
        <w:t>σύστημα διοδίων, ενώ για τη διευκόλυνση των αυτοκινητιστών, παρέχονται</w:t>
      </w:r>
      <w:r w:rsidRPr="00466073">
        <w:rPr>
          <w:rFonts w:asciiTheme="minorHAnsi" w:hAnsiTheme="minorHAnsi" w:cstheme="minorHAnsi"/>
          <w:lang w:val="el-GR"/>
        </w:rPr>
        <w:t xml:space="preserve"> </w:t>
      </w:r>
      <w:r w:rsidR="00380E66" w:rsidRPr="00466073">
        <w:rPr>
          <w:rFonts w:asciiTheme="minorHAnsi" w:hAnsiTheme="minorHAnsi" w:cstheme="minorHAnsi"/>
          <w:lang w:val="el-GR"/>
        </w:rPr>
        <w:t xml:space="preserve">επιπλέον </w:t>
      </w:r>
      <w:r w:rsidRPr="00466073">
        <w:rPr>
          <w:rFonts w:asciiTheme="minorHAnsi" w:hAnsiTheme="minorHAnsi" w:cstheme="minorHAnsi"/>
          <w:lang w:val="el-GR"/>
        </w:rPr>
        <w:t>αναλυτικές πληροφορίες</w:t>
      </w:r>
      <w:r w:rsidR="00380E66" w:rsidRPr="00466073">
        <w:rPr>
          <w:rFonts w:asciiTheme="minorHAnsi" w:hAnsiTheme="minorHAnsi" w:cstheme="minorHAnsi"/>
          <w:lang w:val="el-GR"/>
        </w:rPr>
        <w:t xml:space="preserve">. </w:t>
      </w:r>
    </w:p>
    <w:p w:rsidR="00113598" w:rsidRPr="00466073" w:rsidRDefault="00113598" w:rsidP="00113598">
      <w:pPr>
        <w:widowControl w:val="0"/>
        <w:autoSpaceDE w:val="0"/>
        <w:autoSpaceDN w:val="0"/>
        <w:adjustRightInd w:val="0"/>
        <w:spacing w:line="180" w:lineRule="exact"/>
        <w:rPr>
          <w:rFonts w:asciiTheme="minorHAnsi" w:hAnsiTheme="minorHAnsi" w:cstheme="minorHAnsi"/>
          <w:color w:val="DDD9C3" w:themeColor="background2" w:themeShade="E6"/>
          <w:lang w:val="el-GR"/>
        </w:rPr>
      </w:pPr>
    </w:p>
    <w:p w:rsidR="00113598" w:rsidRPr="00466073" w:rsidRDefault="00380E66" w:rsidP="00380E66">
      <w:pPr>
        <w:widowControl w:val="0"/>
        <w:overflowPunct w:val="0"/>
        <w:autoSpaceDE w:val="0"/>
        <w:autoSpaceDN w:val="0"/>
        <w:adjustRightInd w:val="0"/>
        <w:spacing w:line="223" w:lineRule="auto"/>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Τέλος, επισημαίνεται ότι η</w:t>
      </w:r>
      <w:r w:rsidR="00113598" w:rsidRPr="00466073">
        <w:rPr>
          <w:rFonts w:asciiTheme="minorHAnsi" w:hAnsiTheme="minorHAnsi" w:cstheme="minorHAnsi"/>
          <w:color w:val="000000" w:themeColor="text1"/>
          <w:lang w:val="el-GR"/>
        </w:rPr>
        <w:t xml:space="preserve"> μη συμμόρφωση με τους προβλεπόμενους κανονισμούς, που αφορούν στην μεταφορά και διακίνηση φορτίων, </w:t>
      </w:r>
      <w:r w:rsidRPr="00466073">
        <w:rPr>
          <w:rFonts w:asciiTheme="minorHAnsi" w:hAnsiTheme="minorHAnsi" w:cstheme="minorHAnsi"/>
          <w:color w:val="000000" w:themeColor="text1"/>
          <w:lang w:val="el-GR"/>
        </w:rPr>
        <w:t xml:space="preserve">συνεπάγεται την επιβολή υψηλών προστίμων και ενδεχομένως μεγάλων </w:t>
      </w:r>
      <w:r w:rsidR="00113598" w:rsidRPr="00466073">
        <w:rPr>
          <w:rFonts w:asciiTheme="minorHAnsi" w:hAnsiTheme="minorHAnsi" w:cstheme="minorHAnsi"/>
          <w:color w:val="000000" w:themeColor="text1"/>
          <w:lang w:val="el-GR"/>
        </w:rPr>
        <w:t>καθυστερήσε</w:t>
      </w:r>
      <w:r w:rsidRPr="00466073">
        <w:rPr>
          <w:rFonts w:asciiTheme="minorHAnsi" w:hAnsiTheme="minorHAnsi" w:cstheme="minorHAnsi"/>
          <w:color w:val="000000" w:themeColor="text1"/>
          <w:lang w:val="el-GR"/>
        </w:rPr>
        <w:t>ων</w:t>
      </w:r>
      <w:r w:rsidR="00113598"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 xml:space="preserve">στην παράδοση </w:t>
      </w:r>
      <w:r w:rsidR="00113598" w:rsidRPr="00466073">
        <w:rPr>
          <w:rFonts w:asciiTheme="minorHAnsi" w:hAnsiTheme="minorHAnsi" w:cstheme="minorHAnsi"/>
          <w:color w:val="000000" w:themeColor="text1"/>
          <w:lang w:val="el-GR"/>
        </w:rPr>
        <w:t>των</w:t>
      </w:r>
      <w:r w:rsidRPr="00466073">
        <w:rPr>
          <w:rFonts w:asciiTheme="minorHAnsi" w:hAnsiTheme="minorHAnsi" w:cstheme="minorHAnsi"/>
          <w:color w:val="000000" w:themeColor="text1"/>
          <w:lang w:val="el-GR"/>
        </w:rPr>
        <w:t xml:space="preserve"> εμπορευμάτων </w:t>
      </w:r>
      <w:r w:rsidR="00113598" w:rsidRPr="00466073">
        <w:rPr>
          <w:rFonts w:asciiTheme="minorHAnsi" w:hAnsiTheme="minorHAnsi" w:cstheme="minorHAnsi"/>
          <w:color w:val="000000" w:themeColor="text1"/>
          <w:lang w:val="el-GR"/>
        </w:rPr>
        <w:t>στον τελικό τους προορισμό.</w:t>
      </w:r>
    </w:p>
    <w:p w:rsidR="00734C41" w:rsidRPr="00466073" w:rsidRDefault="00734C41" w:rsidP="00380E66">
      <w:pPr>
        <w:widowControl w:val="0"/>
        <w:overflowPunct w:val="0"/>
        <w:autoSpaceDE w:val="0"/>
        <w:autoSpaceDN w:val="0"/>
        <w:adjustRightInd w:val="0"/>
        <w:spacing w:line="223" w:lineRule="auto"/>
        <w:jc w:val="both"/>
        <w:rPr>
          <w:rFonts w:asciiTheme="minorHAnsi" w:hAnsiTheme="minorHAnsi" w:cstheme="minorHAnsi"/>
          <w:color w:val="000000" w:themeColor="text1"/>
          <w:lang w:val="el-GR"/>
        </w:rPr>
      </w:pPr>
    </w:p>
    <w:p w:rsidR="00734C41" w:rsidRPr="00466073" w:rsidRDefault="00F51100" w:rsidP="00F51100">
      <w:pPr>
        <w:widowControl w:val="0"/>
        <w:overflowPunct w:val="0"/>
        <w:autoSpaceDE w:val="0"/>
        <w:autoSpaceDN w:val="0"/>
        <w:adjustRightInd w:val="0"/>
        <w:spacing w:line="223" w:lineRule="auto"/>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Πρέπει πάντως να επισημανθεί ότι το Ευρωπαϊκό Δικαστήριο, έκρινε ότι τα πρόστιμα που επιβάλλονται από τις ουγγρικές Αρχές, είναι δυσανάλογα προς τη ζημία που υφίσταται το κράτος από την απώλεια των εσόδων εξαιτίας της μη πληρωμής των τελών διέλευσης (διοδίων) από τους αυτοκινητιστές. Για παράδειγμα, τον Σεπτέμβριο 2014 επεβλήθη πρόστιμο ύψους HUF 165.000 επειδή ο αυτοκινητιστής έκανε χρήση μεγαλύτερου τμήματος της εθνικής οδού, από αυτό που αρχικά είχε προπληρώσει, δηλαδή επειδή δεν είχε πληρώσει επιπλέον ποσό HUF 324. Σε άλλη περίπτωση, ο οδηγός κατά λάθος χρησιμοποίησε άλλη έξοδο της εθνικής οδού από αυτήν που είχε αρχικά δηλώσει και παρότι πλήρωσε αμέσως το επιπλέον ποσό των HUF1.597, εντούτοις του επιβλήθηκε πρόστιμο ύψους HUF140.000. Το Ευρωπαϊκό Δικαστήριο έκρινε τα πρόστιμα που επιβλήθηκαν στις παραπάνω υποθέσεις ως υπερβολικά. Για το λόγο αυτό, η</w:t>
      </w:r>
      <w:r w:rsidR="00734C41" w:rsidRPr="00466073">
        <w:rPr>
          <w:rFonts w:asciiTheme="minorHAnsi" w:hAnsiTheme="minorHAnsi" w:cstheme="minorHAnsi"/>
          <w:color w:val="000000" w:themeColor="text1"/>
          <w:lang w:val="el-GR"/>
        </w:rPr>
        <w:t xml:space="preserve"> κυβέρνηση προετοιμάζει </w:t>
      </w:r>
      <w:r w:rsidR="00734C41" w:rsidRPr="00466073">
        <w:rPr>
          <w:rFonts w:asciiTheme="minorHAnsi" w:hAnsiTheme="minorHAnsi" w:cstheme="minorHAnsi"/>
          <w:color w:val="000000" w:themeColor="text1"/>
          <w:lang w:val="el-GR"/>
        </w:rPr>
        <w:lastRenderedPageBreak/>
        <w:t>νομοσχέδιο σύμφωνα με το οποίο θα μειωθεί το ύψος των προστίμων που επιβάλλεται σε αυτοκινητιστές που χρησιμοποιούν τους αυτοκινητοδρόμους ταχείας κυκλοφορίας της Ουγγαρίας χωρίς να έχουν προπληρώσει το αντίτιμο διέλευσης (διόδια). Πάντως, σύμφωνα με το νέο νομοσχέδιο, το πρόστιμο δεν μπορεί να υπερβαίνει τα HUF24.000-40.000, εφόσον αυτό πληρωθεί εντός δύο ωρών από την παράβαση. Εάν ο παραβάτης αυτοκινητιστής δεν καταβάλει το πρόστιμο εντός δύο ωρών, αυτό προσαυξάνεται, για τις επόμενες έξι ώρες στα HUF140.000-165.000 ενώ για πάνω από 8 ώρες μετά την παράβαση, το πρόστιμο που θα επιβληθεί θα κυμαίνεται μεταξύ HUF250.000-300.000.</w:t>
      </w:r>
    </w:p>
    <w:p w:rsidR="00734C41" w:rsidRPr="00466073" w:rsidRDefault="00734C41" w:rsidP="00734C41">
      <w:pPr>
        <w:ind w:left="630"/>
        <w:rPr>
          <w:rFonts w:asciiTheme="minorHAnsi" w:hAnsiTheme="minorHAnsi" w:cstheme="minorHAnsi"/>
          <w:color w:val="000000"/>
          <w:lang w:val="el-GR"/>
        </w:rPr>
      </w:pPr>
    </w:p>
    <w:p w:rsidR="00CC6A73" w:rsidRPr="00466073" w:rsidRDefault="00C66722" w:rsidP="00CC6A73">
      <w:pPr>
        <w:spacing w:after="120"/>
        <w:rPr>
          <w:rFonts w:asciiTheme="minorHAnsi" w:hAnsiTheme="minorHAnsi" w:cstheme="minorHAnsi"/>
          <w:b/>
          <w:bCs/>
          <w:color w:val="000000" w:themeColor="text1"/>
          <w:lang w:val="el-GR"/>
        </w:rPr>
      </w:pPr>
      <w:r>
        <w:rPr>
          <w:rFonts w:asciiTheme="minorHAnsi" w:hAnsiTheme="minorHAnsi" w:cstheme="minorHAnsi"/>
          <w:b/>
          <w:bCs/>
          <w:color w:val="000000" w:themeColor="text1"/>
          <w:lang w:val="el-GR"/>
        </w:rPr>
        <w:t xml:space="preserve"> </w:t>
      </w:r>
      <w:r w:rsidR="00CC6A73" w:rsidRPr="00466073">
        <w:rPr>
          <w:rFonts w:asciiTheme="minorHAnsi" w:hAnsiTheme="minorHAnsi" w:cstheme="minorHAnsi"/>
          <w:b/>
          <w:bCs/>
          <w:color w:val="000000" w:themeColor="text1"/>
          <w:lang w:val="el-GR"/>
        </w:rPr>
        <w:t>Ανάλυση οικονομίας ανά τομέα δραστηριότητας</w:t>
      </w:r>
    </w:p>
    <w:p w:rsidR="00D43531" w:rsidRPr="00466073" w:rsidRDefault="001468A3" w:rsidP="00D43531">
      <w:pPr>
        <w:jc w:val="both"/>
        <w:rPr>
          <w:rFonts w:asciiTheme="minorHAnsi" w:hAnsiTheme="minorHAnsi" w:cstheme="minorHAnsi"/>
          <w:lang w:val="hu-HU"/>
        </w:rPr>
      </w:pPr>
      <w:r w:rsidRPr="00466073">
        <w:rPr>
          <w:rFonts w:asciiTheme="minorHAnsi" w:hAnsiTheme="minorHAnsi" w:cstheme="minorHAnsi"/>
          <w:lang w:val="el-GR"/>
        </w:rPr>
        <w:t>Τα πρώτα χρόνια μετά την παγκόσμια οικονομική κρίση</w:t>
      </w:r>
      <w:r w:rsidR="00D444DC" w:rsidRPr="00466073">
        <w:rPr>
          <w:rFonts w:asciiTheme="minorHAnsi" w:hAnsiTheme="minorHAnsi" w:cstheme="minorHAnsi"/>
          <w:lang w:val="el-GR"/>
        </w:rPr>
        <w:t>, ο</w:t>
      </w:r>
      <w:r w:rsidR="00857F0A" w:rsidRPr="00466073">
        <w:rPr>
          <w:rFonts w:asciiTheme="minorHAnsi" w:hAnsiTheme="minorHAnsi" w:cstheme="minorHAnsi"/>
          <w:lang w:val="el-GR"/>
        </w:rPr>
        <w:t xml:space="preserve"> ρυθμός οικονομικής ανάπτυξης της Ουγγαρίας, εμφ</w:t>
      </w:r>
      <w:r w:rsidR="00006CFB" w:rsidRPr="00466073">
        <w:rPr>
          <w:rFonts w:asciiTheme="minorHAnsi" w:hAnsiTheme="minorHAnsi" w:cstheme="minorHAnsi"/>
          <w:lang w:val="el-GR"/>
        </w:rPr>
        <w:t>άνι</w:t>
      </w:r>
      <w:r w:rsidRPr="00466073">
        <w:rPr>
          <w:rFonts w:asciiTheme="minorHAnsi" w:hAnsiTheme="minorHAnsi" w:cstheme="minorHAnsi"/>
          <w:lang w:val="el-GR"/>
        </w:rPr>
        <w:t>σ</w:t>
      </w:r>
      <w:r w:rsidR="00006CFB" w:rsidRPr="00466073">
        <w:rPr>
          <w:rFonts w:asciiTheme="minorHAnsi" w:hAnsiTheme="minorHAnsi" w:cstheme="minorHAnsi"/>
          <w:lang w:val="el-GR"/>
        </w:rPr>
        <w:t>ε</w:t>
      </w:r>
      <w:r w:rsidR="00857F0A" w:rsidRPr="00466073">
        <w:rPr>
          <w:rFonts w:asciiTheme="minorHAnsi" w:hAnsiTheme="minorHAnsi" w:cstheme="minorHAnsi"/>
          <w:lang w:val="el-GR"/>
        </w:rPr>
        <w:t xml:space="preserve"> πτωτική </w:t>
      </w:r>
      <w:r w:rsidR="00D444DC" w:rsidRPr="00466073">
        <w:rPr>
          <w:rFonts w:asciiTheme="minorHAnsi" w:hAnsiTheme="minorHAnsi" w:cstheme="minorHAnsi"/>
          <w:lang w:val="el-GR"/>
        </w:rPr>
        <w:t>τάση</w:t>
      </w:r>
      <w:r w:rsidR="00857F0A" w:rsidRPr="00466073">
        <w:rPr>
          <w:rFonts w:asciiTheme="minorHAnsi" w:hAnsiTheme="minorHAnsi" w:cstheme="minorHAnsi"/>
          <w:lang w:val="el-GR"/>
        </w:rPr>
        <w:t xml:space="preserve"> </w:t>
      </w:r>
      <w:r w:rsidR="00D444DC" w:rsidRPr="00466073">
        <w:rPr>
          <w:rFonts w:asciiTheme="minorHAnsi" w:hAnsiTheme="minorHAnsi" w:cstheme="minorHAnsi"/>
          <w:lang w:val="el-GR"/>
        </w:rPr>
        <w:t>(από 4</w:t>
      </w:r>
      <w:r w:rsidR="00AF28FE" w:rsidRPr="00466073">
        <w:rPr>
          <w:rFonts w:asciiTheme="minorHAnsi" w:hAnsiTheme="minorHAnsi" w:cstheme="minorHAnsi"/>
          <w:lang w:val="el-GR"/>
        </w:rPr>
        <w:t>,2% το 2014 σε 3,8% το 2015 και 2,2</w:t>
      </w:r>
      <w:r w:rsidR="00D444DC" w:rsidRPr="00466073">
        <w:rPr>
          <w:rFonts w:asciiTheme="minorHAnsi" w:hAnsiTheme="minorHAnsi" w:cstheme="minorHAnsi"/>
          <w:lang w:val="el-GR"/>
        </w:rPr>
        <w:t>% το 2016)</w:t>
      </w:r>
      <w:r w:rsidRPr="00466073">
        <w:rPr>
          <w:rFonts w:asciiTheme="minorHAnsi" w:hAnsiTheme="minorHAnsi" w:cstheme="minorHAnsi"/>
          <w:lang w:val="el-GR"/>
        </w:rPr>
        <w:t>.</w:t>
      </w:r>
      <w:r w:rsidR="00006CFB" w:rsidRPr="00466073">
        <w:rPr>
          <w:rFonts w:asciiTheme="minorHAnsi" w:hAnsiTheme="minorHAnsi" w:cstheme="minorHAnsi"/>
          <w:lang w:val="el-GR"/>
        </w:rPr>
        <w:t xml:space="preserve"> </w:t>
      </w:r>
      <w:r w:rsidRPr="00466073">
        <w:rPr>
          <w:rFonts w:asciiTheme="minorHAnsi" w:hAnsiTheme="minorHAnsi" w:cstheme="minorHAnsi"/>
          <w:lang w:val="el-GR"/>
        </w:rPr>
        <w:t>Ό</w:t>
      </w:r>
      <w:r w:rsidR="00006CFB" w:rsidRPr="00466073">
        <w:rPr>
          <w:rFonts w:asciiTheme="minorHAnsi" w:hAnsiTheme="minorHAnsi" w:cstheme="minorHAnsi"/>
          <w:lang w:val="el-GR"/>
        </w:rPr>
        <w:t>μως το 2017 κα</w:t>
      </w:r>
      <w:r w:rsidR="00AF28FE" w:rsidRPr="00466073">
        <w:rPr>
          <w:rFonts w:asciiTheme="minorHAnsi" w:hAnsiTheme="minorHAnsi" w:cstheme="minorHAnsi"/>
          <w:lang w:val="el-GR"/>
        </w:rPr>
        <w:t>τέγραψε σημαντική αύξηση στο 4,3</w:t>
      </w:r>
      <w:r w:rsidR="00006CFB" w:rsidRPr="00466073">
        <w:rPr>
          <w:rFonts w:asciiTheme="minorHAnsi" w:hAnsiTheme="minorHAnsi" w:cstheme="minorHAnsi"/>
          <w:lang w:val="el-GR"/>
        </w:rPr>
        <w:t>%</w:t>
      </w:r>
      <w:r w:rsidR="002A0FEF" w:rsidRPr="00466073">
        <w:rPr>
          <w:rFonts w:asciiTheme="minorHAnsi" w:hAnsiTheme="minorHAnsi" w:cstheme="minorHAnsi"/>
          <w:lang w:val="el-GR"/>
        </w:rPr>
        <w:t xml:space="preserve"> που συνεχίστηκε </w:t>
      </w:r>
      <w:r w:rsidRPr="00466073">
        <w:rPr>
          <w:rFonts w:asciiTheme="minorHAnsi" w:hAnsiTheme="minorHAnsi" w:cstheme="minorHAnsi"/>
          <w:lang w:val="el-GR"/>
        </w:rPr>
        <w:t xml:space="preserve">μέχρι </w:t>
      </w:r>
      <w:r w:rsidR="002A0FEF" w:rsidRPr="00466073">
        <w:rPr>
          <w:rFonts w:asciiTheme="minorHAnsi" w:hAnsiTheme="minorHAnsi" w:cstheme="minorHAnsi"/>
          <w:lang w:val="el-GR"/>
        </w:rPr>
        <w:t>και το 201</w:t>
      </w:r>
      <w:r w:rsidRPr="00466073">
        <w:rPr>
          <w:rFonts w:asciiTheme="minorHAnsi" w:hAnsiTheme="minorHAnsi" w:cstheme="minorHAnsi"/>
          <w:lang w:val="el-GR"/>
        </w:rPr>
        <w:t>9</w:t>
      </w:r>
      <w:r w:rsidR="002A0FEF" w:rsidRPr="00466073">
        <w:rPr>
          <w:rFonts w:asciiTheme="minorHAnsi" w:hAnsiTheme="minorHAnsi" w:cstheme="minorHAnsi"/>
          <w:lang w:val="el-GR"/>
        </w:rPr>
        <w:t xml:space="preserve"> (</w:t>
      </w:r>
      <w:r w:rsidRPr="00466073">
        <w:rPr>
          <w:rFonts w:asciiTheme="minorHAnsi" w:hAnsiTheme="minorHAnsi" w:cstheme="minorHAnsi"/>
          <w:lang w:val="el-GR"/>
        </w:rPr>
        <w:t>4</w:t>
      </w:r>
      <w:r w:rsidR="002A0FEF" w:rsidRPr="00466073">
        <w:rPr>
          <w:rFonts w:asciiTheme="minorHAnsi" w:hAnsiTheme="minorHAnsi" w:cstheme="minorHAnsi"/>
          <w:lang w:val="el-GR"/>
        </w:rPr>
        <w:t>,</w:t>
      </w:r>
      <w:r w:rsidRPr="00466073">
        <w:rPr>
          <w:rFonts w:asciiTheme="minorHAnsi" w:hAnsiTheme="minorHAnsi" w:cstheme="minorHAnsi"/>
          <w:lang w:val="el-GR"/>
        </w:rPr>
        <w:t>9</w:t>
      </w:r>
      <w:r w:rsidR="002A0FEF" w:rsidRPr="00466073">
        <w:rPr>
          <w:rFonts w:asciiTheme="minorHAnsi" w:hAnsiTheme="minorHAnsi" w:cstheme="minorHAnsi"/>
          <w:lang w:val="el-GR"/>
        </w:rPr>
        <w:t>%)</w:t>
      </w:r>
      <w:r w:rsidR="00006CFB" w:rsidRPr="00466073">
        <w:rPr>
          <w:rFonts w:asciiTheme="minorHAnsi" w:hAnsiTheme="minorHAnsi" w:cstheme="minorHAnsi"/>
          <w:lang w:val="el-GR"/>
        </w:rPr>
        <w:t xml:space="preserve">. Πάντως, συγκριτικά </w:t>
      </w:r>
      <w:r w:rsidR="00D444DC" w:rsidRPr="00466073">
        <w:rPr>
          <w:rFonts w:asciiTheme="minorHAnsi" w:hAnsiTheme="minorHAnsi" w:cstheme="minorHAnsi"/>
          <w:lang w:val="el-GR"/>
        </w:rPr>
        <w:t>με το διεθνή μέσο όρο</w:t>
      </w:r>
      <w:r w:rsidR="00006CFB" w:rsidRPr="00466073">
        <w:rPr>
          <w:rFonts w:asciiTheme="minorHAnsi" w:hAnsiTheme="minorHAnsi" w:cstheme="minorHAnsi"/>
          <w:lang w:val="el-GR"/>
        </w:rPr>
        <w:t xml:space="preserve"> των τελευταίων ετών</w:t>
      </w:r>
      <w:r w:rsidR="00D444DC" w:rsidRPr="00466073">
        <w:rPr>
          <w:rFonts w:asciiTheme="minorHAnsi" w:hAnsiTheme="minorHAnsi" w:cstheme="minorHAnsi"/>
          <w:lang w:val="el-GR"/>
        </w:rPr>
        <w:t>, διαπιστώνουμε ότι η Ουγγαρία επέτυχε ρυθμούς ανάπτυξης υψηλότερους του μέσου όρου της Ε.Ε</w:t>
      </w:r>
      <w:r w:rsidR="00316723" w:rsidRPr="00466073">
        <w:rPr>
          <w:rFonts w:asciiTheme="minorHAnsi" w:hAnsiTheme="minorHAnsi" w:cstheme="minorHAnsi"/>
          <w:lang w:val="el-GR"/>
        </w:rPr>
        <w:t>.</w:t>
      </w:r>
      <w:r w:rsidR="0042481C" w:rsidRPr="00466073">
        <w:rPr>
          <w:rFonts w:asciiTheme="minorHAnsi" w:hAnsiTheme="minorHAnsi" w:cstheme="minorHAnsi"/>
          <w:lang w:val="hu-HU"/>
        </w:rPr>
        <w:t xml:space="preserve"> </w:t>
      </w:r>
      <w:r w:rsidR="00D444DC" w:rsidRPr="00466073">
        <w:rPr>
          <w:rFonts w:asciiTheme="minorHAnsi" w:hAnsiTheme="minorHAnsi" w:cstheme="minorHAnsi"/>
          <w:lang w:val="el-GR"/>
        </w:rPr>
        <w:t xml:space="preserve"> </w:t>
      </w:r>
      <w:r w:rsidRPr="00466073">
        <w:rPr>
          <w:rFonts w:asciiTheme="minorHAnsi" w:hAnsiTheme="minorHAnsi" w:cstheme="minorHAnsi"/>
          <w:lang w:val="el-GR"/>
        </w:rPr>
        <w:t>Αναλυτές αποδίδουν τον υψηλό ρυθμό ανάπτυξης της ουγγρικής οικονομίας στα κονδύλια της ΕΕ που εισρέουν στη χώρα</w:t>
      </w:r>
      <w:r w:rsidR="00921FE9" w:rsidRPr="00466073">
        <w:rPr>
          <w:rFonts w:asciiTheme="minorHAnsi" w:hAnsiTheme="minorHAnsi" w:cstheme="minorHAnsi"/>
          <w:lang w:val="el-GR"/>
        </w:rPr>
        <w:t xml:space="preserve"> και τα οποία δρουν ευεργετικά</w:t>
      </w:r>
      <w:r w:rsidRPr="00466073">
        <w:rPr>
          <w:rFonts w:asciiTheme="minorHAnsi" w:hAnsiTheme="minorHAnsi" w:cstheme="minorHAnsi"/>
          <w:lang w:val="el-GR"/>
        </w:rPr>
        <w:t xml:space="preserve">. Συνολικά, το 2018, €4,4 </w:t>
      </w:r>
      <w:proofErr w:type="spellStart"/>
      <w:r w:rsidRPr="00466073">
        <w:rPr>
          <w:rFonts w:asciiTheme="minorHAnsi" w:hAnsiTheme="minorHAnsi" w:cstheme="minorHAnsi"/>
          <w:lang w:val="el-GR"/>
        </w:rPr>
        <w:t>δι</w:t>
      </w:r>
      <w:r w:rsidR="00921FE9" w:rsidRPr="00466073">
        <w:rPr>
          <w:rFonts w:asciiTheme="minorHAnsi" w:hAnsiTheme="minorHAnsi" w:cstheme="minorHAnsi"/>
          <w:lang w:val="el-GR"/>
        </w:rPr>
        <w:t>σεκ</w:t>
      </w:r>
      <w:proofErr w:type="spellEnd"/>
      <w:r w:rsidR="00921FE9" w:rsidRPr="00466073">
        <w:rPr>
          <w:rFonts w:asciiTheme="minorHAnsi" w:hAnsiTheme="minorHAnsi" w:cstheme="minorHAnsi"/>
          <w:lang w:val="el-GR"/>
        </w:rPr>
        <w:t>.</w:t>
      </w:r>
      <w:r w:rsidRPr="00466073">
        <w:rPr>
          <w:rFonts w:asciiTheme="minorHAnsi" w:hAnsiTheme="minorHAnsi" w:cstheme="minorHAnsi"/>
          <w:lang w:val="el-GR"/>
        </w:rPr>
        <w:t xml:space="preserve"> ευρωπαϊκών κεφαλαίων εισέρευσαν στην Ουγγαρία</w:t>
      </w:r>
      <w:r w:rsidR="00921FE9" w:rsidRPr="00466073">
        <w:rPr>
          <w:rFonts w:asciiTheme="minorHAnsi" w:hAnsiTheme="minorHAnsi" w:cstheme="minorHAnsi"/>
          <w:lang w:val="el-GR"/>
        </w:rPr>
        <w:t>.</w:t>
      </w:r>
      <w:r w:rsidRPr="00466073">
        <w:rPr>
          <w:rFonts w:asciiTheme="minorHAnsi" w:hAnsiTheme="minorHAnsi" w:cstheme="minorHAnsi"/>
          <w:lang w:val="el-GR"/>
        </w:rPr>
        <w:t xml:space="preserve"> Από τα διαθέσιμα ευρωπαϊκά κονδύλια του Δημοσιονομικού Πλαισίου 2014-2020, η Ουγγαρία απορρόφησε το 31%, ξεπερνώντας τον ευρωπαϊκό μέσο όρο απορρόφησης (27%). </w:t>
      </w:r>
      <w:r w:rsidR="00921FE9" w:rsidRPr="00466073">
        <w:rPr>
          <w:rFonts w:asciiTheme="minorHAnsi" w:hAnsiTheme="minorHAnsi" w:cstheme="minorHAnsi"/>
          <w:lang w:val="el-GR"/>
        </w:rPr>
        <w:t>Τον Δεκέμβριο 2019, σ</w:t>
      </w:r>
      <w:r w:rsidRPr="00466073">
        <w:rPr>
          <w:rFonts w:asciiTheme="minorHAnsi" w:hAnsiTheme="minorHAnsi" w:cstheme="minorHAnsi"/>
          <w:lang w:val="el-GR"/>
        </w:rPr>
        <w:t xml:space="preserve">ύμφωνα με </w:t>
      </w:r>
      <w:r w:rsidR="00921FE9" w:rsidRPr="00466073">
        <w:rPr>
          <w:rFonts w:asciiTheme="minorHAnsi" w:hAnsiTheme="minorHAnsi" w:cstheme="minorHAnsi"/>
          <w:lang w:val="el-GR"/>
        </w:rPr>
        <w:t xml:space="preserve">στοιχεία </w:t>
      </w:r>
      <w:r w:rsidRPr="00466073">
        <w:rPr>
          <w:rFonts w:asciiTheme="minorHAnsi" w:hAnsiTheme="minorHAnsi" w:cstheme="minorHAnsi"/>
          <w:lang w:val="el-GR"/>
        </w:rPr>
        <w:t xml:space="preserve">της Κεντρικής Τράπεζας Ουγγαρίας, το πλεόνασμα του Ισοζυγίου Τρεχουσών Συναλλαγών </w:t>
      </w:r>
      <w:r w:rsidR="00921FE9" w:rsidRPr="00466073">
        <w:rPr>
          <w:rFonts w:asciiTheme="minorHAnsi" w:hAnsiTheme="minorHAnsi" w:cstheme="minorHAnsi"/>
          <w:lang w:val="el-GR"/>
        </w:rPr>
        <w:t xml:space="preserve">διευρύνθηκε </w:t>
      </w:r>
      <w:r w:rsidRPr="00466073">
        <w:rPr>
          <w:rFonts w:asciiTheme="minorHAnsi" w:hAnsiTheme="minorHAnsi" w:cstheme="minorHAnsi"/>
          <w:lang w:val="el-GR"/>
        </w:rPr>
        <w:t>στα €271 εκ.</w:t>
      </w:r>
      <w:r w:rsidR="00921FE9" w:rsidRPr="00466073">
        <w:rPr>
          <w:rFonts w:asciiTheme="minorHAnsi" w:hAnsiTheme="minorHAnsi" w:cstheme="minorHAnsi"/>
          <w:lang w:val="el-GR"/>
        </w:rPr>
        <w:t xml:space="preserve">, ως αποτέλεσμα των </w:t>
      </w:r>
      <w:r w:rsidRPr="00466073">
        <w:rPr>
          <w:rFonts w:asciiTheme="minorHAnsi" w:hAnsiTheme="minorHAnsi" w:cstheme="minorHAnsi"/>
          <w:lang w:val="el-GR"/>
        </w:rPr>
        <w:t>αυξημέν</w:t>
      </w:r>
      <w:r w:rsidR="00921FE9" w:rsidRPr="00466073">
        <w:rPr>
          <w:rFonts w:asciiTheme="minorHAnsi" w:hAnsiTheme="minorHAnsi" w:cstheme="minorHAnsi"/>
          <w:lang w:val="el-GR"/>
        </w:rPr>
        <w:t>ων</w:t>
      </w:r>
      <w:r w:rsidRPr="00466073">
        <w:rPr>
          <w:rFonts w:asciiTheme="minorHAnsi" w:hAnsiTheme="minorHAnsi" w:cstheme="minorHAnsi"/>
          <w:lang w:val="el-GR"/>
        </w:rPr>
        <w:t xml:space="preserve"> εισρο</w:t>
      </w:r>
      <w:r w:rsidR="00921FE9" w:rsidRPr="00466073">
        <w:rPr>
          <w:rFonts w:asciiTheme="minorHAnsi" w:hAnsiTheme="minorHAnsi" w:cstheme="minorHAnsi"/>
          <w:lang w:val="el-GR"/>
        </w:rPr>
        <w:t>ών</w:t>
      </w:r>
      <w:r w:rsidRPr="00466073">
        <w:rPr>
          <w:rFonts w:asciiTheme="minorHAnsi" w:hAnsiTheme="minorHAnsi" w:cstheme="minorHAnsi"/>
          <w:lang w:val="el-GR"/>
        </w:rPr>
        <w:t xml:space="preserve"> ευρωπαϊκών κονδυλίων</w:t>
      </w:r>
      <w:r w:rsidR="00921FE9" w:rsidRPr="00466073">
        <w:rPr>
          <w:rFonts w:asciiTheme="minorHAnsi" w:hAnsiTheme="minorHAnsi" w:cstheme="minorHAnsi"/>
          <w:lang w:val="el-GR"/>
        </w:rPr>
        <w:t>.</w:t>
      </w:r>
      <w:r w:rsidRPr="00466073">
        <w:rPr>
          <w:rFonts w:asciiTheme="minorHAnsi" w:hAnsiTheme="minorHAnsi" w:cstheme="minorHAnsi"/>
          <w:lang w:val="el-GR"/>
        </w:rPr>
        <w:t xml:space="preserve"> </w:t>
      </w:r>
      <w:r w:rsidR="00D43531" w:rsidRPr="00466073">
        <w:rPr>
          <w:rFonts w:asciiTheme="minorHAnsi" w:hAnsiTheme="minorHAnsi" w:cstheme="minorHAnsi"/>
          <w:lang w:val="el-GR"/>
        </w:rPr>
        <w:t xml:space="preserve"> Την διετία 2020-2021 </w:t>
      </w:r>
      <w:r w:rsidR="00AD3B36" w:rsidRPr="00466073">
        <w:rPr>
          <w:rFonts w:asciiTheme="minorHAnsi" w:hAnsiTheme="minorHAnsi" w:cstheme="minorHAnsi"/>
          <w:lang w:val="el-GR"/>
        </w:rPr>
        <w:t>το Ισοζύγιο</w:t>
      </w:r>
      <w:r w:rsidR="00D43531" w:rsidRPr="00466073">
        <w:rPr>
          <w:rFonts w:asciiTheme="minorHAnsi" w:hAnsiTheme="minorHAnsi" w:cstheme="minorHAnsi"/>
          <w:lang w:val="el-GR"/>
        </w:rPr>
        <w:t xml:space="preserve"> Τρεχουσών Συναλλαγών </w:t>
      </w:r>
      <w:r w:rsidR="00AD3B36" w:rsidRPr="00466073">
        <w:rPr>
          <w:rFonts w:asciiTheme="minorHAnsi" w:hAnsiTheme="minorHAnsi" w:cstheme="minorHAnsi"/>
          <w:lang w:val="el-GR"/>
        </w:rPr>
        <w:t>σαφώς επιδεινώθηκε εξαιτίας της πανδημίας. Το 2022, ο</w:t>
      </w:r>
      <w:r w:rsidR="00D43531" w:rsidRPr="00466073">
        <w:rPr>
          <w:rFonts w:asciiTheme="minorHAnsi" w:hAnsiTheme="minorHAnsi" w:cstheme="minorHAnsi"/>
          <w:lang w:val="el-GR"/>
        </w:rPr>
        <w:t xml:space="preserve">ι δείκτες εξωτερικού ισοζυγίου </w:t>
      </w:r>
      <w:r w:rsidR="00AD3B36" w:rsidRPr="00466073">
        <w:rPr>
          <w:rFonts w:asciiTheme="minorHAnsi" w:hAnsiTheme="minorHAnsi" w:cstheme="minorHAnsi"/>
          <w:lang w:val="el-GR"/>
        </w:rPr>
        <w:t xml:space="preserve">της ουγγρικής οικονομίας </w:t>
      </w:r>
      <w:r w:rsidR="00D43531" w:rsidRPr="00466073">
        <w:rPr>
          <w:rFonts w:asciiTheme="minorHAnsi" w:hAnsiTheme="minorHAnsi" w:cstheme="minorHAnsi"/>
          <w:lang w:val="el-GR"/>
        </w:rPr>
        <w:t>επιδεινώθηκ</w:t>
      </w:r>
      <w:r w:rsidR="00AD3B36" w:rsidRPr="00466073">
        <w:rPr>
          <w:rFonts w:asciiTheme="minorHAnsi" w:hAnsiTheme="minorHAnsi" w:cstheme="minorHAnsi"/>
          <w:lang w:val="el-GR"/>
        </w:rPr>
        <w:t>αν, εξαιτίας του άλματος των τιμών της ενέργειας.</w:t>
      </w:r>
      <w:r w:rsidR="00D43531" w:rsidRPr="00466073">
        <w:rPr>
          <w:rFonts w:asciiTheme="minorHAnsi" w:hAnsiTheme="minorHAnsi" w:cstheme="minorHAnsi"/>
          <w:lang w:val="el-GR"/>
        </w:rPr>
        <w:t xml:space="preserve"> Η εξωτερική χρηματοδότ</w:t>
      </w:r>
      <w:r w:rsidR="00AD3B36" w:rsidRPr="00466073">
        <w:rPr>
          <w:rFonts w:asciiTheme="minorHAnsi" w:hAnsiTheme="minorHAnsi" w:cstheme="minorHAnsi"/>
          <w:lang w:val="el-GR"/>
        </w:rPr>
        <w:t>ηση της Ουγγαρίας το 2022, προσεγγίζει τ</w:t>
      </w:r>
      <w:r w:rsidR="00D43531" w:rsidRPr="00466073">
        <w:rPr>
          <w:rFonts w:asciiTheme="minorHAnsi" w:hAnsiTheme="minorHAnsi" w:cstheme="minorHAnsi"/>
          <w:lang w:val="el-GR"/>
        </w:rPr>
        <w:t>ο</w:t>
      </w:r>
      <w:r w:rsidR="00AD3B36" w:rsidRPr="00466073">
        <w:rPr>
          <w:rFonts w:asciiTheme="minorHAnsi" w:hAnsiTheme="minorHAnsi" w:cstheme="minorHAnsi"/>
          <w:lang w:val="el-GR"/>
        </w:rPr>
        <w:t xml:space="preserve">ν μέσο  όρο των χωρών της Κ.Α. Ευρώπης, ωστόσο </w:t>
      </w:r>
      <w:r w:rsidR="00D43531" w:rsidRPr="00466073">
        <w:rPr>
          <w:rFonts w:asciiTheme="minorHAnsi" w:hAnsiTheme="minorHAnsi" w:cstheme="minorHAnsi"/>
          <w:lang w:val="el-GR"/>
        </w:rPr>
        <w:t>το ισοζύγιο τρεχουσών πληρωμών σε σχέση με το ΑΕΠ</w:t>
      </w:r>
      <w:r w:rsidR="00AD3B36" w:rsidRPr="00466073">
        <w:rPr>
          <w:rFonts w:asciiTheme="minorHAnsi" w:hAnsiTheme="minorHAnsi" w:cstheme="minorHAnsi"/>
          <w:lang w:val="el-GR"/>
        </w:rPr>
        <w:t xml:space="preserve">, </w:t>
      </w:r>
      <w:r w:rsidR="00D43531" w:rsidRPr="00466073">
        <w:rPr>
          <w:rFonts w:asciiTheme="minorHAnsi" w:hAnsiTheme="minorHAnsi" w:cstheme="minorHAnsi"/>
          <w:lang w:val="el-GR"/>
        </w:rPr>
        <w:t xml:space="preserve"> πα</w:t>
      </w:r>
      <w:r w:rsidR="00AD3B36" w:rsidRPr="00466073">
        <w:rPr>
          <w:rFonts w:asciiTheme="minorHAnsi" w:hAnsiTheme="minorHAnsi" w:cstheme="minorHAnsi"/>
          <w:lang w:val="el-GR"/>
        </w:rPr>
        <w:t xml:space="preserve">ρουσίασε έλλειμμα 8,1% και </w:t>
      </w:r>
      <w:r w:rsidR="00D43531" w:rsidRPr="00466073">
        <w:rPr>
          <w:rFonts w:asciiTheme="minorHAnsi" w:hAnsiTheme="minorHAnsi" w:cstheme="minorHAnsi"/>
          <w:lang w:val="el-GR"/>
        </w:rPr>
        <w:t>οι καθαρές χρηματοδοτικές ανάγκες της οικον</w:t>
      </w:r>
      <w:r w:rsidR="00AD3B36" w:rsidRPr="00466073">
        <w:rPr>
          <w:rFonts w:asciiTheme="minorHAnsi" w:hAnsiTheme="minorHAnsi" w:cstheme="minorHAnsi"/>
          <w:lang w:val="el-GR"/>
        </w:rPr>
        <w:t>ομίας ανήλθαν στο 6,1%</w:t>
      </w:r>
      <w:r w:rsidR="00D43531" w:rsidRPr="00466073">
        <w:rPr>
          <w:rFonts w:asciiTheme="minorHAnsi" w:hAnsiTheme="minorHAnsi" w:cstheme="minorHAnsi"/>
          <w:lang w:val="el-GR"/>
        </w:rPr>
        <w:t xml:space="preserve"> του ΑΕΠ.</w:t>
      </w:r>
    </w:p>
    <w:p w:rsidR="00D43531" w:rsidRPr="00466073" w:rsidRDefault="00D43531" w:rsidP="00D43531">
      <w:pPr>
        <w:jc w:val="both"/>
        <w:rPr>
          <w:rFonts w:asciiTheme="minorHAnsi" w:hAnsiTheme="minorHAnsi" w:cstheme="minorHAnsi"/>
          <w:lang w:val="el-GR"/>
        </w:rPr>
      </w:pPr>
      <w:r w:rsidRPr="00466073">
        <w:rPr>
          <w:rFonts w:asciiTheme="minorHAnsi" w:hAnsiTheme="minorHAnsi" w:cstheme="minorHAnsi"/>
          <w:lang w:val="el-GR"/>
        </w:rPr>
        <w:t>Η πορεία των δεικτών του εξωτερικού ισοζυγίου καθορίστηκε κυρίως από την εξέλιξη τ</w:t>
      </w:r>
      <w:r w:rsidR="00AD3B36" w:rsidRPr="00466073">
        <w:rPr>
          <w:rFonts w:asciiTheme="minorHAnsi" w:hAnsiTheme="minorHAnsi" w:cstheme="minorHAnsi"/>
          <w:lang w:val="el-GR"/>
        </w:rPr>
        <w:t xml:space="preserve">ου εξωτερικού εμπορικού ισοζυγίου : το α’ εξάμηνο του έτους η παγκόσμια έλλειψη προϊόντων υψηλής τεχνολογίας και οι </w:t>
      </w:r>
      <w:r w:rsidRPr="00466073">
        <w:rPr>
          <w:rFonts w:asciiTheme="minorHAnsi" w:hAnsiTheme="minorHAnsi" w:cstheme="minorHAnsi"/>
          <w:lang w:val="el-GR"/>
        </w:rPr>
        <w:t>διαταραχές στις αλυσίδες παραγωγής που προκαλούνται α</w:t>
      </w:r>
      <w:r w:rsidR="00AD3B36" w:rsidRPr="00466073">
        <w:rPr>
          <w:rFonts w:asciiTheme="minorHAnsi" w:hAnsiTheme="minorHAnsi" w:cstheme="minorHAnsi"/>
          <w:lang w:val="el-GR"/>
        </w:rPr>
        <w:t xml:space="preserve">πό τη </w:t>
      </w:r>
      <w:proofErr w:type="spellStart"/>
      <w:r w:rsidR="00AD3B36" w:rsidRPr="00466073">
        <w:rPr>
          <w:rFonts w:asciiTheme="minorHAnsi" w:hAnsiTheme="minorHAnsi" w:cstheme="minorHAnsi"/>
          <w:lang w:val="el-GR"/>
        </w:rPr>
        <w:t>ρωσο</w:t>
      </w:r>
      <w:proofErr w:type="spellEnd"/>
      <w:r w:rsidR="00AD3B36" w:rsidRPr="00466073">
        <w:rPr>
          <w:rFonts w:asciiTheme="minorHAnsi" w:hAnsiTheme="minorHAnsi" w:cstheme="minorHAnsi"/>
          <w:lang w:val="el-GR"/>
        </w:rPr>
        <w:t xml:space="preserve">-ουκρανική σύγκρουση </w:t>
      </w:r>
      <w:r w:rsidR="000E38D1" w:rsidRPr="00466073">
        <w:rPr>
          <w:rFonts w:asciiTheme="minorHAnsi" w:hAnsiTheme="minorHAnsi" w:cstheme="minorHAnsi"/>
          <w:lang w:val="el-GR"/>
        </w:rPr>
        <w:t>προξένησαν</w:t>
      </w:r>
      <w:r w:rsidR="00AD3B36" w:rsidRPr="00466073">
        <w:rPr>
          <w:rFonts w:asciiTheme="minorHAnsi" w:hAnsiTheme="minorHAnsi" w:cstheme="minorHAnsi"/>
          <w:lang w:val="el-GR"/>
        </w:rPr>
        <w:t xml:space="preserve">, </w:t>
      </w:r>
      <w:r w:rsidR="000E38D1" w:rsidRPr="00466073">
        <w:rPr>
          <w:rFonts w:asciiTheme="minorHAnsi" w:hAnsiTheme="minorHAnsi" w:cstheme="minorHAnsi"/>
          <w:lang w:val="el-GR"/>
        </w:rPr>
        <w:t xml:space="preserve">την αύξηση της καταναλωτικής ζήτησης από </w:t>
      </w:r>
      <w:r w:rsidR="00AD3B36" w:rsidRPr="00466073">
        <w:rPr>
          <w:rFonts w:asciiTheme="minorHAnsi" w:hAnsiTheme="minorHAnsi" w:cstheme="minorHAnsi"/>
          <w:lang w:val="el-GR"/>
        </w:rPr>
        <w:t>τα νοικοκυριά</w:t>
      </w:r>
      <w:r w:rsidR="000E38D1" w:rsidRPr="00466073">
        <w:rPr>
          <w:rFonts w:asciiTheme="minorHAnsi" w:hAnsiTheme="minorHAnsi" w:cstheme="minorHAnsi"/>
          <w:lang w:val="el-GR"/>
        </w:rPr>
        <w:t xml:space="preserve"> καθώς και την </w:t>
      </w:r>
      <w:r w:rsidRPr="00466073">
        <w:rPr>
          <w:rFonts w:asciiTheme="minorHAnsi" w:hAnsiTheme="minorHAnsi" w:cstheme="minorHAnsi"/>
          <w:lang w:val="el-GR"/>
        </w:rPr>
        <w:t>δραστική αύξηση των τιμών των πρώτων υλ</w:t>
      </w:r>
      <w:r w:rsidR="00AD3B36" w:rsidRPr="00466073">
        <w:rPr>
          <w:rFonts w:asciiTheme="minorHAnsi" w:hAnsiTheme="minorHAnsi" w:cstheme="minorHAnsi"/>
          <w:lang w:val="el-GR"/>
        </w:rPr>
        <w:t xml:space="preserve">ών και της ενέργειας, </w:t>
      </w:r>
      <w:r w:rsidR="000E38D1" w:rsidRPr="00466073">
        <w:rPr>
          <w:rFonts w:asciiTheme="minorHAnsi" w:hAnsiTheme="minorHAnsi" w:cstheme="minorHAnsi"/>
          <w:lang w:val="el-GR"/>
        </w:rPr>
        <w:t xml:space="preserve"> με αποτέλεσμα να αυξηθούν οι εισαγωγές  και να επιδεινωθεί το ισοζύγιο</w:t>
      </w:r>
      <w:r w:rsidRPr="00466073">
        <w:rPr>
          <w:rFonts w:asciiTheme="minorHAnsi" w:hAnsiTheme="minorHAnsi" w:cstheme="minorHAnsi"/>
          <w:lang w:val="el-GR"/>
        </w:rPr>
        <w:t xml:space="preserve"> εξωτερικού εμπορίου. </w:t>
      </w:r>
    </w:p>
    <w:p w:rsidR="00962930" w:rsidRPr="00466073" w:rsidRDefault="00962930" w:rsidP="00D444DC">
      <w:pPr>
        <w:jc w:val="both"/>
        <w:rPr>
          <w:rFonts w:asciiTheme="minorHAnsi" w:hAnsiTheme="minorHAnsi" w:cstheme="minorHAnsi"/>
          <w:lang w:val="el-GR"/>
        </w:rPr>
      </w:pPr>
    </w:p>
    <w:p w:rsidR="006A4158" w:rsidRPr="00466073" w:rsidRDefault="00CD7909" w:rsidP="00D444DC">
      <w:pPr>
        <w:jc w:val="both"/>
        <w:rPr>
          <w:rFonts w:asciiTheme="minorHAnsi" w:hAnsiTheme="minorHAnsi" w:cstheme="minorHAnsi"/>
          <w:lang w:val="el-GR"/>
        </w:rPr>
      </w:pPr>
      <w:r w:rsidRPr="00466073">
        <w:rPr>
          <w:rFonts w:asciiTheme="minorHAnsi" w:hAnsiTheme="minorHAnsi" w:cstheme="minorHAnsi"/>
          <w:lang w:val="hu-HU"/>
        </w:rPr>
        <w:t xml:space="preserve">Σύμφωνα με </w:t>
      </w:r>
      <w:r w:rsidRPr="00466073">
        <w:rPr>
          <w:rFonts w:asciiTheme="minorHAnsi" w:hAnsiTheme="minorHAnsi" w:cstheme="minorHAnsi"/>
          <w:lang w:val="el-GR"/>
        </w:rPr>
        <w:t>τα στοιχεία της Κεντρικής Στατιστικής Υπηρεσίας της Ουγγαρίας (Κ</w:t>
      </w:r>
      <w:r w:rsidRPr="00466073">
        <w:rPr>
          <w:rFonts w:asciiTheme="minorHAnsi" w:hAnsiTheme="minorHAnsi" w:cstheme="minorHAnsi"/>
        </w:rPr>
        <w:t>S</w:t>
      </w:r>
      <w:r w:rsidRPr="00466073">
        <w:rPr>
          <w:rFonts w:asciiTheme="minorHAnsi" w:hAnsiTheme="minorHAnsi" w:cstheme="minorHAnsi"/>
          <w:lang w:val="el-GR"/>
        </w:rPr>
        <w:t>Η)</w:t>
      </w:r>
      <w:r w:rsidRPr="00466073">
        <w:rPr>
          <w:rFonts w:asciiTheme="minorHAnsi" w:hAnsiTheme="minorHAnsi" w:cstheme="minorHAnsi"/>
          <w:lang w:val="hu-HU"/>
        </w:rPr>
        <w:t xml:space="preserve">, </w:t>
      </w:r>
      <w:r w:rsidRPr="00466073">
        <w:rPr>
          <w:rFonts w:asciiTheme="minorHAnsi" w:hAnsiTheme="minorHAnsi" w:cstheme="minorHAnsi"/>
          <w:lang w:val="el-GR"/>
        </w:rPr>
        <w:t>τ</w:t>
      </w:r>
      <w:r w:rsidRPr="00466073">
        <w:rPr>
          <w:rFonts w:asciiTheme="minorHAnsi" w:hAnsiTheme="minorHAnsi" w:cstheme="minorHAnsi"/>
          <w:lang w:val="hu-HU"/>
        </w:rPr>
        <w:t>o 2022, η αξία του ΑΕΠ σε τρέχουσες τιμές ήταν 66.387 δισ. HUF</w:t>
      </w:r>
      <w:r w:rsidRPr="00466073">
        <w:rPr>
          <w:rFonts w:asciiTheme="minorHAnsi" w:hAnsiTheme="minorHAnsi" w:cstheme="minorHAnsi"/>
          <w:lang w:val="el-GR"/>
        </w:rPr>
        <w:t xml:space="preserve">, ενώ </w:t>
      </w:r>
      <w:r w:rsidRPr="00466073">
        <w:rPr>
          <w:rFonts w:asciiTheme="minorHAnsi" w:hAnsiTheme="minorHAnsi" w:cstheme="minorHAnsi"/>
          <w:lang w:val="hu-HU"/>
        </w:rPr>
        <w:t xml:space="preserve">ο όγκος του αυξήθηκε κατά 4,6% σε σύγκριση με το </w:t>
      </w:r>
      <w:r w:rsidRPr="00466073">
        <w:rPr>
          <w:rFonts w:asciiTheme="minorHAnsi" w:hAnsiTheme="minorHAnsi" w:cstheme="minorHAnsi"/>
          <w:lang w:val="el-GR"/>
        </w:rPr>
        <w:t xml:space="preserve">2021. </w:t>
      </w:r>
      <w:r w:rsidR="0042481C" w:rsidRPr="00466073">
        <w:rPr>
          <w:rFonts w:asciiTheme="minorHAnsi" w:hAnsiTheme="minorHAnsi" w:cstheme="minorHAnsi"/>
          <w:lang w:val="el-GR"/>
        </w:rPr>
        <w:t xml:space="preserve"> </w:t>
      </w:r>
      <w:r w:rsidR="00962930" w:rsidRPr="00466073">
        <w:rPr>
          <w:rFonts w:asciiTheme="minorHAnsi" w:hAnsiTheme="minorHAnsi" w:cstheme="minorHAnsi"/>
        </w:rPr>
        <w:t>To</w:t>
      </w:r>
      <w:r w:rsidR="00962930" w:rsidRPr="00466073">
        <w:rPr>
          <w:rFonts w:asciiTheme="minorHAnsi" w:hAnsiTheme="minorHAnsi" w:cstheme="minorHAnsi"/>
          <w:lang w:val="el-GR"/>
        </w:rPr>
        <w:t xml:space="preserve"> 2022, </w:t>
      </w:r>
      <w:r w:rsidR="00962930" w:rsidRPr="00466073">
        <w:rPr>
          <w:rFonts w:asciiTheme="minorHAnsi" w:hAnsiTheme="minorHAnsi" w:cstheme="minorHAnsi"/>
        </w:rPr>
        <w:t>o</w:t>
      </w:r>
      <w:r w:rsidR="00962930" w:rsidRPr="00466073">
        <w:rPr>
          <w:rFonts w:asciiTheme="minorHAnsi" w:hAnsiTheme="minorHAnsi" w:cstheme="minorHAnsi"/>
          <w:lang w:val="el-GR"/>
        </w:rPr>
        <w:t xml:space="preserve"> αγροτικός τομέας παρουσίασε </w:t>
      </w:r>
      <w:r w:rsidR="00DC5610" w:rsidRPr="00466073">
        <w:rPr>
          <w:rFonts w:asciiTheme="minorHAnsi" w:hAnsiTheme="minorHAnsi" w:cstheme="minorHAnsi"/>
          <w:lang w:val="el-GR"/>
        </w:rPr>
        <w:t>τεράστια</w:t>
      </w:r>
      <w:r w:rsidR="00962930" w:rsidRPr="00466073">
        <w:rPr>
          <w:rFonts w:asciiTheme="minorHAnsi" w:hAnsiTheme="minorHAnsi" w:cstheme="minorHAnsi"/>
          <w:lang w:val="el-GR"/>
        </w:rPr>
        <w:t xml:space="preserve"> πτώση</w:t>
      </w:r>
      <w:r w:rsidR="00DC5610" w:rsidRPr="00466073">
        <w:rPr>
          <w:rFonts w:asciiTheme="minorHAnsi" w:hAnsiTheme="minorHAnsi" w:cstheme="minorHAnsi"/>
          <w:lang w:val="el-GR"/>
        </w:rPr>
        <w:t xml:space="preserve"> (-31</w:t>
      </w:r>
      <w:proofErr w:type="gramStart"/>
      <w:r w:rsidR="00DC5610" w:rsidRPr="00466073">
        <w:rPr>
          <w:rFonts w:asciiTheme="minorHAnsi" w:hAnsiTheme="minorHAnsi" w:cstheme="minorHAnsi"/>
          <w:lang w:val="el-GR"/>
        </w:rPr>
        <w:t>,2</w:t>
      </w:r>
      <w:proofErr w:type="gramEnd"/>
      <w:r w:rsidR="00DC5610" w:rsidRPr="00466073">
        <w:rPr>
          <w:rFonts w:asciiTheme="minorHAnsi" w:hAnsiTheme="minorHAnsi" w:cstheme="minorHAnsi"/>
          <w:lang w:val="el-GR"/>
        </w:rPr>
        <w:t xml:space="preserve">%) στη συνεισφορά του </w:t>
      </w:r>
      <w:r w:rsidR="00D444DC" w:rsidRPr="00466073">
        <w:rPr>
          <w:rFonts w:asciiTheme="minorHAnsi" w:hAnsiTheme="minorHAnsi" w:cstheme="minorHAnsi"/>
          <w:lang w:val="el-GR"/>
        </w:rPr>
        <w:t xml:space="preserve">ΑΕΠ της χώρας, </w:t>
      </w:r>
      <w:r w:rsidR="00DC5610" w:rsidRPr="00466073">
        <w:rPr>
          <w:rFonts w:asciiTheme="minorHAnsi" w:hAnsiTheme="minorHAnsi" w:cstheme="minorHAnsi"/>
          <w:lang w:val="el-GR"/>
        </w:rPr>
        <w:t xml:space="preserve">σε αντίθεση με τον </w:t>
      </w:r>
      <w:r w:rsidRPr="00466073">
        <w:rPr>
          <w:rFonts w:asciiTheme="minorHAnsi" w:hAnsiTheme="minorHAnsi" w:cstheme="minorHAnsi"/>
          <w:lang w:val="hu-HU"/>
        </w:rPr>
        <w:t xml:space="preserve">όγκο της προστιθέμενης αξίας της βιομηχανίας </w:t>
      </w:r>
      <w:r w:rsidR="00DC5610" w:rsidRPr="00466073">
        <w:rPr>
          <w:rFonts w:asciiTheme="minorHAnsi" w:hAnsiTheme="minorHAnsi" w:cstheme="minorHAnsi"/>
          <w:lang w:val="el-GR"/>
        </w:rPr>
        <w:t xml:space="preserve">(+5,4%) </w:t>
      </w:r>
      <w:r w:rsidR="00921FE9" w:rsidRPr="00466073">
        <w:rPr>
          <w:rFonts w:asciiTheme="minorHAnsi" w:hAnsiTheme="minorHAnsi" w:cstheme="minorHAnsi"/>
          <w:lang w:val="el-GR"/>
        </w:rPr>
        <w:t>που έχει πλέον ανακάμψει από</w:t>
      </w:r>
      <w:r w:rsidR="00154639" w:rsidRPr="00466073">
        <w:rPr>
          <w:rFonts w:asciiTheme="minorHAnsi" w:hAnsiTheme="minorHAnsi" w:cstheme="minorHAnsi"/>
          <w:lang w:val="el-GR"/>
        </w:rPr>
        <w:t xml:space="preserve"> </w:t>
      </w:r>
      <w:r w:rsidR="00020EFC" w:rsidRPr="00466073">
        <w:rPr>
          <w:rFonts w:asciiTheme="minorHAnsi" w:hAnsiTheme="minorHAnsi" w:cstheme="minorHAnsi"/>
          <w:lang w:val="el-GR"/>
        </w:rPr>
        <w:t>τη μειωμένη παγκόσμια ζήτηση των προηγούμενων ετών</w:t>
      </w:r>
      <w:r w:rsidR="007738EA" w:rsidRPr="00466073">
        <w:rPr>
          <w:rFonts w:asciiTheme="minorHAnsi" w:hAnsiTheme="minorHAnsi" w:cstheme="minorHAnsi"/>
          <w:lang w:val="el-GR"/>
        </w:rPr>
        <w:t>.</w:t>
      </w:r>
      <w:r w:rsidR="00DC5610" w:rsidRPr="00466073">
        <w:rPr>
          <w:rFonts w:asciiTheme="minorHAnsi" w:hAnsiTheme="minorHAnsi" w:cstheme="minorHAnsi"/>
          <w:lang w:val="el-GR"/>
        </w:rPr>
        <w:t xml:space="preserve"> </w:t>
      </w:r>
      <w:r w:rsidR="00280B59" w:rsidRPr="00466073">
        <w:rPr>
          <w:rFonts w:asciiTheme="minorHAnsi" w:hAnsiTheme="minorHAnsi" w:cstheme="minorHAnsi"/>
          <w:lang w:val="el-GR"/>
        </w:rPr>
        <w:t xml:space="preserve"> </w:t>
      </w:r>
      <w:r w:rsidR="006A4158" w:rsidRPr="00466073">
        <w:rPr>
          <w:rFonts w:asciiTheme="minorHAnsi" w:hAnsiTheme="minorHAnsi" w:cstheme="minorHAnsi"/>
          <w:lang w:val="el-GR"/>
        </w:rPr>
        <w:t xml:space="preserve">Ο κλάδος της </w:t>
      </w:r>
      <w:r w:rsidR="006A4158" w:rsidRPr="00466073">
        <w:rPr>
          <w:rFonts w:asciiTheme="minorHAnsi" w:hAnsiTheme="minorHAnsi" w:cstheme="minorHAnsi"/>
          <w:b/>
          <w:lang w:val="el-GR"/>
        </w:rPr>
        <w:t>αυτοκινητοβιομηχανίας</w:t>
      </w:r>
      <w:r w:rsidR="006A4158" w:rsidRPr="00466073">
        <w:rPr>
          <w:rFonts w:asciiTheme="minorHAnsi" w:hAnsiTheme="minorHAnsi" w:cstheme="minorHAnsi"/>
          <w:lang w:val="el-GR"/>
        </w:rPr>
        <w:t xml:space="preserve"> που αποτελεί και την ατμομηχανή της ουγγρικής οικονομίας,</w:t>
      </w:r>
      <w:r w:rsidR="006A4158" w:rsidRPr="00466073">
        <w:rPr>
          <w:rFonts w:asciiTheme="minorHAnsi" w:hAnsiTheme="minorHAnsi" w:cstheme="minorHAnsi"/>
          <w:lang w:val="hu-HU"/>
        </w:rPr>
        <w:t xml:space="preserve"> </w:t>
      </w:r>
      <w:r w:rsidR="006A4158" w:rsidRPr="00466073">
        <w:rPr>
          <w:rFonts w:asciiTheme="minorHAnsi" w:hAnsiTheme="minorHAnsi" w:cstheme="minorHAnsi"/>
          <w:lang w:val="el-GR"/>
        </w:rPr>
        <w:t>τ</w:t>
      </w:r>
      <w:r w:rsidR="006A4158" w:rsidRPr="00466073">
        <w:rPr>
          <w:rFonts w:asciiTheme="minorHAnsi" w:hAnsiTheme="minorHAnsi" w:cstheme="minorHAnsi"/>
          <w:lang w:val="hu-HU"/>
        </w:rPr>
        <w:t>o 2020</w:t>
      </w:r>
      <w:r w:rsidR="00C66722">
        <w:rPr>
          <w:rFonts w:asciiTheme="minorHAnsi" w:hAnsiTheme="minorHAnsi" w:cstheme="minorHAnsi"/>
          <w:lang w:val="el-GR"/>
        </w:rPr>
        <w:t xml:space="preserve"> παρουσίασε </w:t>
      </w:r>
      <w:r w:rsidR="006A4158" w:rsidRPr="00466073">
        <w:rPr>
          <w:rFonts w:asciiTheme="minorHAnsi" w:hAnsiTheme="minorHAnsi" w:cstheme="minorHAnsi"/>
          <w:lang w:val="el-GR"/>
        </w:rPr>
        <w:t>κάμψη των πωλήσεων νέων αυτοκινήτων κατά 5</w:t>
      </w:r>
      <w:r w:rsidR="006A4158" w:rsidRPr="00466073">
        <w:rPr>
          <w:rFonts w:asciiTheme="minorHAnsi" w:hAnsiTheme="minorHAnsi" w:cstheme="minorHAnsi"/>
          <w:lang w:val="hu-HU"/>
        </w:rPr>
        <w:t>0</w:t>
      </w:r>
      <w:r w:rsidR="006A4158" w:rsidRPr="00466073">
        <w:rPr>
          <w:rFonts w:asciiTheme="minorHAnsi" w:hAnsiTheme="minorHAnsi" w:cstheme="minorHAnsi"/>
          <w:lang w:val="el-GR"/>
        </w:rPr>
        <w:t xml:space="preserve">% εξαιτίας της πανδημίας και κάμψη κατά 38% το 2021 εξαιτίας της έλλειψης κύριων εξαρτημάτων λογισμικού τους στην παγκόσμια αγορά, ενώ το 2022 σημειώθηκε αύξηση της τάξης του 34%. Στον </w:t>
      </w:r>
      <w:r w:rsidR="006A4158" w:rsidRPr="00466073">
        <w:rPr>
          <w:rFonts w:asciiTheme="minorHAnsi" w:hAnsiTheme="minorHAnsi" w:cstheme="minorHAnsi"/>
          <w:b/>
          <w:lang w:val="el-GR"/>
        </w:rPr>
        <w:t>κατασκευαστικό</w:t>
      </w:r>
      <w:r w:rsidR="006A4158" w:rsidRPr="00466073">
        <w:rPr>
          <w:rFonts w:asciiTheme="minorHAnsi" w:hAnsiTheme="minorHAnsi" w:cstheme="minorHAnsi"/>
          <w:lang w:val="el-GR"/>
        </w:rPr>
        <w:t xml:space="preserve"> κλάδο, το 2020 παρατηρήθηκε μείωση δραστηριοτήτων κατά 20-30%, κυρίως εξαιτίας της έλλειψης </w:t>
      </w:r>
      <w:r w:rsidR="006A4158" w:rsidRPr="00466073">
        <w:rPr>
          <w:rFonts w:asciiTheme="minorHAnsi" w:hAnsiTheme="minorHAnsi" w:cstheme="minorHAnsi"/>
          <w:color w:val="000000" w:themeColor="text1"/>
          <w:lang w:val="el-GR"/>
        </w:rPr>
        <w:t xml:space="preserve">ρευστότητας και των μειωμένων ροών κονδυλίων από την ΕΕ., ενώ το 2021 ανέκαμψε σημειώνοντας αύξηση της τάξης του 29,0% (κτίρια +32,7, δημόσια έργα +24,8%).  Ωστόσο το 2022, παρατηρήθηκε εκ νέου </w:t>
      </w:r>
      <w:r w:rsidR="006A4158" w:rsidRPr="00466073">
        <w:rPr>
          <w:rFonts w:asciiTheme="minorHAnsi" w:hAnsiTheme="minorHAnsi" w:cstheme="minorHAnsi"/>
          <w:lang w:val="el-GR"/>
        </w:rPr>
        <w:t>μείωση των  δραστηριοτήτων του κατά 3,9 % σε σχέση με το 2021.</w:t>
      </w:r>
    </w:p>
    <w:p w:rsidR="00CD7909" w:rsidRPr="00466073" w:rsidRDefault="00CD7909" w:rsidP="00D444DC">
      <w:pPr>
        <w:jc w:val="both"/>
        <w:rPr>
          <w:rFonts w:asciiTheme="minorHAnsi" w:hAnsiTheme="minorHAnsi" w:cstheme="minorHAnsi"/>
          <w:lang w:val="el-GR"/>
        </w:rPr>
      </w:pPr>
    </w:p>
    <w:p w:rsidR="00316723" w:rsidRPr="00466073" w:rsidRDefault="007738EA" w:rsidP="00D444DC">
      <w:pPr>
        <w:jc w:val="both"/>
        <w:rPr>
          <w:rFonts w:asciiTheme="minorHAnsi" w:hAnsiTheme="minorHAnsi" w:cstheme="minorHAnsi"/>
          <w:lang w:val="el-GR"/>
        </w:rPr>
      </w:pPr>
      <w:r w:rsidRPr="00466073">
        <w:rPr>
          <w:rFonts w:asciiTheme="minorHAnsi" w:hAnsiTheme="minorHAnsi" w:cstheme="minorHAnsi"/>
          <w:lang w:val="el-GR"/>
        </w:rPr>
        <w:t>Τ</w:t>
      </w:r>
      <w:r w:rsidR="00280B59" w:rsidRPr="00466073">
        <w:rPr>
          <w:rFonts w:asciiTheme="minorHAnsi" w:hAnsiTheme="minorHAnsi" w:cstheme="minorHAnsi"/>
          <w:lang w:val="el-GR"/>
        </w:rPr>
        <w:t>ο</w:t>
      </w:r>
      <w:r w:rsidR="00DC5610" w:rsidRPr="00466073">
        <w:rPr>
          <w:rFonts w:asciiTheme="minorHAnsi" w:hAnsiTheme="minorHAnsi" w:cstheme="minorHAnsi"/>
          <w:lang w:val="el-GR"/>
        </w:rPr>
        <w:t xml:space="preserve"> 2022</w:t>
      </w:r>
      <w:r w:rsidR="00020EFC" w:rsidRPr="00466073">
        <w:rPr>
          <w:rFonts w:asciiTheme="minorHAnsi" w:hAnsiTheme="minorHAnsi" w:cstheme="minorHAnsi"/>
          <w:lang w:val="el-GR"/>
        </w:rPr>
        <w:t>,</w:t>
      </w:r>
      <w:r w:rsidR="00280B59" w:rsidRPr="00466073">
        <w:rPr>
          <w:rFonts w:asciiTheme="minorHAnsi" w:hAnsiTheme="minorHAnsi" w:cstheme="minorHAnsi"/>
          <w:lang w:val="el-GR"/>
        </w:rPr>
        <w:t xml:space="preserve"> σημαντική </w:t>
      </w:r>
      <w:r w:rsidR="00020EFC" w:rsidRPr="00466073">
        <w:rPr>
          <w:rFonts w:asciiTheme="minorHAnsi" w:hAnsiTheme="minorHAnsi" w:cstheme="minorHAnsi"/>
          <w:lang w:val="el-GR"/>
        </w:rPr>
        <w:t xml:space="preserve">παρέμεινε </w:t>
      </w:r>
      <w:r w:rsidR="00280B59" w:rsidRPr="00466073">
        <w:rPr>
          <w:rFonts w:asciiTheme="minorHAnsi" w:hAnsiTheme="minorHAnsi" w:cstheme="minorHAnsi"/>
          <w:lang w:val="el-GR"/>
        </w:rPr>
        <w:t>η συνεισφορά του τομέα υπηρεσιών</w:t>
      </w:r>
      <w:r w:rsidR="00DC5610" w:rsidRPr="00466073">
        <w:rPr>
          <w:rFonts w:asciiTheme="minorHAnsi" w:hAnsiTheme="minorHAnsi" w:cstheme="minorHAnsi"/>
          <w:lang w:val="el-GR"/>
        </w:rPr>
        <w:t xml:space="preserve"> (+7,2%)</w:t>
      </w:r>
      <w:r w:rsidR="00280B59" w:rsidRPr="00466073">
        <w:rPr>
          <w:rFonts w:asciiTheme="minorHAnsi" w:hAnsiTheme="minorHAnsi" w:cstheme="minorHAnsi"/>
          <w:lang w:val="el-GR"/>
        </w:rPr>
        <w:t xml:space="preserve">, οι επιδόσεις του οποίου οφείλονται κυρίως στην αύξηση της εσωτερικής ζήτησης. Τόσο ο τομέας του εμπορίου όσο και ο τουριστικός, σημείωσαν </w:t>
      </w:r>
      <w:r w:rsidR="001D0076" w:rsidRPr="00466073">
        <w:rPr>
          <w:rFonts w:asciiTheme="minorHAnsi" w:hAnsiTheme="minorHAnsi" w:cstheme="minorHAnsi"/>
          <w:lang w:val="el-GR"/>
        </w:rPr>
        <w:t>θετικούς ρυθμούς ανάπτυξης</w:t>
      </w:r>
      <w:r w:rsidR="00DC5610" w:rsidRPr="00466073">
        <w:rPr>
          <w:rFonts w:asciiTheme="minorHAnsi" w:hAnsiTheme="minorHAnsi" w:cstheme="minorHAnsi"/>
          <w:lang w:val="el-GR"/>
        </w:rPr>
        <w:t xml:space="preserve"> ποσοστού 4,6% και 27,5% αντίστοιχα</w:t>
      </w:r>
      <w:r w:rsidR="00280B59" w:rsidRPr="00466073">
        <w:rPr>
          <w:rFonts w:asciiTheme="minorHAnsi" w:hAnsiTheme="minorHAnsi" w:cstheme="minorHAnsi"/>
          <w:lang w:val="el-GR"/>
        </w:rPr>
        <w:t>, όπως επίσης και οι τομείς των μεταφορών (</w:t>
      </w:r>
      <w:r w:rsidR="00280B59" w:rsidRPr="00466073">
        <w:rPr>
          <w:rFonts w:asciiTheme="minorHAnsi" w:hAnsiTheme="minorHAnsi" w:cstheme="minorHAnsi"/>
          <w:lang w:val="hu-HU"/>
        </w:rPr>
        <w:t>logistics</w:t>
      </w:r>
      <w:r w:rsidR="00280B59" w:rsidRPr="00466073">
        <w:rPr>
          <w:rFonts w:asciiTheme="minorHAnsi" w:hAnsiTheme="minorHAnsi" w:cstheme="minorHAnsi"/>
          <w:lang w:val="el-GR"/>
        </w:rPr>
        <w:t xml:space="preserve">) </w:t>
      </w:r>
      <w:r w:rsidR="00DC5610" w:rsidRPr="00466073">
        <w:rPr>
          <w:rFonts w:asciiTheme="minorHAnsi" w:hAnsiTheme="minorHAnsi" w:cstheme="minorHAnsi"/>
          <w:lang w:val="el-GR"/>
        </w:rPr>
        <w:t xml:space="preserve">με ποσοστό 14,3%  </w:t>
      </w:r>
      <w:r w:rsidR="00280B59" w:rsidRPr="00466073">
        <w:rPr>
          <w:rFonts w:asciiTheme="minorHAnsi" w:hAnsiTheme="minorHAnsi" w:cstheme="minorHAnsi"/>
          <w:lang w:val="el-GR"/>
        </w:rPr>
        <w:t>και τεχνολογιών πληροφορικής και επικοινωνιών</w:t>
      </w:r>
      <w:r w:rsidR="00DC5610" w:rsidRPr="00466073">
        <w:rPr>
          <w:rFonts w:asciiTheme="minorHAnsi" w:hAnsiTheme="minorHAnsi" w:cstheme="minorHAnsi"/>
          <w:lang w:val="el-GR"/>
        </w:rPr>
        <w:t xml:space="preserve"> (+7,5%)</w:t>
      </w:r>
      <w:r w:rsidR="00280B59" w:rsidRPr="00466073">
        <w:rPr>
          <w:rFonts w:asciiTheme="minorHAnsi" w:hAnsiTheme="minorHAnsi" w:cstheme="minorHAnsi"/>
          <w:lang w:val="el-GR"/>
        </w:rPr>
        <w:t xml:space="preserve">. </w:t>
      </w:r>
      <w:r w:rsidR="006A4158" w:rsidRPr="00466073">
        <w:rPr>
          <w:rFonts w:asciiTheme="minorHAnsi" w:hAnsiTheme="minorHAnsi" w:cstheme="minorHAnsi"/>
          <w:lang w:val="el-GR"/>
        </w:rPr>
        <w:t xml:space="preserve"> </w:t>
      </w:r>
    </w:p>
    <w:p w:rsidR="001565F9" w:rsidRPr="00466073" w:rsidRDefault="00C66722" w:rsidP="001565F9">
      <w:pPr>
        <w:jc w:val="both"/>
        <w:rPr>
          <w:rFonts w:asciiTheme="minorHAnsi" w:hAnsiTheme="minorHAnsi" w:cstheme="minorHAnsi"/>
          <w:lang w:val="el-GR"/>
        </w:rPr>
      </w:pPr>
      <w:r>
        <w:rPr>
          <w:rFonts w:asciiTheme="minorHAnsi" w:hAnsiTheme="minorHAnsi" w:cstheme="minorHAnsi"/>
          <w:b/>
          <w:lang w:val="el-GR"/>
        </w:rPr>
        <w:t>Η</w:t>
      </w:r>
      <w:r w:rsidR="007738EA" w:rsidRPr="00C66722">
        <w:rPr>
          <w:rFonts w:asciiTheme="minorHAnsi" w:hAnsiTheme="minorHAnsi" w:cstheme="minorHAnsi"/>
          <w:b/>
          <w:lang w:val="el-GR"/>
        </w:rPr>
        <w:t xml:space="preserve"> </w:t>
      </w:r>
      <w:r w:rsidR="00DC5610" w:rsidRPr="00C66722">
        <w:rPr>
          <w:rFonts w:asciiTheme="minorHAnsi" w:hAnsiTheme="minorHAnsi" w:cstheme="minorHAnsi"/>
          <w:b/>
          <w:lang w:val="el-GR"/>
        </w:rPr>
        <w:t xml:space="preserve">παγκόσμια οικονομική κρίση που προκλήθηκε από την </w:t>
      </w:r>
      <w:r w:rsidR="003A0454" w:rsidRPr="00C66722">
        <w:rPr>
          <w:rFonts w:asciiTheme="minorHAnsi" w:hAnsiTheme="minorHAnsi" w:cstheme="minorHAnsi"/>
          <w:b/>
          <w:lang w:val="el-GR"/>
        </w:rPr>
        <w:t xml:space="preserve">πανδημία </w:t>
      </w:r>
      <w:r w:rsidR="003A0454" w:rsidRPr="00C66722">
        <w:rPr>
          <w:rFonts w:asciiTheme="minorHAnsi" w:hAnsiTheme="minorHAnsi" w:cstheme="minorHAnsi"/>
          <w:b/>
        </w:rPr>
        <w:t>COVID</w:t>
      </w:r>
      <w:r w:rsidR="003A0454" w:rsidRPr="00C66722">
        <w:rPr>
          <w:rFonts w:asciiTheme="minorHAnsi" w:hAnsiTheme="minorHAnsi" w:cstheme="minorHAnsi"/>
          <w:b/>
          <w:lang w:val="el-GR"/>
        </w:rPr>
        <w:t xml:space="preserve"> 19, αντιμετωπίστηκε επιτυχώς από την Ουγγαρία με την θέσπιση μέτρων </w:t>
      </w:r>
      <w:r w:rsidR="007738EA" w:rsidRPr="00C66722">
        <w:rPr>
          <w:rFonts w:asciiTheme="minorHAnsi" w:hAnsiTheme="minorHAnsi" w:cstheme="minorHAnsi"/>
          <w:b/>
          <w:lang w:val="el-GR"/>
        </w:rPr>
        <w:t>για την αντιμετώπιση των οικο</w:t>
      </w:r>
      <w:r w:rsidR="003A0454" w:rsidRPr="00C66722">
        <w:rPr>
          <w:rFonts w:asciiTheme="minorHAnsi" w:hAnsiTheme="minorHAnsi" w:cstheme="minorHAnsi"/>
          <w:b/>
          <w:lang w:val="el-GR"/>
        </w:rPr>
        <w:t xml:space="preserve">νομικών επιπτώσεων της, η οποία </w:t>
      </w:r>
      <w:r w:rsidR="007738EA" w:rsidRPr="00C66722">
        <w:rPr>
          <w:rFonts w:asciiTheme="minorHAnsi" w:hAnsiTheme="minorHAnsi" w:cstheme="minorHAnsi"/>
          <w:b/>
          <w:lang w:val="el-GR"/>
        </w:rPr>
        <w:t xml:space="preserve"> βασίστηκε </w:t>
      </w:r>
      <w:r w:rsidR="003A0454" w:rsidRPr="00C66722">
        <w:rPr>
          <w:rFonts w:asciiTheme="minorHAnsi" w:hAnsiTheme="minorHAnsi" w:cstheme="minorHAnsi"/>
          <w:b/>
          <w:lang w:val="el-GR"/>
        </w:rPr>
        <w:t>σε επτά</w:t>
      </w:r>
      <w:r w:rsidR="007738EA" w:rsidRPr="00C66722">
        <w:rPr>
          <w:rFonts w:asciiTheme="minorHAnsi" w:hAnsiTheme="minorHAnsi" w:cstheme="minorHAnsi"/>
          <w:b/>
          <w:lang w:val="el-GR"/>
        </w:rPr>
        <w:t xml:space="preserve"> άξονες:</w:t>
      </w:r>
      <w:r w:rsidR="003A0454" w:rsidRPr="00C66722">
        <w:rPr>
          <w:rFonts w:asciiTheme="minorHAnsi" w:hAnsiTheme="minorHAnsi" w:cstheme="minorHAnsi"/>
          <w:b/>
          <w:lang w:val="el-GR"/>
        </w:rPr>
        <w:t xml:space="preserve"> </w:t>
      </w:r>
      <w:r w:rsidR="007738EA" w:rsidRPr="00466073">
        <w:rPr>
          <w:rFonts w:asciiTheme="minorHAnsi" w:hAnsiTheme="minorHAnsi" w:cstheme="minorHAnsi"/>
          <w:lang w:val="el-GR"/>
        </w:rPr>
        <w:t>1) Δημιουργία κατοικιών, 2) Δημογραφική ανάκαμψη, 3) Επέκταση των ευεργετικών διατάξεων για την αποπληρωμή δανείων, 4) Προτεραιότητα σε επενδύσεις που αναθερμαίνουν την οικονομία,</w:t>
      </w:r>
      <w:r w:rsidR="003A0454" w:rsidRPr="00466073">
        <w:rPr>
          <w:rFonts w:asciiTheme="minorHAnsi" w:hAnsiTheme="minorHAnsi" w:cstheme="minorHAnsi"/>
          <w:lang w:val="el-GR"/>
        </w:rPr>
        <w:t xml:space="preserve"> </w:t>
      </w:r>
      <w:r w:rsidR="007738EA" w:rsidRPr="00466073">
        <w:rPr>
          <w:rFonts w:asciiTheme="minorHAnsi" w:hAnsiTheme="minorHAnsi" w:cstheme="minorHAnsi"/>
          <w:lang w:val="el-GR"/>
        </w:rPr>
        <w:t xml:space="preserve">5) </w:t>
      </w:r>
      <w:r w:rsidR="001565F9" w:rsidRPr="00466073">
        <w:rPr>
          <w:rFonts w:asciiTheme="minorHAnsi" w:hAnsiTheme="minorHAnsi" w:cstheme="minorHAnsi"/>
          <w:lang w:val="el-GR"/>
        </w:rPr>
        <w:t>Αύξηση της χρηματοδοτικής ικανότητας δημόσιων χρηματοπιστωτικών ιδρυμάτων, 6) Αύξηση της αξιοποίησης των κονδυλίων της ΕΕ και 7) Ανάπτυξη στρατηγικής επενδύσεων στο εξωτερικό.</w:t>
      </w:r>
      <w:r w:rsidR="003A0454" w:rsidRPr="00466073">
        <w:rPr>
          <w:rFonts w:asciiTheme="minorHAnsi" w:hAnsiTheme="minorHAnsi" w:cstheme="minorHAnsi"/>
          <w:lang w:val="el-GR"/>
        </w:rPr>
        <w:t xml:space="preserve"> Σημειώνεται ότι την περίοδο της πανδημίας, </w:t>
      </w:r>
      <w:r w:rsidR="001565F9" w:rsidRPr="00466073">
        <w:rPr>
          <w:rFonts w:asciiTheme="minorHAnsi" w:hAnsiTheme="minorHAnsi" w:cstheme="minorHAnsi"/>
          <w:lang w:val="el-GR"/>
        </w:rPr>
        <w:t>παρατηρήθηκε αύξηση των πτωχεύσεων εταιρειών κατά 13% ποσοστό χαμηλότερο του παγκόσμιου μέσου όρου (20-25%).</w:t>
      </w:r>
    </w:p>
    <w:p w:rsidR="00CD7909" w:rsidRPr="00466073" w:rsidRDefault="00CD7909" w:rsidP="00CD7909">
      <w:pPr>
        <w:jc w:val="both"/>
        <w:rPr>
          <w:rFonts w:asciiTheme="minorHAnsi" w:hAnsiTheme="minorHAnsi" w:cstheme="minorHAnsi"/>
          <w:lang w:val="el-GR"/>
        </w:rPr>
      </w:pPr>
    </w:p>
    <w:p w:rsidR="00CD7909" w:rsidRPr="00466073" w:rsidRDefault="00CD7909" w:rsidP="001565F9">
      <w:pPr>
        <w:jc w:val="both"/>
        <w:rPr>
          <w:rFonts w:asciiTheme="minorHAnsi" w:hAnsiTheme="minorHAnsi" w:cstheme="minorHAnsi"/>
          <w:lang w:val="el-GR"/>
        </w:rPr>
      </w:pPr>
      <w:r w:rsidRPr="00466073">
        <w:rPr>
          <w:rFonts w:asciiTheme="minorHAnsi" w:hAnsiTheme="minorHAnsi" w:cstheme="minorHAnsi"/>
          <w:lang w:val="hu-HU"/>
        </w:rPr>
        <w:t xml:space="preserve">Από την πλευρά της κατανάλωσης, η πραγματική κατανάλωση των νοικοκυριών αυξήθηκε κατά 6,0%, η κοινοτική κατανάλωση μειώθηκε κατά 0,2%, με αποτέλεσμα ο όγκος της τελικής κατανάλωσης να είναι υψηλότερος κατά 5,0%. </w:t>
      </w:r>
      <w:r w:rsidRPr="00466073">
        <w:rPr>
          <w:rFonts w:asciiTheme="minorHAnsi" w:hAnsiTheme="minorHAnsi" w:cstheme="minorHAnsi"/>
          <w:lang w:val="el-GR"/>
        </w:rPr>
        <w:t xml:space="preserve"> </w:t>
      </w:r>
      <w:r w:rsidRPr="00466073">
        <w:rPr>
          <w:rFonts w:asciiTheme="minorHAnsi" w:hAnsiTheme="minorHAnsi" w:cstheme="minorHAnsi"/>
          <w:lang w:val="hu-HU"/>
        </w:rPr>
        <w:t>Ο όγκος των εξαγωγών αυξήθηκε κατά 10,3% και</w:t>
      </w:r>
      <w:r w:rsidR="008F7C8E" w:rsidRPr="00466073">
        <w:rPr>
          <w:rFonts w:asciiTheme="minorHAnsi" w:hAnsiTheme="minorHAnsi" w:cstheme="minorHAnsi"/>
          <w:lang w:val="hu-HU"/>
        </w:rPr>
        <w:t xml:space="preserve"> αυτός των εισαγωγών κατά 9,5%.</w:t>
      </w:r>
    </w:p>
    <w:p w:rsidR="00541BCF" w:rsidRPr="00466073" w:rsidRDefault="00541BCF" w:rsidP="001565F9">
      <w:pPr>
        <w:jc w:val="both"/>
        <w:rPr>
          <w:rFonts w:asciiTheme="minorHAnsi" w:hAnsiTheme="minorHAnsi" w:cstheme="minorHAnsi"/>
          <w:lang w:val="el-GR"/>
        </w:rPr>
      </w:pPr>
    </w:p>
    <w:p w:rsidR="00541BCF" w:rsidRPr="00466073" w:rsidRDefault="00541BCF" w:rsidP="001565F9">
      <w:pPr>
        <w:jc w:val="both"/>
        <w:rPr>
          <w:rFonts w:asciiTheme="minorHAnsi" w:hAnsiTheme="minorHAnsi" w:cstheme="minorHAnsi"/>
          <w:lang w:val="el-GR"/>
        </w:rPr>
      </w:pPr>
      <w:r w:rsidRPr="00466073">
        <w:rPr>
          <w:rFonts w:asciiTheme="minorHAnsi" w:hAnsiTheme="minorHAnsi" w:cstheme="minorHAnsi"/>
          <w:noProof/>
        </w:rPr>
        <w:drawing>
          <wp:inline distT="0" distB="0" distL="0" distR="0">
            <wp:extent cx="6321365" cy="2294627"/>
            <wp:effectExtent l="19050" t="0" r="22285" b="0"/>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E06D0" w:rsidRPr="00466073" w:rsidRDefault="005F6720" w:rsidP="008F7C8E">
      <w:pPr>
        <w:widowControl w:val="0"/>
        <w:autoSpaceDE w:val="0"/>
        <w:autoSpaceDN w:val="0"/>
        <w:adjustRightInd w:val="0"/>
        <w:spacing w:line="233" w:lineRule="auto"/>
        <w:rPr>
          <w:rFonts w:asciiTheme="minorHAnsi" w:hAnsiTheme="minorHAnsi" w:cstheme="minorHAnsi"/>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 xml:space="preserve">. </w:t>
      </w:r>
    </w:p>
    <w:p w:rsidR="005F6720" w:rsidRPr="00466073" w:rsidRDefault="005F6720" w:rsidP="00DE06D0">
      <w:pPr>
        <w:jc w:val="both"/>
        <w:rPr>
          <w:rFonts w:asciiTheme="minorHAnsi" w:hAnsiTheme="minorHAnsi" w:cstheme="minorHAnsi"/>
          <w:lang w:val="el-GR"/>
        </w:rPr>
      </w:pPr>
    </w:p>
    <w:p w:rsidR="00794197" w:rsidRPr="00466073" w:rsidRDefault="00794197" w:rsidP="00DE06D0">
      <w:pPr>
        <w:jc w:val="both"/>
        <w:rPr>
          <w:rFonts w:asciiTheme="minorHAnsi" w:hAnsiTheme="minorHAnsi" w:cstheme="minorHAnsi"/>
          <w:u w:val="single"/>
          <w:lang w:val="hu-HU"/>
        </w:rPr>
      </w:pPr>
    </w:p>
    <w:p w:rsidR="008F7C8E" w:rsidRPr="00466073" w:rsidRDefault="008F7C8E" w:rsidP="00DE06D0">
      <w:pPr>
        <w:jc w:val="both"/>
        <w:rPr>
          <w:rFonts w:asciiTheme="minorHAnsi" w:hAnsiTheme="minorHAnsi" w:cstheme="minorHAnsi"/>
          <w:u w:val="single"/>
          <w:lang w:val="el-GR"/>
        </w:rPr>
      </w:pPr>
    </w:p>
    <w:p w:rsidR="00020EFC" w:rsidRPr="00466073" w:rsidRDefault="00020EFC" w:rsidP="00DE06D0">
      <w:pPr>
        <w:jc w:val="both"/>
        <w:rPr>
          <w:rFonts w:asciiTheme="minorHAnsi" w:hAnsiTheme="minorHAnsi" w:cstheme="minorHAnsi"/>
          <w:u w:val="single"/>
          <w:lang w:val="el-GR"/>
        </w:rPr>
      </w:pPr>
      <w:r w:rsidRPr="00466073">
        <w:rPr>
          <w:rFonts w:asciiTheme="minorHAnsi" w:hAnsiTheme="minorHAnsi" w:cstheme="minorHAnsi"/>
          <w:u w:val="single"/>
          <w:lang w:val="el-GR"/>
        </w:rPr>
        <w:t xml:space="preserve">Διευκρίνιση: </w:t>
      </w:r>
    </w:p>
    <w:p w:rsidR="00921FE9" w:rsidRPr="00466073" w:rsidRDefault="00020EFC" w:rsidP="00DE06D0">
      <w:pPr>
        <w:jc w:val="both"/>
        <w:rPr>
          <w:rFonts w:asciiTheme="minorHAnsi" w:hAnsiTheme="minorHAnsi" w:cstheme="minorHAnsi"/>
          <w:lang w:val="el-GR"/>
        </w:rPr>
      </w:pPr>
      <w:r w:rsidRPr="00466073">
        <w:rPr>
          <w:rFonts w:asciiTheme="minorHAnsi" w:hAnsiTheme="minorHAnsi" w:cstheme="minorHAnsi"/>
          <w:lang w:val="el-GR"/>
        </w:rPr>
        <w:t>-Ο Αγροτικός Τομέας περιλαμβάνει τις καλλιέργειες, την κτηνοτροφία, την αλιεία και την δασοπονία</w:t>
      </w:r>
    </w:p>
    <w:p w:rsidR="00020EFC" w:rsidRPr="00466073" w:rsidRDefault="00020EFC" w:rsidP="00DE06D0">
      <w:pPr>
        <w:jc w:val="both"/>
        <w:rPr>
          <w:rFonts w:asciiTheme="minorHAnsi" w:hAnsiTheme="minorHAnsi" w:cstheme="minorHAnsi"/>
          <w:lang w:val="el-GR"/>
        </w:rPr>
      </w:pPr>
      <w:r w:rsidRPr="00466073">
        <w:rPr>
          <w:rFonts w:asciiTheme="minorHAnsi" w:hAnsiTheme="minorHAnsi" w:cstheme="minorHAnsi"/>
          <w:lang w:val="el-GR"/>
        </w:rPr>
        <w:t>-Ο Βιομηχανικός Τομέας περιλαμβάνει τις εξορύξεις, τη βιομηχανία, την παραγωγή ενέργειας και τις κατασκευές</w:t>
      </w:r>
    </w:p>
    <w:p w:rsidR="00020EFC" w:rsidRPr="00466073" w:rsidRDefault="00020EFC" w:rsidP="00DE06D0">
      <w:pPr>
        <w:jc w:val="both"/>
        <w:rPr>
          <w:rFonts w:asciiTheme="minorHAnsi" w:hAnsiTheme="minorHAnsi" w:cstheme="minorHAnsi"/>
          <w:lang w:val="hu-HU"/>
        </w:rPr>
      </w:pPr>
      <w:r w:rsidRPr="00466073">
        <w:rPr>
          <w:rFonts w:asciiTheme="minorHAnsi" w:hAnsiTheme="minorHAnsi" w:cstheme="minorHAnsi"/>
          <w:lang w:val="el-GR"/>
        </w:rPr>
        <w:t xml:space="preserve">-Ο Τομέας Υπηρεσιών περιλαμβάνει τις τηλεπικοινωνίες, τις μεταφορές, τα χρηματοοικονομικά, </w:t>
      </w:r>
      <w:r w:rsidR="009A11DB" w:rsidRPr="00466073">
        <w:rPr>
          <w:rFonts w:asciiTheme="minorHAnsi" w:hAnsiTheme="minorHAnsi" w:cstheme="minorHAnsi"/>
          <w:lang w:val="el-GR"/>
        </w:rPr>
        <w:t xml:space="preserve">τις </w:t>
      </w:r>
      <w:r w:rsidRPr="00466073">
        <w:rPr>
          <w:rFonts w:asciiTheme="minorHAnsi" w:hAnsiTheme="minorHAnsi" w:cstheme="minorHAnsi"/>
          <w:lang w:val="el-GR"/>
        </w:rPr>
        <w:t>κρατικές δραστηριότητες</w:t>
      </w:r>
      <w:r w:rsidR="009A11DB" w:rsidRPr="00466073">
        <w:rPr>
          <w:rFonts w:asciiTheme="minorHAnsi" w:hAnsiTheme="minorHAnsi" w:cstheme="minorHAnsi"/>
          <w:lang w:val="el-GR"/>
        </w:rPr>
        <w:t xml:space="preserve"> (φόροι)</w:t>
      </w:r>
      <w:r w:rsidRPr="00466073">
        <w:rPr>
          <w:rFonts w:asciiTheme="minorHAnsi" w:hAnsiTheme="minorHAnsi" w:cstheme="minorHAnsi"/>
          <w:lang w:val="el-GR"/>
        </w:rPr>
        <w:t xml:space="preserve"> και </w:t>
      </w:r>
      <w:r w:rsidR="009A11DB" w:rsidRPr="00466073">
        <w:rPr>
          <w:rFonts w:asciiTheme="minorHAnsi" w:hAnsiTheme="minorHAnsi" w:cstheme="minorHAnsi"/>
          <w:lang w:val="el-GR"/>
        </w:rPr>
        <w:t xml:space="preserve">τις </w:t>
      </w:r>
      <w:r w:rsidRPr="00466073">
        <w:rPr>
          <w:rFonts w:asciiTheme="minorHAnsi" w:hAnsiTheme="minorHAnsi" w:cstheme="minorHAnsi"/>
          <w:lang w:val="el-GR"/>
        </w:rPr>
        <w:t xml:space="preserve">οικονομικής φύσεως </w:t>
      </w:r>
      <w:r w:rsidR="009A11DB" w:rsidRPr="00466073">
        <w:rPr>
          <w:rFonts w:asciiTheme="minorHAnsi" w:hAnsiTheme="minorHAnsi" w:cstheme="minorHAnsi"/>
          <w:lang w:val="el-GR"/>
        </w:rPr>
        <w:t xml:space="preserve">ιδιωτικές </w:t>
      </w:r>
      <w:r w:rsidRPr="00466073">
        <w:rPr>
          <w:rFonts w:asciiTheme="minorHAnsi" w:hAnsiTheme="minorHAnsi" w:cstheme="minorHAnsi"/>
          <w:lang w:val="el-GR"/>
        </w:rPr>
        <w:t>δραστηριότητες</w:t>
      </w:r>
      <w:r w:rsidR="009A11DB" w:rsidRPr="00466073">
        <w:rPr>
          <w:rFonts w:asciiTheme="minorHAnsi" w:hAnsiTheme="minorHAnsi" w:cstheme="minorHAnsi"/>
          <w:lang w:val="el-GR"/>
        </w:rPr>
        <w:t xml:space="preserve"> (πλην της παραγωγής υλικών αγαθών)</w:t>
      </w:r>
      <w:r w:rsidRPr="00466073">
        <w:rPr>
          <w:rFonts w:asciiTheme="minorHAnsi" w:hAnsiTheme="minorHAnsi" w:cstheme="minorHAnsi"/>
          <w:lang w:val="el-GR"/>
        </w:rPr>
        <w:t xml:space="preserve"> </w:t>
      </w:r>
    </w:p>
    <w:p w:rsidR="001565F9" w:rsidRDefault="001565F9" w:rsidP="00DE06D0">
      <w:pPr>
        <w:jc w:val="both"/>
        <w:rPr>
          <w:rFonts w:asciiTheme="minorHAnsi" w:hAnsiTheme="minorHAnsi" w:cstheme="minorHAnsi"/>
          <w:lang w:val="el-GR"/>
        </w:rPr>
      </w:pPr>
    </w:p>
    <w:p w:rsidR="00C66722" w:rsidRDefault="00C66722" w:rsidP="00DE06D0">
      <w:pPr>
        <w:jc w:val="both"/>
        <w:rPr>
          <w:rFonts w:asciiTheme="minorHAnsi" w:hAnsiTheme="minorHAnsi" w:cstheme="minorHAnsi"/>
          <w:lang w:val="el-GR"/>
        </w:rPr>
      </w:pPr>
    </w:p>
    <w:p w:rsidR="00C66722" w:rsidRDefault="00C66722" w:rsidP="00DE06D0">
      <w:pPr>
        <w:jc w:val="both"/>
        <w:rPr>
          <w:rFonts w:asciiTheme="minorHAnsi" w:hAnsiTheme="minorHAnsi" w:cstheme="minorHAnsi"/>
          <w:lang w:val="el-GR"/>
        </w:rPr>
      </w:pPr>
    </w:p>
    <w:p w:rsidR="00C66722" w:rsidRPr="00C66722" w:rsidRDefault="00C66722" w:rsidP="00DE06D0">
      <w:pPr>
        <w:jc w:val="both"/>
        <w:rPr>
          <w:rFonts w:asciiTheme="minorHAnsi" w:hAnsiTheme="minorHAnsi" w:cstheme="minorHAnsi"/>
          <w:lang w:val="el-GR"/>
        </w:rPr>
      </w:pPr>
    </w:p>
    <w:p w:rsidR="00A26756" w:rsidRPr="00466073" w:rsidRDefault="00A26756" w:rsidP="00DE06D0">
      <w:pPr>
        <w:jc w:val="both"/>
        <w:rPr>
          <w:rFonts w:asciiTheme="minorHAnsi" w:hAnsiTheme="minorHAnsi" w:cstheme="minorHAnsi"/>
          <w:lang w:val="hu-HU"/>
        </w:rPr>
      </w:pPr>
    </w:p>
    <w:p w:rsidR="002305B8" w:rsidRPr="00466073" w:rsidRDefault="002305B8" w:rsidP="002305B8">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u w:val="single"/>
        </w:rPr>
      </w:pPr>
      <w:r w:rsidRPr="00466073">
        <w:rPr>
          <w:rFonts w:asciiTheme="minorHAnsi" w:hAnsiTheme="minorHAnsi" w:cstheme="minorHAnsi"/>
          <w:u w:val="single"/>
          <w:lang w:val="el-GR"/>
        </w:rPr>
        <w:t>Αγροτικός Τομέας</w:t>
      </w:r>
    </w:p>
    <w:p w:rsidR="002673D8" w:rsidRPr="00466073" w:rsidRDefault="00C17CD5" w:rsidP="00BF70B0">
      <w:pPr>
        <w:pStyle w:val="lead"/>
        <w:spacing w:before="120" w:beforeAutospacing="0" w:after="120" w:afterAutospacing="0"/>
        <w:jc w:val="both"/>
        <w:rPr>
          <w:rFonts w:asciiTheme="minorHAnsi" w:hAnsiTheme="minorHAnsi" w:cstheme="minorHAnsi"/>
          <w:lang w:val="el-GR"/>
        </w:rPr>
      </w:pPr>
      <w:r w:rsidRPr="00466073">
        <w:rPr>
          <w:rFonts w:asciiTheme="minorHAnsi" w:hAnsiTheme="minorHAnsi" w:cstheme="minorHAnsi"/>
          <w:lang w:val="el-GR"/>
        </w:rPr>
        <w:t xml:space="preserve">Ο Αγροτικός τομέας της Ουγγαρίας </w:t>
      </w:r>
      <w:r w:rsidR="00D47604">
        <w:rPr>
          <w:rFonts w:asciiTheme="minorHAnsi" w:hAnsiTheme="minorHAnsi" w:cstheme="minorHAnsi"/>
          <w:lang w:val="el-GR"/>
        </w:rPr>
        <w:t>τα</w:t>
      </w:r>
      <w:r w:rsidRPr="00466073">
        <w:rPr>
          <w:rFonts w:asciiTheme="minorHAnsi" w:hAnsiTheme="minorHAnsi" w:cstheme="minorHAnsi"/>
          <w:lang w:val="el-GR"/>
        </w:rPr>
        <w:t xml:space="preserve"> τελευταία </w:t>
      </w:r>
      <w:r w:rsidR="00B130B5" w:rsidRPr="00466073">
        <w:rPr>
          <w:rFonts w:asciiTheme="minorHAnsi" w:hAnsiTheme="minorHAnsi" w:cstheme="minorHAnsi"/>
          <w:lang w:val="el-GR"/>
        </w:rPr>
        <w:t xml:space="preserve">χρόνια </w:t>
      </w:r>
      <w:r w:rsidRPr="00466073">
        <w:rPr>
          <w:rFonts w:asciiTheme="minorHAnsi" w:hAnsiTheme="minorHAnsi" w:cstheme="minorHAnsi"/>
          <w:lang w:val="el-GR"/>
        </w:rPr>
        <w:t>έχει αυξηθεί κατά 50% και έχει δημιουργήσει περισσότερες από 70.000 θέσεις εργασίας</w:t>
      </w:r>
      <w:r w:rsidR="00B130B5" w:rsidRPr="00466073">
        <w:rPr>
          <w:rFonts w:asciiTheme="minorHAnsi" w:hAnsiTheme="minorHAnsi" w:cstheme="minorHAnsi"/>
          <w:lang w:val="el-GR"/>
        </w:rPr>
        <w:t xml:space="preserve">, ενώ παρουσιάζει σημαντική αύξηση της παραγωγικότητας και της κερδοφορίας του. Σημειώνεται ότι </w:t>
      </w:r>
      <w:r w:rsidRPr="00466073">
        <w:rPr>
          <w:rFonts w:asciiTheme="minorHAnsi" w:hAnsiTheme="minorHAnsi" w:cstheme="minorHAnsi"/>
          <w:lang w:val="el-GR"/>
        </w:rPr>
        <w:t>από το 2010 κι ένθεν, η κτηνοτροφία έχει αυξηθεί κατά 40% και η γεωργία κατά 63%.</w:t>
      </w:r>
      <w:r w:rsidR="00B130B5" w:rsidRPr="00466073">
        <w:rPr>
          <w:rFonts w:asciiTheme="minorHAnsi" w:hAnsiTheme="minorHAnsi" w:cstheme="minorHAnsi"/>
          <w:lang w:val="el-GR"/>
        </w:rPr>
        <w:t xml:space="preserve"> </w:t>
      </w:r>
      <w:r w:rsidRPr="00466073">
        <w:rPr>
          <w:rFonts w:asciiTheme="minorHAnsi" w:hAnsiTheme="minorHAnsi" w:cstheme="minorHAnsi"/>
          <w:lang w:val="el-GR"/>
        </w:rPr>
        <w:t>Με δεδομένο ότι η Ουγγαρία εξάγει προϊόντα της σε περισσότερες από 100 χώρες, ο αγροτικό</w:t>
      </w:r>
      <w:r w:rsidR="006315D0" w:rsidRPr="00466073">
        <w:rPr>
          <w:rFonts w:asciiTheme="minorHAnsi" w:hAnsiTheme="minorHAnsi" w:cstheme="minorHAnsi"/>
          <w:lang w:val="el-GR"/>
        </w:rPr>
        <w:t>ς</w:t>
      </w:r>
      <w:r w:rsidRPr="00466073">
        <w:rPr>
          <w:rFonts w:asciiTheme="minorHAnsi" w:hAnsiTheme="minorHAnsi" w:cstheme="minorHAnsi"/>
          <w:lang w:val="el-GR"/>
        </w:rPr>
        <w:t xml:space="preserve"> τομέας και ο κλάδος της βιομηχανίας τροφίμων αποτελούν σημαντικές παραμέτρους για τη δημιουργία </w:t>
      </w:r>
      <w:r w:rsidR="0013163D" w:rsidRPr="00466073">
        <w:rPr>
          <w:rFonts w:asciiTheme="minorHAnsi" w:hAnsiTheme="minorHAnsi" w:cstheme="minorHAnsi"/>
          <w:lang w:val="el-GR"/>
        </w:rPr>
        <w:t xml:space="preserve"> του </w:t>
      </w:r>
      <w:r w:rsidRPr="00466073">
        <w:rPr>
          <w:rFonts w:asciiTheme="minorHAnsi" w:hAnsiTheme="minorHAnsi" w:cstheme="minorHAnsi"/>
          <w:lang w:val="el-GR"/>
        </w:rPr>
        <w:t>εμπορικού πλεονάσματος τη</w:t>
      </w:r>
      <w:r w:rsidR="0013163D" w:rsidRPr="00466073">
        <w:rPr>
          <w:rFonts w:asciiTheme="minorHAnsi" w:hAnsiTheme="minorHAnsi" w:cstheme="minorHAnsi"/>
          <w:lang w:val="el-GR"/>
        </w:rPr>
        <w:t>ς</w:t>
      </w:r>
      <w:r w:rsidRPr="00466073">
        <w:rPr>
          <w:rFonts w:asciiTheme="minorHAnsi" w:hAnsiTheme="minorHAnsi" w:cstheme="minorHAnsi"/>
          <w:lang w:val="el-GR"/>
        </w:rPr>
        <w:t xml:space="preserve"> χώρα</w:t>
      </w:r>
      <w:r w:rsidR="0013163D" w:rsidRPr="00466073">
        <w:rPr>
          <w:rFonts w:asciiTheme="minorHAnsi" w:hAnsiTheme="minorHAnsi" w:cstheme="minorHAnsi"/>
          <w:lang w:val="el-GR"/>
        </w:rPr>
        <w:t>ς</w:t>
      </w:r>
      <w:r w:rsidRPr="00466073">
        <w:rPr>
          <w:rFonts w:asciiTheme="minorHAnsi" w:hAnsiTheme="minorHAnsi" w:cstheme="minorHAnsi"/>
          <w:lang w:val="el-GR"/>
        </w:rPr>
        <w:t xml:space="preserve">. </w:t>
      </w:r>
      <w:r w:rsidR="00E73400" w:rsidRPr="00466073">
        <w:rPr>
          <w:rFonts w:asciiTheme="minorHAnsi" w:hAnsiTheme="minorHAnsi" w:cstheme="minorHAnsi"/>
          <w:lang w:val="el-GR"/>
        </w:rPr>
        <w:t xml:space="preserve">Χαρακτηριστικό της δυναμικής πορείας του κλάδου είναι το ότι μέσω του κυβερνητικού προγράμματος «Γη για </w:t>
      </w:r>
      <w:r w:rsidR="0013163D" w:rsidRPr="00466073">
        <w:rPr>
          <w:rFonts w:asciiTheme="minorHAnsi" w:hAnsiTheme="minorHAnsi" w:cstheme="minorHAnsi"/>
          <w:lang w:val="el-GR"/>
        </w:rPr>
        <w:t>Α</w:t>
      </w:r>
      <w:r w:rsidR="00E73400" w:rsidRPr="00466073">
        <w:rPr>
          <w:rFonts w:asciiTheme="minorHAnsi" w:hAnsiTheme="minorHAnsi" w:cstheme="minorHAnsi"/>
          <w:lang w:val="el-GR"/>
        </w:rPr>
        <w:t>γρότες» (</w:t>
      </w:r>
      <w:r w:rsidR="00E73400" w:rsidRPr="00466073">
        <w:rPr>
          <w:rFonts w:asciiTheme="minorHAnsi" w:hAnsiTheme="minorHAnsi" w:cstheme="minorHAnsi"/>
        </w:rPr>
        <w:t>Land</w:t>
      </w:r>
      <w:r w:rsidR="00E73400" w:rsidRPr="00466073">
        <w:rPr>
          <w:rFonts w:asciiTheme="minorHAnsi" w:hAnsiTheme="minorHAnsi" w:cstheme="minorHAnsi"/>
          <w:lang w:val="el-GR"/>
        </w:rPr>
        <w:t xml:space="preserve"> </w:t>
      </w:r>
      <w:r w:rsidR="00E73400" w:rsidRPr="00466073">
        <w:rPr>
          <w:rFonts w:asciiTheme="minorHAnsi" w:hAnsiTheme="minorHAnsi" w:cstheme="minorHAnsi"/>
        </w:rPr>
        <w:t>for</w:t>
      </w:r>
      <w:r w:rsidR="00E73400" w:rsidRPr="00466073">
        <w:rPr>
          <w:rFonts w:asciiTheme="minorHAnsi" w:hAnsiTheme="minorHAnsi" w:cstheme="minorHAnsi"/>
          <w:lang w:val="el-GR"/>
        </w:rPr>
        <w:t xml:space="preserve"> </w:t>
      </w:r>
      <w:r w:rsidR="00E73400" w:rsidRPr="00466073">
        <w:rPr>
          <w:rFonts w:asciiTheme="minorHAnsi" w:hAnsiTheme="minorHAnsi" w:cstheme="minorHAnsi"/>
        </w:rPr>
        <w:t>Farmers</w:t>
      </w:r>
      <w:r w:rsidR="00E73400" w:rsidRPr="00466073">
        <w:rPr>
          <w:rFonts w:asciiTheme="minorHAnsi" w:hAnsiTheme="minorHAnsi" w:cstheme="minorHAnsi"/>
          <w:lang w:val="el-GR"/>
        </w:rPr>
        <w:t>) πουλήθηκαν 200.000 εκτάρια κρατικής καλλιεργήσιμης γης σε 30.000 αγρότες, 10.000 εκ των οποίων ήταν νέοι αγρότες.</w:t>
      </w:r>
      <w:r w:rsidR="00BF70B0" w:rsidRPr="00466073">
        <w:rPr>
          <w:rFonts w:asciiTheme="minorHAnsi" w:hAnsiTheme="minorHAnsi" w:cstheme="minorHAnsi"/>
          <w:lang w:val="el-GR"/>
        </w:rPr>
        <w:t xml:space="preserve"> </w:t>
      </w:r>
      <w:r w:rsidR="002673D8" w:rsidRPr="00466073">
        <w:rPr>
          <w:rFonts w:asciiTheme="minorHAnsi" w:hAnsiTheme="minorHAnsi" w:cstheme="minorHAnsi"/>
          <w:lang w:val="el-GR"/>
        </w:rPr>
        <w:t xml:space="preserve">Στους λόγους </w:t>
      </w:r>
      <w:r w:rsidR="00B130B5" w:rsidRPr="00466073">
        <w:rPr>
          <w:rFonts w:asciiTheme="minorHAnsi" w:hAnsiTheme="minorHAnsi" w:cstheme="minorHAnsi"/>
          <w:lang w:val="el-GR"/>
        </w:rPr>
        <w:t xml:space="preserve">της ραγδαίας ανάπτυξης του αγροτικού τομέα, </w:t>
      </w:r>
      <w:r w:rsidR="002673D8" w:rsidRPr="00466073">
        <w:rPr>
          <w:rFonts w:asciiTheme="minorHAnsi" w:hAnsiTheme="minorHAnsi" w:cstheme="minorHAnsi"/>
          <w:lang w:val="el-GR"/>
        </w:rPr>
        <w:t xml:space="preserve">συμπεριλαμβάνονται, μεταξύ άλλων: </w:t>
      </w:r>
    </w:p>
    <w:p w:rsidR="002673D8" w:rsidRPr="00466073" w:rsidRDefault="002673D8" w:rsidP="002673D8">
      <w:pPr>
        <w:jc w:val="both"/>
        <w:rPr>
          <w:rFonts w:asciiTheme="minorHAnsi" w:hAnsiTheme="minorHAnsi" w:cstheme="minorHAnsi"/>
          <w:lang w:val="el-GR"/>
        </w:rPr>
      </w:pPr>
      <w:r w:rsidRPr="00466073">
        <w:rPr>
          <w:rFonts w:asciiTheme="minorHAnsi" w:hAnsiTheme="minorHAnsi" w:cstheme="minorHAnsi"/>
          <w:lang w:val="el-GR"/>
        </w:rPr>
        <w:t xml:space="preserve">Α) Η </w:t>
      </w:r>
      <w:r w:rsidR="00B130B5" w:rsidRPr="00466073">
        <w:rPr>
          <w:rFonts w:asciiTheme="minorHAnsi" w:hAnsiTheme="minorHAnsi" w:cstheme="minorHAnsi"/>
          <w:lang w:val="el-GR"/>
        </w:rPr>
        <w:t xml:space="preserve">κυβερνητική πολιτική των άμεσων επιδοτήσεων (ύψους περίπου 400 </w:t>
      </w:r>
      <w:proofErr w:type="spellStart"/>
      <w:r w:rsidR="00B130B5" w:rsidRPr="00466073">
        <w:rPr>
          <w:rFonts w:asciiTheme="minorHAnsi" w:hAnsiTheme="minorHAnsi" w:cstheme="minorHAnsi"/>
          <w:lang w:val="el-GR"/>
        </w:rPr>
        <w:t>δισ</w:t>
      </w:r>
      <w:r w:rsidRPr="00466073">
        <w:rPr>
          <w:rFonts w:asciiTheme="minorHAnsi" w:hAnsiTheme="minorHAnsi" w:cstheme="minorHAnsi"/>
          <w:lang w:val="el-GR"/>
        </w:rPr>
        <w:t>εκ</w:t>
      </w:r>
      <w:proofErr w:type="spellEnd"/>
      <w:r w:rsidR="00B130B5" w:rsidRPr="00466073">
        <w:rPr>
          <w:rFonts w:asciiTheme="minorHAnsi" w:hAnsiTheme="minorHAnsi" w:cstheme="minorHAnsi"/>
          <w:lang w:val="el-GR"/>
        </w:rPr>
        <w:t xml:space="preserve">. </w:t>
      </w:r>
      <w:proofErr w:type="gramStart"/>
      <w:r w:rsidR="00B130B5" w:rsidRPr="00466073">
        <w:rPr>
          <w:rFonts w:asciiTheme="minorHAnsi" w:hAnsiTheme="minorHAnsi" w:cstheme="minorHAnsi"/>
        </w:rPr>
        <w:t>HUF</w:t>
      </w:r>
      <w:r w:rsidR="00B130B5" w:rsidRPr="00466073">
        <w:rPr>
          <w:rFonts w:asciiTheme="minorHAnsi" w:hAnsiTheme="minorHAnsi" w:cstheme="minorHAnsi"/>
          <w:lang w:val="el-GR"/>
        </w:rPr>
        <w:t xml:space="preserve"> ετησίως) και των εθνικών επιχορηγήσεων ύψους 100 </w:t>
      </w:r>
      <w:proofErr w:type="spellStart"/>
      <w:r w:rsidR="00B130B5" w:rsidRPr="00466073">
        <w:rPr>
          <w:rFonts w:asciiTheme="minorHAnsi" w:hAnsiTheme="minorHAnsi" w:cstheme="minorHAnsi"/>
          <w:lang w:val="el-GR"/>
        </w:rPr>
        <w:t>δισεκ</w:t>
      </w:r>
      <w:proofErr w:type="spellEnd"/>
      <w:r w:rsidRPr="00466073">
        <w:rPr>
          <w:rFonts w:asciiTheme="minorHAnsi" w:hAnsiTheme="minorHAnsi" w:cstheme="minorHAnsi"/>
          <w:lang w:val="el-GR"/>
        </w:rPr>
        <w:t>.</w:t>
      </w:r>
      <w:proofErr w:type="gramEnd"/>
      <w:r w:rsidR="00B130B5" w:rsidRPr="00466073">
        <w:rPr>
          <w:rFonts w:asciiTheme="minorHAnsi" w:hAnsiTheme="minorHAnsi" w:cstheme="minorHAnsi"/>
          <w:lang w:val="el-GR"/>
        </w:rPr>
        <w:t xml:space="preserve"> </w:t>
      </w:r>
      <w:proofErr w:type="gramStart"/>
      <w:r w:rsidR="00B130B5" w:rsidRPr="00466073">
        <w:rPr>
          <w:rFonts w:asciiTheme="minorHAnsi" w:hAnsiTheme="minorHAnsi" w:cstheme="minorHAnsi"/>
        </w:rPr>
        <w:t>HUF</w:t>
      </w:r>
      <w:r w:rsidRPr="00466073">
        <w:rPr>
          <w:rFonts w:asciiTheme="minorHAnsi" w:hAnsiTheme="minorHAnsi" w:cstheme="minorHAnsi"/>
          <w:lang w:val="el-GR"/>
        </w:rPr>
        <w:t>,</w:t>
      </w:r>
      <w:r w:rsidR="00B130B5" w:rsidRPr="00466073">
        <w:rPr>
          <w:rFonts w:asciiTheme="minorHAnsi" w:hAnsiTheme="minorHAnsi" w:cstheme="minorHAnsi"/>
          <w:lang w:val="el-GR"/>
        </w:rPr>
        <w:t xml:space="preserve"> που προσδίδουν στους αγρότες αίσθημα ασφάλειας για το οικογενειακό τους εισόδημα, ενώ ταυτόχρονα τους παρέχεται η δυνατότητα χρηματοδότησης για περαιτέρω ανάπτυξη τω</w:t>
      </w:r>
      <w:r w:rsidRPr="00466073">
        <w:rPr>
          <w:rFonts w:asciiTheme="minorHAnsi" w:hAnsiTheme="minorHAnsi" w:cstheme="minorHAnsi"/>
          <w:lang w:val="el-GR"/>
        </w:rPr>
        <w:t>ν αγροτικών τους δραστηριοτήτων.</w:t>
      </w:r>
      <w:proofErr w:type="gramEnd"/>
      <w:r w:rsidRPr="00466073">
        <w:rPr>
          <w:rFonts w:asciiTheme="minorHAnsi" w:hAnsiTheme="minorHAnsi" w:cstheme="minorHAnsi"/>
          <w:lang w:val="el-GR"/>
        </w:rPr>
        <w:t xml:space="preserve"> </w:t>
      </w:r>
    </w:p>
    <w:p w:rsidR="00B130B5" w:rsidRPr="00466073" w:rsidRDefault="002673D8" w:rsidP="002673D8">
      <w:pPr>
        <w:jc w:val="both"/>
        <w:rPr>
          <w:rFonts w:asciiTheme="minorHAnsi" w:hAnsiTheme="minorHAnsi" w:cstheme="minorHAnsi"/>
          <w:lang w:val="el-GR"/>
        </w:rPr>
      </w:pPr>
      <w:r w:rsidRPr="00466073">
        <w:rPr>
          <w:rFonts w:asciiTheme="minorHAnsi" w:hAnsiTheme="minorHAnsi" w:cstheme="minorHAnsi"/>
          <w:lang w:val="el-GR"/>
        </w:rPr>
        <w:t>Β) Η</w:t>
      </w:r>
      <w:r w:rsidR="00B130B5" w:rsidRPr="00466073">
        <w:rPr>
          <w:rFonts w:asciiTheme="minorHAnsi" w:hAnsiTheme="minorHAnsi" w:cstheme="minorHAnsi"/>
          <w:lang w:val="el-GR"/>
        </w:rPr>
        <w:t xml:space="preserve"> αύξηση της παραγωγής προϊόντων υψηλής προστιθέμενης αξίας (υψηλής μεταποίησης), παράγοντας που ενισχύει περαιτέρω την κερδοφορία του κλάδου αλλά και την απασχόληση. Η ανάπτυξη της μεταποίησης δημιουργεί ένα σταθερό και προβλέψιμο περιβάλλον αγοράς και σε συνδυασμό με την </w:t>
      </w:r>
      <w:proofErr w:type="spellStart"/>
      <w:r w:rsidR="00B130B5" w:rsidRPr="00466073">
        <w:rPr>
          <w:rFonts w:asciiTheme="minorHAnsi" w:hAnsiTheme="minorHAnsi" w:cstheme="minorHAnsi"/>
          <w:lang w:val="el-GR"/>
        </w:rPr>
        <w:t>στοχοθετημένη</w:t>
      </w:r>
      <w:proofErr w:type="spellEnd"/>
      <w:r w:rsidR="00B130B5" w:rsidRPr="00466073">
        <w:rPr>
          <w:rFonts w:asciiTheme="minorHAnsi" w:hAnsiTheme="minorHAnsi" w:cstheme="minorHAnsi"/>
          <w:lang w:val="el-GR"/>
        </w:rPr>
        <w:t xml:space="preserve"> κυβερνητική πολιτική και την άσκηση οικονομικής διπλωματίας, δημιουργούνται οι προϋποθέσεις για την περαιτέρω αν</w:t>
      </w:r>
      <w:r w:rsidRPr="00466073">
        <w:rPr>
          <w:rFonts w:asciiTheme="minorHAnsi" w:hAnsiTheme="minorHAnsi" w:cstheme="minorHAnsi"/>
          <w:lang w:val="el-GR"/>
        </w:rPr>
        <w:t>άπτυξη της αγροτικής οικονομίας</w:t>
      </w:r>
      <w:r w:rsidR="00B130B5" w:rsidRPr="00466073">
        <w:rPr>
          <w:rFonts w:asciiTheme="minorHAnsi" w:hAnsiTheme="minorHAnsi" w:cstheme="minorHAnsi"/>
          <w:lang w:val="el-GR"/>
        </w:rPr>
        <w:t>.</w:t>
      </w:r>
    </w:p>
    <w:p w:rsidR="002673D8" w:rsidRPr="00466073" w:rsidRDefault="002673D8" w:rsidP="002673D8">
      <w:pPr>
        <w:jc w:val="both"/>
        <w:rPr>
          <w:rFonts w:asciiTheme="minorHAnsi" w:hAnsiTheme="minorHAnsi" w:cstheme="minorHAnsi"/>
          <w:lang w:val="el-GR"/>
        </w:rPr>
      </w:pPr>
      <w:r w:rsidRPr="00466073">
        <w:rPr>
          <w:rFonts w:asciiTheme="minorHAnsi" w:hAnsiTheme="minorHAnsi" w:cstheme="minorHAnsi"/>
          <w:lang w:val="el-GR"/>
        </w:rPr>
        <w:t>Γ) Τ</w:t>
      </w:r>
      <w:r w:rsidR="00B130B5" w:rsidRPr="00466073">
        <w:rPr>
          <w:rFonts w:asciiTheme="minorHAnsi" w:hAnsiTheme="minorHAnsi" w:cstheme="minorHAnsi"/>
          <w:lang w:val="el-GR"/>
        </w:rPr>
        <w:t xml:space="preserve">α προηγμένα συστήματα διαχείρισης κινδύνων που έχει υιοθετήσει το ουγγρικό Υπουργείο Γεωργίας. Με αυτά, μειώνονται οι κίνδυνοι των </w:t>
      </w:r>
      <w:proofErr w:type="spellStart"/>
      <w:r w:rsidR="00B130B5" w:rsidRPr="00466073">
        <w:rPr>
          <w:rFonts w:asciiTheme="minorHAnsi" w:hAnsiTheme="minorHAnsi" w:cstheme="minorHAnsi"/>
          <w:lang w:val="el-GR"/>
        </w:rPr>
        <w:t>φυτοκαλλιεργειών</w:t>
      </w:r>
      <w:proofErr w:type="spellEnd"/>
      <w:r w:rsidR="00B130B5" w:rsidRPr="00466073">
        <w:rPr>
          <w:rFonts w:asciiTheme="minorHAnsi" w:hAnsiTheme="minorHAnsi" w:cstheme="minorHAnsi"/>
          <w:lang w:val="el-GR"/>
        </w:rPr>
        <w:t xml:space="preserve"> και περιορίζονται οι απώλειες εισοδήματος των αγροτών εξαιτίας ακραίων καιρικών φαινομένων. </w:t>
      </w:r>
    </w:p>
    <w:p w:rsidR="002673D8" w:rsidRPr="00466073" w:rsidRDefault="002673D8" w:rsidP="002673D8">
      <w:pPr>
        <w:jc w:val="both"/>
        <w:rPr>
          <w:rFonts w:asciiTheme="minorHAnsi" w:hAnsiTheme="minorHAnsi" w:cstheme="minorHAnsi"/>
          <w:lang w:val="el-GR"/>
        </w:rPr>
      </w:pPr>
      <w:r w:rsidRPr="00466073">
        <w:rPr>
          <w:rFonts w:asciiTheme="minorHAnsi" w:hAnsiTheme="minorHAnsi" w:cstheme="minorHAnsi"/>
          <w:lang w:val="el-GR"/>
        </w:rPr>
        <w:t>Δ) Τ</w:t>
      </w:r>
      <w:r w:rsidR="00B130B5" w:rsidRPr="00466073">
        <w:rPr>
          <w:rFonts w:asciiTheme="minorHAnsi" w:hAnsiTheme="minorHAnsi" w:cstheme="minorHAnsi"/>
          <w:lang w:val="el-GR"/>
        </w:rPr>
        <w:t xml:space="preserve">α προγράμματα προνομιακών δανείων κεφαλαίου κίνησης και οι θεσμικές εγγυήσεις, </w:t>
      </w:r>
      <w:r w:rsidRPr="00466073">
        <w:rPr>
          <w:rFonts w:asciiTheme="minorHAnsi" w:hAnsiTheme="minorHAnsi" w:cstheme="minorHAnsi"/>
          <w:lang w:val="el-GR"/>
        </w:rPr>
        <w:t xml:space="preserve">που </w:t>
      </w:r>
      <w:r w:rsidR="00B130B5" w:rsidRPr="00466073">
        <w:rPr>
          <w:rFonts w:asciiTheme="minorHAnsi" w:hAnsiTheme="minorHAnsi" w:cstheme="minorHAnsi"/>
          <w:lang w:val="el-GR"/>
        </w:rPr>
        <w:t xml:space="preserve">διευκολύνουν τη χρηματοδότηση των γεωργικών επιχειρήσεων. Οι επενδύσεις που αυξάνουν την ανταγωνιστικότητα της γεωργικής οικονομίας υποστηρίζονται από επιχορηγήσεις στο πλαίσιο του Προγράμματος Αγροτικής Ανάπτυξης, με αποτέλεσμα την ενίσχυση του εκσυγχρονισμού των καλλιεργειών και του εμπλουτισμού της παραγωγικής διαδικασίας με σύγχρονες τεχνολογικές μεθόδους. </w:t>
      </w:r>
    </w:p>
    <w:p w:rsidR="00AB31B4" w:rsidRPr="00466073" w:rsidRDefault="00B130B5" w:rsidP="00BF70B0">
      <w:pPr>
        <w:jc w:val="both"/>
        <w:rPr>
          <w:rFonts w:asciiTheme="minorHAnsi" w:hAnsiTheme="minorHAnsi" w:cstheme="minorHAnsi"/>
          <w:lang w:val="el-GR"/>
        </w:rPr>
      </w:pPr>
      <w:r w:rsidRPr="00466073">
        <w:rPr>
          <w:rFonts w:asciiTheme="minorHAnsi" w:hAnsiTheme="minorHAnsi" w:cstheme="minorHAnsi"/>
          <w:lang w:val="el-GR"/>
        </w:rPr>
        <w:t>Ε</w:t>
      </w:r>
      <w:r w:rsidR="002673D8" w:rsidRPr="00466073">
        <w:rPr>
          <w:rFonts w:asciiTheme="minorHAnsi" w:hAnsiTheme="minorHAnsi" w:cstheme="minorHAnsi"/>
          <w:lang w:val="el-GR"/>
        </w:rPr>
        <w:t xml:space="preserve">) Η Οικονομική Διπλωματία, μέσω της οποίας προωθούνται στις διεθνείς αγορές </w:t>
      </w:r>
      <w:r w:rsidRPr="00466073">
        <w:rPr>
          <w:rFonts w:asciiTheme="minorHAnsi" w:hAnsiTheme="minorHAnsi" w:cstheme="minorHAnsi"/>
          <w:lang w:val="el-GR"/>
        </w:rPr>
        <w:t xml:space="preserve">τα αγροτικά προϊόντα. </w:t>
      </w:r>
    </w:p>
    <w:p w:rsidR="00BF70B0" w:rsidRPr="00466073" w:rsidRDefault="00A87695" w:rsidP="00A87695">
      <w:pPr>
        <w:pStyle w:val="lead"/>
        <w:spacing w:before="120" w:beforeAutospacing="0" w:after="120" w:afterAutospacing="0"/>
        <w:jc w:val="both"/>
        <w:rPr>
          <w:rFonts w:asciiTheme="minorHAnsi" w:hAnsiTheme="minorHAnsi" w:cstheme="minorHAnsi"/>
          <w:lang w:val="el-GR"/>
        </w:rPr>
      </w:pPr>
      <w:r w:rsidRPr="00466073">
        <w:rPr>
          <w:rFonts w:asciiTheme="minorHAnsi" w:hAnsiTheme="minorHAnsi" w:cstheme="minorHAnsi"/>
          <w:lang w:val="el-GR"/>
        </w:rPr>
        <w:t>Η αξία εξαγωγών των προϊόντων τροφίμων τα τελευταία χρόνια βαίνει συνεχώς αυξανόμενη και κυμαίνεται σε πάνω από €</w:t>
      </w:r>
      <w:r w:rsidR="00D47604">
        <w:rPr>
          <w:rFonts w:asciiTheme="minorHAnsi" w:hAnsiTheme="minorHAnsi" w:cstheme="minorHAnsi"/>
          <w:lang w:val="el-GR"/>
        </w:rPr>
        <w:t xml:space="preserve">  </w:t>
      </w:r>
      <w:r w:rsidRPr="00466073">
        <w:rPr>
          <w:rFonts w:asciiTheme="minorHAnsi" w:hAnsiTheme="minorHAnsi" w:cstheme="minorHAnsi"/>
          <w:lang w:val="el-GR"/>
        </w:rPr>
        <w:t xml:space="preserve">9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ως αποτέλεσμα του εκσυγχρονισμού της αγροτικής παραγωγής και της παραγωγικότητας της βιομηχανίας τροφίμων. Η κυβέρνηση θεωρεί τη βιομηχανία τροφίμων «στρατηγικής σημασίας» για την εθνική οικονομία και για το λόγο αυτό, μεταξύ των ετών 2014-2020, της δι</w:t>
      </w:r>
      <w:r w:rsidR="00BF70B0" w:rsidRPr="00466073">
        <w:rPr>
          <w:rFonts w:asciiTheme="minorHAnsi" w:hAnsiTheme="minorHAnsi" w:cstheme="minorHAnsi"/>
          <w:lang w:val="el-GR"/>
        </w:rPr>
        <w:t xml:space="preserve">έθεσε </w:t>
      </w:r>
      <w:r w:rsidRPr="00466073">
        <w:rPr>
          <w:rFonts w:asciiTheme="minorHAnsi" w:hAnsiTheme="minorHAnsi" w:cstheme="minorHAnsi"/>
          <w:lang w:val="el-GR"/>
        </w:rPr>
        <w:t xml:space="preserve">περισσότερα από 300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w:t>
      </w:r>
      <w:proofErr w:type="gramStart"/>
      <w:r w:rsidRPr="00466073">
        <w:rPr>
          <w:rFonts w:asciiTheme="minorHAnsi" w:hAnsiTheme="minorHAnsi" w:cstheme="minorHAnsi"/>
        </w:rPr>
        <w:t>HUF</w:t>
      </w:r>
      <w:r w:rsidRPr="00466073">
        <w:rPr>
          <w:rFonts w:asciiTheme="minorHAnsi" w:hAnsiTheme="minorHAnsi" w:cstheme="minorHAnsi"/>
          <w:lang w:val="el-GR"/>
        </w:rPr>
        <w:t xml:space="preserve"> ως κρατική ενίσχυση.</w:t>
      </w:r>
      <w:proofErr w:type="gramEnd"/>
      <w:r w:rsidRPr="00466073">
        <w:rPr>
          <w:rFonts w:asciiTheme="minorHAnsi" w:hAnsiTheme="minorHAnsi" w:cstheme="minorHAnsi"/>
          <w:lang w:val="el-GR"/>
        </w:rPr>
        <w:t xml:space="preserve"> Από τις 5.000 επιχειρήσεις που συνθέτουν την ουγγρική βιομηχανία τροφίμων, περίπου 1.000 έχουν εξαγωγικό προσανατολισμό, ενώ τα έσοδα από τις εξαγωγές αγγίζουν τα 1.300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w:t>
      </w:r>
      <w:proofErr w:type="gramStart"/>
      <w:r w:rsidRPr="00466073">
        <w:rPr>
          <w:rFonts w:asciiTheme="minorHAnsi" w:hAnsiTheme="minorHAnsi" w:cstheme="minorHAnsi"/>
        </w:rPr>
        <w:t>HUF</w:t>
      </w:r>
      <w:r w:rsidRPr="00466073">
        <w:rPr>
          <w:rFonts w:asciiTheme="minorHAnsi" w:hAnsiTheme="minorHAnsi" w:cstheme="minorHAnsi"/>
          <w:lang w:val="el-GR"/>
        </w:rPr>
        <w:t>.</w:t>
      </w:r>
      <w:proofErr w:type="gramEnd"/>
      <w:r w:rsidRPr="00466073">
        <w:rPr>
          <w:rFonts w:asciiTheme="minorHAnsi" w:hAnsiTheme="minorHAnsi" w:cstheme="minorHAnsi"/>
          <w:lang w:val="el-GR"/>
        </w:rPr>
        <w:t xml:space="preserve"> Σημειώνεται ότι επί του παρόντος, 30% των εσόδων της βιομηχανίας τροφίμων προέρχεται από τις εξαγωγές. Σύμφωνα με εκτιμήσεις του Υπουργείου Γεωργίας, το ποσοστό αυτό θα αυξηθεί σταδιακά τα επόμενα χρόνια. Μεγαλύτερο μερίδιο των εσόδων προέρχεται από τη βιομηχανία κρέατος, τη βιομηχανία παραγωγής ζωοτροφών και τη μεταποίηση φρούτων και λαχανικών. </w:t>
      </w:r>
    </w:p>
    <w:p w:rsidR="001565F9" w:rsidRPr="00466073" w:rsidRDefault="00BF70B0" w:rsidP="00E865F8">
      <w:pPr>
        <w:pStyle w:val="lead"/>
        <w:spacing w:before="120" w:beforeAutospacing="0" w:after="120" w:afterAutospacing="0"/>
        <w:jc w:val="both"/>
        <w:rPr>
          <w:rFonts w:asciiTheme="minorHAnsi" w:hAnsiTheme="minorHAnsi" w:cstheme="minorHAnsi"/>
          <w:lang w:val="el-GR"/>
        </w:rPr>
      </w:pPr>
      <w:r w:rsidRPr="00466073">
        <w:rPr>
          <w:rFonts w:asciiTheme="minorHAnsi" w:hAnsiTheme="minorHAnsi" w:cstheme="minorHAnsi"/>
          <w:lang w:val="el-GR"/>
        </w:rPr>
        <w:lastRenderedPageBreak/>
        <w:t xml:space="preserve">Εξαιτίας </w:t>
      </w:r>
      <w:r w:rsidR="00E865F8" w:rsidRPr="00466073">
        <w:rPr>
          <w:rFonts w:asciiTheme="minorHAnsi" w:hAnsiTheme="minorHAnsi" w:cstheme="minorHAnsi"/>
          <w:lang w:val="el-GR"/>
        </w:rPr>
        <w:t>των οικονομικών επιπτώσεων τ</w:t>
      </w:r>
      <w:r w:rsidRPr="00466073">
        <w:rPr>
          <w:rFonts w:asciiTheme="minorHAnsi" w:hAnsiTheme="minorHAnsi" w:cstheme="minorHAnsi"/>
          <w:lang w:val="el-GR"/>
        </w:rPr>
        <w:t xml:space="preserve">ης πανδημίας COVID-19, οι αγροτικές επιχειρήσεις και οι εταιρείες τροφίμων της Ουγγαρίας </w:t>
      </w:r>
      <w:r w:rsidR="00E865F8" w:rsidRPr="00466073">
        <w:rPr>
          <w:rFonts w:asciiTheme="minorHAnsi" w:hAnsiTheme="minorHAnsi" w:cstheme="minorHAnsi"/>
          <w:lang w:val="el-GR"/>
        </w:rPr>
        <w:t xml:space="preserve">ενισχύθηκαν </w:t>
      </w:r>
      <w:r w:rsidRPr="00466073">
        <w:rPr>
          <w:rFonts w:asciiTheme="minorHAnsi" w:hAnsiTheme="minorHAnsi" w:cstheme="minorHAnsi"/>
          <w:lang w:val="el-GR"/>
        </w:rPr>
        <w:t xml:space="preserve">με το συνολικό ποσό των 25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HUF (€72,5 εκ.). Το πρόγραμμα οικονομικής ενίσχυσης </w:t>
      </w:r>
      <w:r w:rsidR="00E865F8" w:rsidRPr="00466073">
        <w:rPr>
          <w:rFonts w:asciiTheme="minorHAnsi" w:hAnsiTheme="minorHAnsi" w:cstheme="minorHAnsi"/>
          <w:lang w:val="el-GR"/>
        </w:rPr>
        <w:t>υλοποιήθηκε</w:t>
      </w:r>
      <w:r w:rsidRPr="00466073">
        <w:rPr>
          <w:rFonts w:asciiTheme="minorHAnsi" w:hAnsiTheme="minorHAnsi" w:cstheme="minorHAnsi"/>
          <w:lang w:val="el-GR"/>
        </w:rPr>
        <w:t>: α) με την αύξηση των ποσών σε ήδη υφιστάμενες σε κάποιους τομείς, υποστηρικτικές δράσεις και β) με την υιοθέτηση νέων μεταβ</w:t>
      </w:r>
      <w:r w:rsidR="00E865F8" w:rsidRPr="00466073">
        <w:rPr>
          <w:rFonts w:asciiTheme="minorHAnsi" w:hAnsiTheme="minorHAnsi" w:cstheme="minorHAnsi"/>
          <w:lang w:val="el-GR"/>
        </w:rPr>
        <w:t xml:space="preserve">ατικών υποστηρικτικών δράσεων. </w:t>
      </w:r>
    </w:p>
    <w:p w:rsidR="00412E3C" w:rsidRPr="00466073" w:rsidRDefault="00E865F8" w:rsidP="00E865F8">
      <w:pPr>
        <w:pStyle w:val="lead"/>
        <w:spacing w:before="120" w:beforeAutospacing="0" w:after="120" w:afterAutospacing="0"/>
        <w:jc w:val="both"/>
        <w:rPr>
          <w:rFonts w:asciiTheme="minorHAnsi" w:hAnsiTheme="minorHAnsi" w:cstheme="minorHAnsi"/>
          <w:lang w:val="el-GR"/>
        </w:rPr>
      </w:pPr>
      <w:r w:rsidRPr="00466073">
        <w:rPr>
          <w:rFonts w:asciiTheme="minorHAnsi" w:hAnsiTheme="minorHAnsi" w:cstheme="minorHAnsi"/>
          <w:lang w:val="el-GR"/>
        </w:rPr>
        <w:t>Σ</w:t>
      </w:r>
      <w:r w:rsidR="00BF70B0" w:rsidRPr="00466073">
        <w:rPr>
          <w:rFonts w:asciiTheme="minorHAnsi" w:hAnsiTheme="minorHAnsi" w:cstheme="minorHAnsi"/>
          <w:lang w:val="el-GR"/>
        </w:rPr>
        <w:t xml:space="preserve">τόχος της κυβερνητικής αγροτικής πολιτικής είναι η εξασφάλιση της ασφάλειας και επάρκειας τροφίμων, καθώς και η ενίσχυση των εξαγωγικών δυνατοτήτων του κλάδου. </w:t>
      </w:r>
      <w:r w:rsidRPr="00466073">
        <w:rPr>
          <w:rFonts w:asciiTheme="minorHAnsi" w:hAnsiTheme="minorHAnsi" w:cstheme="minorHAnsi"/>
          <w:lang w:val="el-GR"/>
        </w:rPr>
        <w:t>Α</w:t>
      </w:r>
      <w:r w:rsidR="00BF70B0" w:rsidRPr="00466073">
        <w:rPr>
          <w:rFonts w:asciiTheme="minorHAnsi" w:hAnsiTheme="minorHAnsi" w:cstheme="minorHAnsi"/>
          <w:lang w:val="el-GR"/>
        </w:rPr>
        <w:t xml:space="preserve">πό το οικονομικό πρόγραμμα </w:t>
      </w:r>
      <w:r w:rsidRPr="00466073">
        <w:rPr>
          <w:rFonts w:asciiTheme="minorHAnsi" w:hAnsiTheme="minorHAnsi" w:cstheme="minorHAnsi"/>
          <w:lang w:val="el-GR"/>
        </w:rPr>
        <w:t xml:space="preserve">στήριξης, </w:t>
      </w:r>
      <w:r w:rsidR="00BF70B0" w:rsidRPr="00466073">
        <w:rPr>
          <w:rFonts w:asciiTheme="minorHAnsi" w:hAnsiTheme="minorHAnsi" w:cstheme="minorHAnsi"/>
          <w:lang w:val="el-GR"/>
        </w:rPr>
        <w:t>ωφελ</w:t>
      </w:r>
      <w:r w:rsidRPr="00466073">
        <w:rPr>
          <w:rFonts w:asciiTheme="minorHAnsi" w:hAnsiTheme="minorHAnsi" w:cstheme="minorHAnsi"/>
          <w:lang w:val="el-GR"/>
        </w:rPr>
        <w:t>ήθηκαν</w:t>
      </w:r>
      <w:r w:rsidR="00BF70B0" w:rsidRPr="00466073">
        <w:rPr>
          <w:rFonts w:asciiTheme="minorHAnsi" w:hAnsiTheme="minorHAnsi" w:cstheme="minorHAnsi"/>
          <w:lang w:val="el-GR"/>
        </w:rPr>
        <w:t xml:space="preserve"> περίπου 170.000 επιχειρήσεις, οι περισσότερες με προσωπικό κάτω των δέκα υπαλλήλων, καθώς και αυτοαπασχολούμενοι του κλάδου.</w:t>
      </w:r>
      <w:r w:rsidRPr="00466073">
        <w:rPr>
          <w:rFonts w:asciiTheme="minorHAnsi" w:hAnsiTheme="minorHAnsi" w:cstheme="minorHAnsi"/>
          <w:lang w:val="el-GR"/>
        </w:rPr>
        <w:t xml:space="preserve"> </w:t>
      </w:r>
      <w:r w:rsidR="00A87695" w:rsidRPr="00466073">
        <w:rPr>
          <w:rFonts w:asciiTheme="minorHAnsi" w:hAnsiTheme="minorHAnsi" w:cstheme="minorHAnsi"/>
          <w:lang w:val="el-GR"/>
        </w:rPr>
        <w:t xml:space="preserve">Τέλος, επισημαίνεται ότι η ουγγρική κυβέρνηση υποστηρίζει μόνο εκείνες τις εξαγωγικές και εισαγωγικές δραστηριότητες που δε βλάπτουν τον αγροτικό τομέα της χώρας και ακολουθούν πλήρως τις </w:t>
      </w:r>
      <w:proofErr w:type="spellStart"/>
      <w:r w:rsidR="00A87695" w:rsidRPr="00466073">
        <w:rPr>
          <w:rFonts w:asciiTheme="minorHAnsi" w:hAnsiTheme="minorHAnsi" w:cstheme="minorHAnsi"/>
          <w:lang w:val="el-GR"/>
        </w:rPr>
        <w:t>φυτοϋγειονομικές</w:t>
      </w:r>
      <w:proofErr w:type="spellEnd"/>
      <w:r w:rsidR="00A87695" w:rsidRPr="00466073">
        <w:rPr>
          <w:rFonts w:asciiTheme="minorHAnsi" w:hAnsiTheme="minorHAnsi" w:cstheme="minorHAnsi"/>
          <w:lang w:val="el-GR"/>
        </w:rPr>
        <w:t xml:space="preserve"> και κτηνοτροφικές διατάξεις, καθώς και τη νομοθεσία για την ασφάλεια των τροφίμων.</w:t>
      </w:r>
    </w:p>
    <w:p w:rsidR="00AB31B4" w:rsidRPr="00466073" w:rsidRDefault="00AB31B4" w:rsidP="006936EB">
      <w:pPr>
        <w:jc w:val="center"/>
        <w:rPr>
          <w:rFonts w:asciiTheme="minorHAnsi" w:hAnsiTheme="minorHAnsi" w:cstheme="minorHAnsi"/>
          <w:lang w:val="el-GR"/>
        </w:rPr>
      </w:pPr>
    </w:p>
    <w:p w:rsidR="00CA4AEB" w:rsidRPr="00466073" w:rsidRDefault="00A55AA6" w:rsidP="00A55AA6">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u w:val="single"/>
          <w:lang w:val="el-GR"/>
        </w:rPr>
      </w:pPr>
      <w:r w:rsidRPr="00466073">
        <w:rPr>
          <w:rFonts w:asciiTheme="minorHAnsi" w:hAnsiTheme="minorHAnsi" w:cstheme="minorHAnsi"/>
          <w:u w:val="single"/>
          <w:lang w:val="el-GR"/>
        </w:rPr>
        <w:t>Βιομηχανικός Τομέας</w:t>
      </w:r>
    </w:p>
    <w:p w:rsidR="001D201C" w:rsidRPr="00466073" w:rsidRDefault="009D5983" w:rsidP="001565F9">
      <w:pPr>
        <w:pStyle w:val="lead"/>
        <w:spacing w:before="120" w:beforeAutospacing="0" w:after="120" w:afterAutospacing="0"/>
        <w:jc w:val="both"/>
        <w:rPr>
          <w:rFonts w:asciiTheme="minorHAnsi" w:hAnsiTheme="minorHAnsi" w:cstheme="minorHAnsi"/>
          <w:lang w:val="hu-HU"/>
        </w:rPr>
      </w:pPr>
      <w:r w:rsidRPr="00466073">
        <w:rPr>
          <w:rFonts w:asciiTheme="minorHAnsi" w:hAnsiTheme="minorHAnsi" w:cstheme="minorHAnsi"/>
          <w:lang w:val="el-GR"/>
        </w:rPr>
        <w:t xml:space="preserve">Η Ουγγαρία δεν είναι τόσο πλούσια σε φυσικούς πόρους για τη βαριά βιομηχανία, οπότε αναγκαστικά βασίζεται στις εισαγωγές πρώτων υλών. Η βιομηχανία της Ουγγαρίας πριν τον Β΄ Παγκόσμιο Πόλεμο, </w:t>
      </w:r>
      <w:r w:rsidR="00FC548B" w:rsidRPr="00466073">
        <w:rPr>
          <w:rFonts w:asciiTheme="minorHAnsi" w:hAnsiTheme="minorHAnsi" w:cstheme="minorHAnsi"/>
          <w:lang w:val="el-GR"/>
        </w:rPr>
        <w:t xml:space="preserve">είχε αναπτυχθεί ελάχιστα, όμως από το 1948 κι ένθεν γνώρισε σημαντική ανάπτυξη και πλέον αποτελεί βασική πηγή των εξαγωγών της χώρας. Όλα τα εργοστάσια της χώρας είχαν κρατικοποιηθεί το 1949 και το 1985 η βιομηχανική παραγωγή </w:t>
      </w:r>
      <w:r w:rsidR="001D201C" w:rsidRPr="00466073">
        <w:rPr>
          <w:rFonts w:asciiTheme="minorHAnsi" w:hAnsiTheme="minorHAnsi" w:cstheme="minorHAnsi"/>
          <w:lang w:val="el-GR"/>
        </w:rPr>
        <w:t xml:space="preserve">αποτελούσε το 98,5% ΑΕΠ της χώρας. </w:t>
      </w:r>
    </w:p>
    <w:p w:rsidR="001D201C" w:rsidRPr="00466073" w:rsidRDefault="001D201C" w:rsidP="007D6B64">
      <w:pPr>
        <w:jc w:val="both"/>
        <w:rPr>
          <w:rFonts w:asciiTheme="minorHAnsi" w:hAnsiTheme="minorHAnsi" w:cstheme="minorHAnsi"/>
          <w:lang w:val="el-GR"/>
        </w:rPr>
      </w:pPr>
      <w:r w:rsidRPr="00466073">
        <w:rPr>
          <w:rFonts w:asciiTheme="minorHAnsi" w:hAnsiTheme="minorHAnsi" w:cstheme="minorHAnsi"/>
          <w:lang w:val="el-GR"/>
        </w:rPr>
        <w:t xml:space="preserve">Βάρος δόθηκε στην παραγωγή χάλυβα, εργαλείων, λεωφορείων, πετρελαιοκινητήρων, τραίνων, ηλεκτρικών οικιακών συσκευών (τηλεοράσεις, ραδιόφωνα, λαμπτήρες πυρακτώσεως και φθορίου, τηλεπικοινωνιακός εξοπλισμός, ψυγεία, πλυντήρια), ιατρικών συσκευών, φαρμακευτικών προϊόντων και πετροχημικών. Η βιομηχανία χημικών κυριάρχησε στις αρχές του 1990, ενώ υποχώρησαν σημαντικά η κλωστοϋφαντουργία και η βυρσοδεψία. </w:t>
      </w:r>
      <w:r w:rsidR="00610F02" w:rsidRPr="00466073">
        <w:rPr>
          <w:rFonts w:asciiTheme="minorHAnsi" w:hAnsiTheme="minorHAnsi" w:cstheme="minorHAnsi"/>
          <w:lang w:val="el-GR"/>
        </w:rPr>
        <w:t>Σημαντικός είναι επίσης και ο ρόλος της βιομηχανίας τροφίμων στις εξαγωγές της χώρας. Εντούτοις, το 1993 η βιομηχανική παραγωγή αποτελούσε μόνο τα 2/3 αυτής του 1985. Το 1997 το βάρος δόθηκε στην παραγωγή αυτοκινήτων</w:t>
      </w:r>
      <w:r w:rsidR="00610F02" w:rsidRPr="00466073">
        <w:rPr>
          <w:rStyle w:val="FootnoteReference"/>
          <w:rFonts w:asciiTheme="minorHAnsi" w:hAnsiTheme="minorHAnsi" w:cstheme="minorHAnsi"/>
          <w:lang w:val="el-GR"/>
        </w:rPr>
        <w:footnoteReference w:id="3"/>
      </w:r>
      <w:r w:rsidR="00610F02" w:rsidRPr="00466073">
        <w:rPr>
          <w:rFonts w:asciiTheme="minorHAnsi" w:hAnsiTheme="minorHAnsi" w:cstheme="minorHAnsi"/>
          <w:lang w:val="el-GR"/>
        </w:rPr>
        <w:t xml:space="preserve">, ηλεκτρικών ειδών, εξοπλισμού γραφείων, ηλεκτρονικών υπολογιστών, προϊόντων χάλυβα και αλουμινίου, χημικών προϊόντων για οικιακή χρήση, προϊόντων καλλωπισμού, πλαστικών προϊόντων και προϊόντων χάρτου. </w:t>
      </w:r>
      <w:r w:rsidR="00313A05" w:rsidRPr="00466073">
        <w:rPr>
          <w:rFonts w:asciiTheme="minorHAnsi" w:hAnsiTheme="minorHAnsi" w:cstheme="minorHAnsi"/>
          <w:lang w:val="el-GR"/>
        </w:rPr>
        <w:t xml:space="preserve">Κατά τη δεκαετία του 2000 η ανάπτυξη της βιομηχανικής παραγωγής και η αύξηση της παραγωγικότητας υποστηρίχθηκε από την εισροή επενδυτικών κεφαλαίων από το εξωτερικό. Η πολιτική προσέλκυσης επενδύσεων που ακολουθούσαν οι κυβερνήσεις των προηγούμενων ετών απέδωσαν καρπούς και μέχρι το 2002 το 80% της ουγγρικής οικονομίας ανήκε στον ιδιωτικό τομέα.  </w:t>
      </w:r>
    </w:p>
    <w:p w:rsidR="001D201C" w:rsidRPr="00466073" w:rsidRDefault="001D201C" w:rsidP="007D6B64">
      <w:pPr>
        <w:jc w:val="both"/>
        <w:rPr>
          <w:rFonts w:asciiTheme="minorHAnsi" w:hAnsiTheme="minorHAnsi" w:cstheme="minorHAnsi"/>
          <w:lang w:val="el-GR"/>
        </w:rPr>
      </w:pPr>
    </w:p>
    <w:p w:rsidR="00E76934" w:rsidRPr="00466073" w:rsidRDefault="00313A05" w:rsidP="000F4041">
      <w:pPr>
        <w:jc w:val="both"/>
        <w:rPr>
          <w:rFonts w:asciiTheme="minorHAnsi" w:hAnsiTheme="minorHAnsi" w:cstheme="minorHAnsi"/>
          <w:lang w:val="el-GR"/>
        </w:rPr>
      </w:pPr>
      <w:r w:rsidRPr="00466073">
        <w:rPr>
          <w:rFonts w:asciiTheme="minorHAnsi" w:hAnsiTheme="minorHAnsi" w:cstheme="minorHAnsi"/>
          <w:lang w:val="el-GR"/>
        </w:rPr>
        <w:t>Σήμερα, ο</w:t>
      </w:r>
      <w:r w:rsidR="006C00E2" w:rsidRPr="00466073">
        <w:rPr>
          <w:rFonts w:asciiTheme="minorHAnsi" w:hAnsiTheme="minorHAnsi" w:cstheme="minorHAnsi"/>
          <w:lang w:val="el-GR"/>
        </w:rPr>
        <w:t xml:space="preserve"> βιομηχανικός τομέας παρουσιάζεται ισχυρός, ακόμα και με τα ευρωπαϊκά δεδομένα, συνεισφέροντας σημαντικά στην εθνική οικονομία της χώρας</w:t>
      </w:r>
      <w:r w:rsidR="00F869E5" w:rsidRPr="00466073">
        <w:rPr>
          <w:rFonts w:asciiTheme="minorHAnsi" w:hAnsiTheme="minorHAnsi" w:cstheme="minorHAnsi"/>
          <w:lang w:val="el-GR"/>
        </w:rPr>
        <w:t xml:space="preserve">. Τα τελευταία χρόνια, τόσο ο όγκος όσο και η αξία της παραγωγής ακολουθούν ανοδική πορεία, όπως επίσης και ο αριθμός εργαζομένων στο </w:t>
      </w:r>
      <w:r w:rsidRPr="00466073">
        <w:rPr>
          <w:rFonts w:asciiTheme="minorHAnsi" w:hAnsiTheme="minorHAnsi" w:cstheme="minorHAnsi"/>
          <w:lang w:val="el-GR"/>
        </w:rPr>
        <w:t>συγκεκριμένο</w:t>
      </w:r>
      <w:r w:rsidR="00F869E5" w:rsidRPr="00466073">
        <w:rPr>
          <w:rFonts w:asciiTheme="minorHAnsi" w:hAnsiTheme="minorHAnsi" w:cstheme="minorHAnsi"/>
          <w:lang w:val="el-GR"/>
        </w:rPr>
        <w:t xml:space="preserve"> τομέα. Σύμφωνα με στοιχεία της Στατιστικής Υπηρεσίας της Ουγγαρίας, η συμμετοχή του βιομηχανικού τομέα στο ΑΕΠ της Ουγγαρίας από 24,7% </w:t>
      </w:r>
      <w:r w:rsidR="00AC63E9" w:rsidRPr="00466073">
        <w:rPr>
          <w:rFonts w:asciiTheme="minorHAnsi" w:hAnsiTheme="minorHAnsi" w:cstheme="minorHAnsi"/>
          <w:lang w:val="el-GR"/>
        </w:rPr>
        <w:t>(</w:t>
      </w:r>
      <w:r w:rsidR="00AC63E9" w:rsidRPr="00466073">
        <w:rPr>
          <w:rFonts w:asciiTheme="minorHAnsi" w:hAnsiTheme="minorHAnsi" w:cstheme="minorHAnsi"/>
        </w:rPr>
        <w:t>HUF</w:t>
      </w:r>
      <w:r w:rsidR="00AC63E9" w:rsidRPr="00466073">
        <w:rPr>
          <w:rFonts w:asciiTheme="minorHAnsi" w:hAnsiTheme="minorHAnsi" w:cstheme="minorHAnsi"/>
          <w:lang w:val="el-GR"/>
        </w:rPr>
        <w:t xml:space="preserve"> 5.903 δις.) </w:t>
      </w:r>
      <w:r w:rsidR="00F869E5" w:rsidRPr="00466073">
        <w:rPr>
          <w:rFonts w:asciiTheme="minorHAnsi" w:hAnsiTheme="minorHAnsi" w:cstheme="minorHAnsi"/>
          <w:lang w:val="el-GR"/>
        </w:rPr>
        <w:t xml:space="preserve">το 2011 έφτασε </w:t>
      </w:r>
      <w:r w:rsidR="00957B05" w:rsidRPr="00466073">
        <w:rPr>
          <w:rFonts w:asciiTheme="minorHAnsi" w:hAnsiTheme="minorHAnsi" w:cstheme="minorHAnsi"/>
          <w:lang w:val="el-GR"/>
        </w:rPr>
        <w:t>σε</w:t>
      </w:r>
      <w:r w:rsidR="00F869E5" w:rsidRPr="00466073">
        <w:rPr>
          <w:rFonts w:asciiTheme="minorHAnsi" w:hAnsiTheme="minorHAnsi" w:cstheme="minorHAnsi"/>
          <w:lang w:val="el-GR"/>
        </w:rPr>
        <w:t xml:space="preserve"> </w:t>
      </w:r>
      <w:r w:rsidR="001565F9" w:rsidRPr="00466073">
        <w:rPr>
          <w:rFonts w:asciiTheme="minorHAnsi" w:hAnsiTheme="minorHAnsi" w:cstheme="minorHAnsi"/>
          <w:lang w:val="el-GR"/>
        </w:rPr>
        <w:t>2</w:t>
      </w:r>
      <w:r w:rsidR="001565F9" w:rsidRPr="00466073">
        <w:rPr>
          <w:rFonts w:asciiTheme="minorHAnsi" w:hAnsiTheme="minorHAnsi" w:cstheme="minorHAnsi"/>
          <w:lang w:val="hu-HU"/>
        </w:rPr>
        <w:t>3</w:t>
      </w:r>
      <w:r w:rsidR="001565F9" w:rsidRPr="00466073">
        <w:rPr>
          <w:rFonts w:asciiTheme="minorHAnsi" w:hAnsiTheme="minorHAnsi" w:cstheme="minorHAnsi"/>
          <w:lang w:val="el-GR"/>
        </w:rPr>
        <w:t>,</w:t>
      </w:r>
      <w:r w:rsidR="001565F9" w:rsidRPr="00466073">
        <w:rPr>
          <w:rFonts w:asciiTheme="minorHAnsi" w:hAnsiTheme="minorHAnsi" w:cstheme="minorHAnsi"/>
          <w:lang w:val="hu-HU"/>
        </w:rPr>
        <w:t>8</w:t>
      </w:r>
      <w:r w:rsidR="00F869E5" w:rsidRPr="00466073">
        <w:rPr>
          <w:rFonts w:asciiTheme="minorHAnsi" w:hAnsiTheme="minorHAnsi" w:cstheme="minorHAnsi"/>
          <w:lang w:val="el-GR"/>
        </w:rPr>
        <w:t>%</w:t>
      </w:r>
      <w:r w:rsidR="00AC63E9" w:rsidRPr="00466073">
        <w:rPr>
          <w:rFonts w:asciiTheme="minorHAnsi" w:hAnsiTheme="minorHAnsi" w:cstheme="minorHAnsi"/>
          <w:lang w:val="el-GR"/>
        </w:rPr>
        <w:t xml:space="preserve"> </w:t>
      </w:r>
      <w:r w:rsidR="00F869E5" w:rsidRPr="00466073">
        <w:rPr>
          <w:rFonts w:asciiTheme="minorHAnsi" w:hAnsiTheme="minorHAnsi" w:cstheme="minorHAnsi"/>
          <w:lang w:val="el-GR"/>
        </w:rPr>
        <w:t>το 20</w:t>
      </w:r>
      <w:r w:rsidR="001565F9" w:rsidRPr="00466073">
        <w:rPr>
          <w:rFonts w:asciiTheme="minorHAnsi" w:hAnsiTheme="minorHAnsi" w:cstheme="minorHAnsi"/>
          <w:lang w:val="el-GR"/>
        </w:rPr>
        <w:t>2</w:t>
      </w:r>
      <w:r w:rsidR="001565F9" w:rsidRPr="00466073">
        <w:rPr>
          <w:rFonts w:asciiTheme="minorHAnsi" w:hAnsiTheme="minorHAnsi" w:cstheme="minorHAnsi"/>
          <w:lang w:val="hu-HU"/>
        </w:rPr>
        <w:t>1</w:t>
      </w:r>
      <w:r w:rsidR="00F869E5" w:rsidRPr="00466073">
        <w:rPr>
          <w:rFonts w:asciiTheme="minorHAnsi" w:hAnsiTheme="minorHAnsi" w:cstheme="minorHAnsi"/>
          <w:lang w:val="el-GR"/>
        </w:rPr>
        <w:t>.</w:t>
      </w:r>
      <w:r w:rsidR="00A85D8F" w:rsidRPr="00466073">
        <w:rPr>
          <w:rFonts w:asciiTheme="minorHAnsi" w:hAnsiTheme="minorHAnsi" w:cstheme="minorHAnsi"/>
          <w:lang w:val="el-GR"/>
        </w:rPr>
        <w:t xml:space="preserve"> </w:t>
      </w:r>
      <w:r w:rsidR="000F4041" w:rsidRPr="00466073">
        <w:rPr>
          <w:rFonts w:asciiTheme="minorHAnsi" w:hAnsiTheme="minorHAnsi" w:cstheme="minorHAnsi"/>
          <w:lang w:val="el-GR"/>
        </w:rPr>
        <w:t xml:space="preserve">Ο τομέας είναι κυρίως προσανατολισμένος στις εξαγωγές και κατά συνέπεια η </w:t>
      </w:r>
      <w:r w:rsidR="000F4041" w:rsidRPr="00466073">
        <w:rPr>
          <w:rFonts w:asciiTheme="minorHAnsi" w:hAnsiTheme="minorHAnsi" w:cstheme="minorHAnsi"/>
          <w:lang w:val="el-GR"/>
        </w:rPr>
        <w:lastRenderedPageBreak/>
        <w:t>αύξηση της προστιθέμενης αξίας αποτελεί πρωταρχικό στόχο της κυβέρνησης. Ας σημειωθεί ότι η μεγάλη</w:t>
      </w:r>
      <w:r w:rsidR="00957B05" w:rsidRPr="00466073">
        <w:rPr>
          <w:rFonts w:asciiTheme="minorHAnsi" w:hAnsiTheme="minorHAnsi" w:cstheme="minorHAnsi"/>
          <w:lang w:val="el-GR"/>
        </w:rPr>
        <w:t xml:space="preserve"> </w:t>
      </w:r>
      <w:r w:rsidR="000F4041" w:rsidRPr="00466073">
        <w:rPr>
          <w:rFonts w:asciiTheme="minorHAnsi" w:hAnsiTheme="minorHAnsi" w:cstheme="minorHAnsi"/>
          <w:lang w:val="el-GR"/>
        </w:rPr>
        <w:t xml:space="preserve">συμμετοχή του βιομηχανικού τομέα στις εξαγωγές, είναι χαρακτηριστικό και των υπόλοιπων χωρών </w:t>
      </w:r>
      <w:proofErr w:type="spellStart"/>
      <w:r w:rsidR="000F4041" w:rsidRPr="00466073">
        <w:rPr>
          <w:rFonts w:asciiTheme="minorHAnsi" w:hAnsiTheme="minorHAnsi" w:cstheme="minorHAnsi"/>
          <w:lang w:val="el-GR"/>
        </w:rPr>
        <w:t>Βίζεγκραντ</w:t>
      </w:r>
      <w:proofErr w:type="spellEnd"/>
      <w:r w:rsidR="000F4041" w:rsidRPr="00466073">
        <w:rPr>
          <w:rFonts w:asciiTheme="minorHAnsi" w:hAnsiTheme="minorHAnsi" w:cstheme="minorHAnsi"/>
          <w:lang w:val="el-GR"/>
        </w:rPr>
        <w:t xml:space="preserve">. </w:t>
      </w:r>
      <w:r w:rsidR="004E2C30" w:rsidRPr="00466073">
        <w:rPr>
          <w:rFonts w:asciiTheme="minorHAnsi" w:hAnsiTheme="minorHAnsi" w:cstheme="minorHAnsi"/>
          <w:lang w:val="el-GR"/>
        </w:rPr>
        <w:t xml:space="preserve">Ας σημειωθεί </w:t>
      </w:r>
      <w:r w:rsidR="007A1431" w:rsidRPr="00466073">
        <w:rPr>
          <w:rFonts w:asciiTheme="minorHAnsi" w:hAnsiTheme="minorHAnsi" w:cstheme="minorHAnsi"/>
          <w:lang w:val="el-GR"/>
        </w:rPr>
        <w:t xml:space="preserve">ότι, </w:t>
      </w:r>
      <w:r w:rsidR="004E2C30" w:rsidRPr="00466073">
        <w:rPr>
          <w:rFonts w:asciiTheme="minorHAnsi" w:hAnsiTheme="minorHAnsi" w:cstheme="minorHAnsi"/>
          <w:lang w:val="el-GR"/>
        </w:rPr>
        <w:t xml:space="preserve">οι </w:t>
      </w:r>
      <w:r w:rsidR="004E2C30" w:rsidRPr="00466073">
        <w:rPr>
          <w:rFonts w:asciiTheme="minorHAnsi" w:hAnsiTheme="minorHAnsi" w:cstheme="minorHAnsi"/>
          <w:color w:val="000000"/>
          <w:lang w:val="el-GR"/>
        </w:rPr>
        <w:t>χώρες αυτές</w:t>
      </w:r>
      <w:r w:rsidR="004E2C30" w:rsidRPr="00466073">
        <w:rPr>
          <w:rFonts w:asciiTheme="minorHAnsi" w:hAnsiTheme="minorHAnsi" w:cstheme="minorHAnsi"/>
          <w:lang w:val="el-GR"/>
        </w:rPr>
        <w:t xml:space="preserve"> (Ουγγαρία, Σλοβακία, Τσεχία και Πολωνία) υπέγραψαν Δήλωση Προθέσεων για συνεργασία στον βιομηχανικό τομέα, ώστε να ενισχύσουν τις δυνατότητές τους στην καινοτομία, να επισπεύσουν την εφαρμογή νέων τεχνολογιών και να ενθαρρύνουν τις επιχειρηματικές συνεργασίες. </w:t>
      </w:r>
    </w:p>
    <w:p w:rsidR="004E2C30" w:rsidRPr="00466073" w:rsidRDefault="004E2C30" w:rsidP="000F4041">
      <w:pPr>
        <w:jc w:val="both"/>
        <w:rPr>
          <w:rFonts w:asciiTheme="minorHAnsi" w:hAnsiTheme="minorHAnsi" w:cstheme="minorHAnsi"/>
          <w:lang w:val="el-GR"/>
        </w:rPr>
      </w:pPr>
      <w:r w:rsidRPr="00466073">
        <w:rPr>
          <w:rFonts w:asciiTheme="minorHAnsi" w:hAnsiTheme="minorHAnsi" w:cstheme="minorHAnsi"/>
          <w:lang w:val="el-GR"/>
        </w:rPr>
        <w:t xml:space="preserve">Μέσω της συνεργασίας αυτής, οι χώρες </w:t>
      </w:r>
      <w:proofErr w:type="spellStart"/>
      <w:r w:rsidRPr="00466073">
        <w:rPr>
          <w:rFonts w:asciiTheme="minorHAnsi" w:hAnsiTheme="minorHAnsi" w:cstheme="minorHAnsi"/>
        </w:rPr>
        <w:t>Visegrad</w:t>
      </w:r>
      <w:proofErr w:type="spellEnd"/>
      <w:r w:rsidRPr="00466073">
        <w:rPr>
          <w:rFonts w:asciiTheme="minorHAnsi" w:hAnsiTheme="minorHAnsi" w:cstheme="minorHAnsi"/>
          <w:lang w:val="el-GR"/>
        </w:rPr>
        <w:t xml:space="preserve"> 4 (</w:t>
      </w:r>
      <w:r w:rsidRPr="00466073">
        <w:rPr>
          <w:rFonts w:asciiTheme="minorHAnsi" w:hAnsiTheme="minorHAnsi" w:cstheme="minorHAnsi"/>
        </w:rPr>
        <w:t>V</w:t>
      </w:r>
      <w:r w:rsidRPr="00466073">
        <w:rPr>
          <w:rFonts w:asciiTheme="minorHAnsi" w:hAnsiTheme="minorHAnsi" w:cstheme="minorHAnsi"/>
          <w:lang w:val="el-GR"/>
        </w:rPr>
        <w:t xml:space="preserve">4), επιδιώκουν επίσης, να εδραιωθούν ως ο κύριος μοχλός οικονομικής ανάπτυξης της Ε.Ε. στην περιοχή της Κεντρικής και Ανατολικής Ευρώπης. Πέραν αυτού, οι χώρες </w:t>
      </w:r>
      <w:r w:rsidRPr="00466073">
        <w:rPr>
          <w:rFonts w:asciiTheme="minorHAnsi" w:hAnsiTheme="minorHAnsi" w:cstheme="minorHAnsi"/>
        </w:rPr>
        <w:t>V</w:t>
      </w:r>
      <w:r w:rsidRPr="00466073">
        <w:rPr>
          <w:rFonts w:asciiTheme="minorHAnsi" w:hAnsiTheme="minorHAnsi" w:cstheme="minorHAnsi"/>
          <w:lang w:val="el-GR"/>
        </w:rPr>
        <w:t xml:space="preserve">4 σκοπεύουν να εναρμονίσουν τις βιομηχανικές πολιτικές τους, κυρίως αυτές που αφορούν στην αυτοκινητοβιομηχανία και στον βιομηχανικό εξοπλισμό.  </w:t>
      </w:r>
    </w:p>
    <w:p w:rsidR="004E2C30" w:rsidRPr="00466073" w:rsidRDefault="004E2C30" w:rsidP="000F4041">
      <w:pPr>
        <w:jc w:val="both"/>
        <w:rPr>
          <w:rFonts w:asciiTheme="minorHAnsi" w:hAnsiTheme="minorHAnsi" w:cstheme="minorHAnsi"/>
          <w:lang w:val="el-GR"/>
        </w:rPr>
      </w:pPr>
    </w:p>
    <w:p w:rsidR="000F4041" w:rsidRPr="00466073" w:rsidRDefault="000F4041" w:rsidP="000F4041">
      <w:pPr>
        <w:jc w:val="both"/>
        <w:rPr>
          <w:rFonts w:asciiTheme="minorHAnsi" w:hAnsiTheme="minorHAnsi" w:cstheme="minorHAnsi"/>
          <w:lang w:val="el-GR"/>
        </w:rPr>
      </w:pPr>
      <w:r w:rsidRPr="00466073">
        <w:rPr>
          <w:rFonts w:asciiTheme="minorHAnsi" w:hAnsiTheme="minorHAnsi" w:cstheme="minorHAnsi"/>
          <w:lang w:val="el-GR"/>
        </w:rPr>
        <w:t xml:space="preserve">Πάντως, το </w:t>
      </w:r>
      <w:r w:rsidR="004E2C30" w:rsidRPr="00466073">
        <w:rPr>
          <w:rFonts w:asciiTheme="minorHAnsi" w:hAnsiTheme="minorHAnsi" w:cstheme="minorHAnsi"/>
          <w:lang w:val="el-GR"/>
        </w:rPr>
        <w:t xml:space="preserve">υψηλό </w:t>
      </w:r>
      <w:r w:rsidRPr="00466073">
        <w:rPr>
          <w:rFonts w:asciiTheme="minorHAnsi" w:hAnsiTheme="minorHAnsi" w:cstheme="minorHAnsi"/>
          <w:lang w:val="el-GR"/>
        </w:rPr>
        <w:t xml:space="preserve">ποσοστό συμμετοχής της βιομηχανικής παραγωγής </w:t>
      </w:r>
      <w:r w:rsidR="004E2C30" w:rsidRPr="00466073">
        <w:rPr>
          <w:rFonts w:asciiTheme="minorHAnsi" w:hAnsiTheme="minorHAnsi" w:cstheme="minorHAnsi"/>
          <w:lang w:val="el-GR"/>
        </w:rPr>
        <w:t xml:space="preserve">της Ουγγαρίας </w:t>
      </w:r>
      <w:r w:rsidRPr="00466073">
        <w:rPr>
          <w:rFonts w:asciiTheme="minorHAnsi" w:hAnsiTheme="minorHAnsi" w:cstheme="minorHAnsi"/>
          <w:lang w:val="el-GR"/>
        </w:rPr>
        <w:t>στις εξαγωγές</w:t>
      </w:r>
      <w:r w:rsidR="00B85735" w:rsidRPr="00466073">
        <w:rPr>
          <w:rFonts w:asciiTheme="minorHAnsi" w:hAnsiTheme="minorHAnsi" w:cstheme="minorHAnsi"/>
          <w:lang w:val="el-GR"/>
        </w:rPr>
        <w:t xml:space="preserve"> (</w:t>
      </w:r>
      <w:r w:rsidR="007D7953" w:rsidRPr="00466073">
        <w:rPr>
          <w:rFonts w:asciiTheme="minorHAnsi" w:hAnsiTheme="minorHAnsi" w:cstheme="minorHAnsi"/>
          <w:lang w:val="el-GR"/>
        </w:rPr>
        <w:t>6</w:t>
      </w:r>
      <w:r w:rsidR="004E25EE" w:rsidRPr="00466073">
        <w:rPr>
          <w:rFonts w:asciiTheme="minorHAnsi" w:hAnsiTheme="minorHAnsi" w:cstheme="minorHAnsi"/>
          <w:lang w:val="el-GR"/>
        </w:rPr>
        <w:t>6</w:t>
      </w:r>
      <w:r w:rsidR="00B85735" w:rsidRPr="00466073">
        <w:rPr>
          <w:rFonts w:asciiTheme="minorHAnsi" w:hAnsiTheme="minorHAnsi" w:cstheme="minorHAnsi"/>
          <w:lang w:val="el-GR"/>
        </w:rPr>
        <w:t>%)</w:t>
      </w:r>
      <w:r w:rsidR="004E2C30" w:rsidRPr="00466073">
        <w:rPr>
          <w:rFonts w:asciiTheme="minorHAnsi" w:hAnsiTheme="minorHAnsi" w:cstheme="minorHAnsi"/>
          <w:lang w:val="el-GR"/>
        </w:rPr>
        <w:t xml:space="preserve"> δείχνει το</w:t>
      </w:r>
      <w:r w:rsidR="00957B05" w:rsidRPr="00466073">
        <w:rPr>
          <w:rFonts w:asciiTheme="minorHAnsi" w:hAnsiTheme="minorHAnsi" w:cstheme="minorHAnsi"/>
          <w:lang w:val="el-GR"/>
        </w:rPr>
        <w:t xml:space="preserve"> </w:t>
      </w:r>
      <w:r w:rsidRPr="00466073">
        <w:rPr>
          <w:rFonts w:asciiTheme="minorHAnsi" w:hAnsiTheme="minorHAnsi" w:cstheme="minorHAnsi"/>
          <w:lang w:val="el-GR"/>
        </w:rPr>
        <w:t>βαθμό ανταγωνιστικότητας του βιομηχανικού τομέα, αλλά και την εξάρτησή του από την εξωτερική ζήτηση. Τέλος, όσον αφορά στις εξαγωγές του βιομηχανικού τομέα, πρέπει να επισημανθεί ότι μόνο το</w:t>
      </w:r>
      <w:r w:rsidR="007D7953" w:rsidRPr="00466073">
        <w:rPr>
          <w:rFonts w:asciiTheme="minorHAnsi" w:hAnsiTheme="minorHAnsi" w:cstheme="minorHAnsi"/>
          <w:lang w:val="el-GR"/>
        </w:rPr>
        <w:t xml:space="preserve"> 4</w:t>
      </w:r>
      <w:r w:rsidR="004E25EE" w:rsidRPr="00466073">
        <w:rPr>
          <w:rFonts w:asciiTheme="minorHAnsi" w:hAnsiTheme="minorHAnsi" w:cstheme="minorHAnsi"/>
          <w:lang w:val="el-GR"/>
        </w:rPr>
        <w:t>0</w:t>
      </w:r>
      <w:r w:rsidRPr="00466073">
        <w:rPr>
          <w:rFonts w:asciiTheme="minorHAnsi" w:hAnsiTheme="minorHAnsi" w:cstheme="minorHAnsi"/>
          <w:lang w:val="el-GR"/>
        </w:rPr>
        <w:t xml:space="preserve">% της αξίας των τελικών προϊόντων προήλθε από τους εγχώριους παραγωγούς, ποσοστό που υπολείπεται του μέσου όρου των χωρών της περιοχής. </w:t>
      </w:r>
    </w:p>
    <w:p w:rsidR="00943279" w:rsidRPr="00466073" w:rsidRDefault="00943279" w:rsidP="000F4041">
      <w:pPr>
        <w:jc w:val="both"/>
        <w:rPr>
          <w:rFonts w:asciiTheme="minorHAnsi" w:hAnsiTheme="minorHAnsi" w:cstheme="minorHAnsi"/>
          <w:lang w:val="el-GR"/>
        </w:rPr>
      </w:pPr>
    </w:p>
    <w:p w:rsidR="00D41322" w:rsidRPr="00D47604" w:rsidRDefault="00D41322" w:rsidP="007D6B64">
      <w:pPr>
        <w:jc w:val="both"/>
        <w:rPr>
          <w:rFonts w:asciiTheme="minorHAnsi" w:hAnsiTheme="minorHAnsi" w:cstheme="minorHAnsi"/>
          <w:b/>
          <w:u w:val="single"/>
          <w:lang w:val="el-GR"/>
        </w:rPr>
      </w:pPr>
      <w:r w:rsidRPr="00D47604">
        <w:rPr>
          <w:rFonts w:asciiTheme="minorHAnsi" w:hAnsiTheme="minorHAnsi" w:cstheme="minorHAnsi"/>
          <w:b/>
          <w:u w:val="single"/>
          <w:lang w:val="el-GR"/>
        </w:rPr>
        <w:t>Βασικές βιομηχανίες της χώρας:</w:t>
      </w:r>
    </w:p>
    <w:p w:rsidR="00D47604" w:rsidRPr="00466073" w:rsidRDefault="00D47604" w:rsidP="007D6B64">
      <w:pPr>
        <w:jc w:val="both"/>
        <w:rPr>
          <w:rFonts w:asciiTheme="minorHAnsi" w:hAnsiTheme="minorHAnsi" w:cstheme="minorHAnsi"/>
          <w:u w:val="single"/>
          <w:lang w:val="el-GR"/>
        </w:rPr>
      </w:pPr>
    </w:p>
    <w:p w:rsidR="00C00C06" w:rsidRPr="00466073" w:rsidRDefault="00D41322" w:rsidP="00D41322">
      <w:pPr>
        <w:jc w:val="both"/>
        <w:rPr>
          <w:rFonts w:asciiTheme="minorHAnsi" w:hAnsiTheme="minorHAnsi" w:cstheme="minorHAnsi"/>
          <w:lang w:val="el-GR"/>
        </w:rPr>
      </w:pPr>
      <w:r w:rsidRPr="00466073">
        <w:rPr>
          <w:rFonts w:asciiTheme="minorHAnsi" w:hAnsiTheme="minorHAnsi" w:cstheme="minorHAnsi"/>
          <w:lang w:val="el-GR"/>
        </w:rPr>
        <w:t>-</w:t>
      </w:r>
      <w:r w:rsidRPr="00466073">
        <w:rPr>
          <w:rFonts w:asciiTheme="minorHAnsi" w:hAnsiTheme="minorHAnsi" w:cstheme="minorHAnsi"/>
          <w:b/>
          <w:lang w:val="el-GR"/>
        </w:rPr>
        <w:t>Αυτοκινητοβιομηχανία</w:t>
      </w:r>
      <w:r w:rsidR="00FB744C" w:rsidRPr="00466073">
        <w:rPr>
          <w:rFonts w:asciiTheme="minorHAnsi" w:hAnsiTheme="minorHAnsi" w:cstheme="minorHAnsi"/>
          <w:lang w:val="el-GR"/>
        </w:rPr>
        <w:t xml:space="preserve"> </w:t>
      </w:r>
    </w:p>
    <w:p w:rsidR="00D41322" w:rsidRPr="00466073" w:rsidRDefault="00AF7CE1" w:rsidP="00D41322">
      <w:pPr>
        <w:jc w:val="both"/>
        <w:rPr>
          <w:rFonts w:asciiTheme="minorHAnsi" w:hAnsiTheme="minorHAnsi" w:cstheme="minorHAnsi"/>
          <w:lang w:val="el-GR"/>
        </w:rPr>
      </w:pPr>
      <w:r w:rsidRPr="00466073">
        <w:rPr>
          <w:rFonts w:asciiTheme="minorHAnsi" w:hAnsiTheme="minorHAnsi" w:cstheme="minorHAnsi"/>
          <w:lang w:val="el-GR"/>
        </w:rPr>
        <w:t>Αποτελεί τον κορμό της βιομηχανικής παραγωγής της Ουγγαρίας και συντελεί στο 21% των συνολικών εξαγωγών. Στον τομέα δραστηριοποιούνται περισσότερες από</w:t>
      </w:r>
      <w:r w:rsidR="004E25EE" w:rsidRPr="00466073">
        <w:rPr>
          <w:rFonts w:asciiTheme="minorHAnsi" w:hAnsiTheme="minorHAnsi" w:cstheme="minorHAnsi"/>
          <w:lang w:val="el-GR"/>
        </w:rPr>
        <w:t xml:space="preserve"> 7</w:t>
      </w:r>
      <w:r w:rsidRPr="00466073">
        <w:rPr>
          <w:rFonts w:asciiTheme="minorHAnsi" w:hAnsiTheme="minorHAnsi" w:cstheme="minorHAnsi"/>
          <w:lang w:val="el-GR"/>
        </w:rPr>
        <w:t xml:space="preserve">00 εταιρείες οι οποίες </w:t>
      </w:r>
      <w:r w:rsidR="007A1431" w:rsidRPr="00466073">
        <w:rPr>
          <w:rFonts w:asciiTheme="minorHAnsi" w:hAnsiTheme="minorHAnsi" w:cstheme="minorHAnsi"/>
          <w:lang w:val="el-GR"/>
        </w:rPr>
        <w:t>απασχολούν περί τους 15</w:t>
      </w:r>
      <w:r w:rsidR="004E25EE" w:rsidRPr="00466073">
        <w:rPr>
          <w:rFonts w:asciiTheme="minorHAnsi" w:hAnsiTheme="minorHAnsi" w:cstheme="minorHAnsi"/>
          <w:lang w:val="el-GR"/>
        </w:rPr>
        <w:t>8</w:t>
      </w:r>
      <w:r w:rsidRPr="00466073">
        <w:rPr>
          <w:rFonts w:asciiTheme="minorHAnsi" w:hAnsiTheme="minorHAnsi" w:cstheme="minorHAnsi"/>
          <w:lang w:val="el-GR"/>
        </w:rPr>
        <w:t>.000 εργαζομένους</w:t>
      </w:r>
      <w:r w:rsidR="004E25EE" w:rsidRPr="00466073">
        <w:rPr>
          <w:rFonts w:asciiTheme="minorHAnsi" w:hAnsiTheme="minorHAnsi" w:cstheme="minorHAnsi"/>
          <w:lang w:val="el-GR"/>
        </w:rPr>
        <w:t xml:space="preserve"> (ποσοστό 3,4% του ενεργού πληθυσμού)</w:t>
      </w:r>
      <w:r w:rsidRPr="00466073">
        <w:rPr>
          <w:rFonts w:asciiTheme="minorHAnsi" w:hAnsiTheme="minorHAnsi" w:cstheme="minorHAnsi"/>
          <w:lang w:val="el-GR"/>
        </w:rPr>
        <w:t>. Τέσσερις μεγάλες αυτοκινητοβιομηχανίες (</w:t>
      </w:r>
      <w:proofErr w:type="spellStart"/>
      <w:r w:rsidRPr="00466073">
        <w:rPr>
          <w:rFonts w:asciiTheme="minorHAnsi" w:hAnsiTheme="minorHAnsi" w:cstheme="minorHAnsi"/>
          <w:lang w:val="el-GR"/>
        </w:rPr>
        <w:t>Original</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Equipment</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Manufacturers</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OEMs</w:t>
      </w:r>
      <w:proofErr w:type="spellEnd"/>
      <w:r w:rsidRPr="00466073">
        <w:rPr>
          <w:rFonts w:asciiTheme="minorHAnsi" w:hAnsiTheme="minorHAnsi" w:cstheme="minorHAnsi"/>
          <w:lang w:val="el-GR"/>
        </w:rPr>
        <w:t xml:space="preserve">), διατηρούν εργοστάσια παραγωγής </w:t>
      </w:r>
      <w:r w:rsidR="00163019" w:rsidRPr="00466073">
        <w:rPr>
          <w:rFonts w:asciiTheme="minorHAnsi" w:hAnsiTheme="minorHAnsi" w:cstheme="minorHAnsi"/>
          <w:lang w:val="el-GR"/>
        </w:rPr>
        <w:t xml:space="preserve">καθώς και αποθήκες ανταλλακτικών στην Ουγγαρία: </w:t>
      </w:r>
      <w:proofErr w:type="spellStart"/>
      <w:r w:rsidR="00163019" w:rsidRPr="00466073">
        <w:rPr>
          <w:rFonts w:asciiTheme="minorHAnsi" w:hAnsiTheme="minorHAnsi" w:cstheme="minorHAnsi"/>
          <w:lang w:val="el-GR"/>
        </w:rPr>
        <w:t>Suzuki</w:t>
      </w:r>
      <w:proofErr w:type="spellEnd"/>
      <w:r w:rsidR="00163019" w:rsidRPr="00466073">
        <w:rPr>
          <w:rFonts w:asciiTheme="minorHAnsi" w:hAnsiTheme="minorHAnsi" w:cstheme="minorHAnsi"/>
          <w:lang w:val="el-GR"/>
        </w:rPr>
        <w:t xml:space="preserve">, </w:t>
      </w:r>
      <w:proofErr w:type="spellStart"/>
      <w:r w:rsidR="00163019" w:rsidRPr="00466073">
        <w:rPr>
          <w:rFonts w:asciiTheme="minorHAnsi" w:hAnsiTheme="minorHAnsi" w:cstheme="minorHAnsi"/>
          <w:lang w:val="el-GR"/>
        </w:rPr>
        <w:t>Audi</w:t>
      </w:r>
      <w:proofErr w:type="spellEnd"/>
      <w:r w:rsidR="00163019" w:rsidRPr="00466073">
        <w:rPr>
          <w:rFonts w:asciiTheme="minorHAnsi" w:hAnsiTheme="minorHAnsi" w:cstheme="minorHAnsi"/>
          <w:lang w:val="el-GR"/>
        </w:rPr>
        <w:t xml:space="preserve">, </w:t>
      </w:r>
      <w:proofErr w:type="spellStart"/>
      <w:r w:rsidR="00163019" w:rsidRPr="00466073">
        <w:rPr>
          <w:rFonts w:asciiTheme="minorHAnsi" w:hAnsiTheme="minorHAnsi" w:cstheme="minorHAnsi"/>
          <w:lang w:val="el-GR"/>
        </w:rPr>
        <w:t>Opel</w:t>
      </w:r>
      <w:proofErr w:type="spellEnd"/>
      <w:r w:rsidRPr="00466073">
        <w:rPr>
          <w:rFonts w:asciiTheme="minorHAnsi" w:hAnsiTheme="minorHAnsi" w:cstheme="minorHAnsi"/>
          <w:lang w:val="el-GR"/>
        </w:rPr>
        <w:t xml:space="preserve"> και  </w:t>
      </w:r>
      <w:proofErr w:type="spellStart"/>
      <w:r w:rsidRPr="00466073">
        <w:rPr>
          <w:rFonts w:asciiTheme="minorHAnsi" w:hAnsiTheme="minorHAnsi" w:cstheme="minorHAnsi"/>
          <w:lang w:val="el-GR"/>
        </w:rPr>
        <w:t>Mercedes</w:t>
      </w:r>
      <w:proofErr w:type="spellEnd"/>
      <w:r w:rsidRPr="00466073">
        <w:rPr>
          <w:rFonts w:asciiTheme="minorHAnsi" w:hAnsiTheme="minorHAnsi" w:cstheme="minorHAnsi"/>
          <w:lang w:val="el-GR"/>
        </w:rPr>
        <w:t>-</w:t>
      </w:r>
      <w:proofErr w:type="spellStart"/>
      <w:r w:rsidR="004E25EE" w:rsidRPr="00466073">
        <w:rPr>
          <w:rFonts w:asciiTheme="minorHAnsi" w:hAnsiTheme="minorHAnsi" w:cstheme="minorHAnsi"/>
          <w:lang w:val="el-GR"/>
        </w:rPr>
        <w:t>Benz</w:t>
      </w:r>
      <w:proofErr w:type="spellEnd"/>
      <w:r w:rsidR="004E25EE" w:rsidRPr="00466073">
        <w:rPr>
          <w:rFonts w:asciiTheme="minorHAnsi" w:hAnsiTheme="minorHAnsi" w:cstheme="minorHAnsi"/>
          <w:lang w:val="el-GR"/>
        </w:rPr>
        <w:t>, καθώς και η κινεζική ΝΙΟ με πα</w:t>
      </w:r>
      <w:r w:rsidR="00D47604">
        <w:rPr>
          <w:rFonts w:asciiTheme="minorHAnsi" w:hAnsiTheme="minorHAnsi" w:cstheme="minorHAnsi"/>
          <w:lang w:val="el-GR"/>
        </w:rPr>
        <w:t>ραγωγή επιβατικών ηλεκτρικών λεωφο</w:t>
      </w:r>
      <w:r w:rsidR="004E25EE" w:rsidRPr="00466073">
        <w:rPr>
          <w:rFonts w:asciiTheme="minorHAnsi" w:hAnsiTheme="minorHAnsi" w:cstheme="minorHAnsi"/>
          <w:lang w:val="el-GR"/>
        </w:rPr>
        <w:t xml:space="preserve">ρείων. </w:t>
      </w:r>
      <w:r w:rsidR="00713E66" w:rsidRPr="00466073">
        <w:rPr>
          <w:rFonts w:asciiTheme="minorHAnsi" w:hAnsiTheme="minorHAnsi" w:cstheme="minorHAnsi"/>
          <w:lang w:val="el-GR"/>
        </w:rPr>
        <w:t xml:space="preserve">Η γερμανική </w:t>
      </w:r>
      <w:r w:rsidR="00713E66" w:rsidRPr="00466073">
        <w:rPr>
          <w:rFonts w:asciiTheme="minorHAnsi" w:hAnsiTheme="minorHAnsi" w:cstheme="minorHAnsi"/>
        </w:rPr>
        <w:t>BMW</w:t>
      </w:r>
      <w:r w:rsidR="00713E66" w:rsidRPr="00466073">
        <w:rPr>
          <w:rFonts w:asciiTheme="minorHAnsi" w:hAnsiTheme="minorHAnsi" w:cstheme="minorHAnsi"/>
          <w:lang w:val="el-GR"/>
        </w:rPr>
        <w:t xml:space="preserve"> </w:t>
      </w:r>
      <w:r w:rsidR="007A1431" w:rsidRPr="00466073">
        <w:rPr>
          <w:rFonts w:asciiTheme="minorHAnsi" w:hAnsiTheme="minorHAnsi" w:cstheme="minorHAnsi"/>
          <w:lang w:val="el-GR"/>
        </w:rPr>
        <w:t>έχει προχωρήσει στη διαδικασία ίδρυσης</w:t>
      </w:r>
      <w:r w:rsidR="00713E66" w:rsidRPr="00466073">
        <w:rPr>
          <w:rFonts w:asciiTheme="minorHAnsi" w:hAnsiTheme="minorHAnsi" w:cstheme="minorHAnsi"/>
          <w:lang w:val="el-GR"/>
        </w:rPr>
        <w:t xml:space="preserve"> εργοστ</w:t>
      </w:r>
      <w:r w:rsidR="007A1431" w:rsidRPr="00466073">
        <w:rPr>
          <w:rFonts w:asciiTheme="minorHAnsi" w:hAnsiTheme="minorHAnsi" w:cstheme="minorHAnsi"/>
          <w:lang w:val="el-GR"/>
        </w:rPr>
        <w:t>ασίου</w:t>
      </w:r>
      <w:r w:rsidR="00713E66" w:rsidRPr="00466073">
        <w:rPr>
          <w:rFonts w:asciiTheme="minorHAnsi" w:hAnsiTheme="minorHAnsi" w:cstheme="minorHAnsi"/>
          <w:lang w:val="el-GR"/>
        </w:rPr>
        <w:t xml:space="preserve"> στην Ουγγαρία (επένδυση ύψους €1 δις). </w:t>
      </w:r>
      <w:r w:rsidRPr="00466073">
        <w:rPr>
          <w:rFonts w:asciiTheme="minorHAnsi" w:hAnsiTheme="minorHAnsi" w:cstheme="minorHAnsi"/>
          <w:lang w:val="el-GR"/>
        </w:rPr>
        <w:t xml:space="preserve"> </w:t>
      </w:r>
      <w:r w:rsidR="00713E66" w:rsidRPr="00466073">
        <w:rPr>
          <w:rFonts w:asciiTheme="minorHAnsi" w:hAnsiTheme="minorHAnsi" w:cstheme="minorHAnsi"/>
          <w:lang w:val="el-GR"/>
        </w:rPr>
        <w:t>Π</w:t>
      </w:r>
      <w:r w:rsidRPr="00466073">
        <w:rPr>
          <w:rFonts w:asciiTheme="minorHAnsi" w:hAnsiTheme="minorHAnsi" w:cstheme="minorHAnsi"/>
          <w:lang w:val="el-GR"/>
        </w:rPr>
        <w:t>ολλές πολυεθνικές εταιρείες του χώρου</w:t>
      </w:r>
      <w:r w:rsidR="007A1431" w:rsidRPr="00466073">
        <w:rPr>
          <w:rFonts w:asciiTheme="minorHAnsi" w:hAnsiTheme="minorHAnsi" w:cstheme="minorHAnsi"/>
          <w:lang w:val="el-GR"/>
        </w:rPr>
        <w:t>,</w:t>
      </w:r>
      <w:r w:rsidRPr="00466073">
        <w:rPr>
          <w:rFonts w:asciiTheme="minorHAnsi" w:hAnsiTheme="minorHAnsi" w:cstheme="minorHAnsi"/>
          <w:lang w:val="el-GR"/>
        </w:rPr>
        <w:t xml:space="preserve"> λειτουργούν Κέντρα Έρευνας και Ανάπτυξης: </w:t>
      </w:r>
      <w:proofErr w:type="spellStart"/>
      <w:r w:rsidR="00D41322" w:rsidRPr="00466073">
        <w:rPr>
          <w:rFonts w:asciiTheme="minorHAnsi" w:hAnsiTheme="minorHAnsi" w:cstheme="minorHAnsi"/>
          <w:lang w:val="el-GR"/>
        </w:rPr>
        <w:t>Audi</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Bosch</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Knorr</w:t>
      </w:r>
      <w:proofErr w:type="spellEnd"/>
      <w:r w:rsidR="00D41322" w:rsidRPr="00466073">
        <w:rPr>
          <w:rFonts w:asciiTheme="minorHAnsi" w:hAnsiTheme="minorHAnsi" w:cstheme="minorHAnsi"/>
          <w:lang w:val="el-GR"/>
        </w:rPr>
        <w:t>-</w:t>
      </w:r>
      <w:proofErr w:type="spellStart"/>
      <w:r w:rsidR="00D41322" w:rsidRPr="00466073">
        <w:rPr>
          <w:rFonts w:asciiTheme="minorHAnsi" w:hAnsiTheme="minorHAnsi" w:cstheme="minorHAnsi"/>
          <w:lang w:val="el-GR"/>
        </w:rPr>
        <w:t>Bremse</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Thyssen</w:t>
      </w:r>
      <w:proofErr w:type="spellEnd"/>
      <w:r w:rsidR="00D41322" w:rsidRPr="00466073">
        <w:rPr>
          <w:rFonts w:asciiTheme="minorHAnsi" w:hAnsiTheme="minorHAnsi" w:cstheme="minorHAnsi"/>
          <w:lang w:val="el-GR"/>
        </w:rPr>
        <w:t>-</w:t>
      </w:r>
      <w:proofErr w:type="spellStart"/>
      <w:r w:rsidR="00D41322" w:rsidRPr="00466073">
        <w:rPr>
          <w:rFonts w:asciiTheme="minorHAnsi" w:hAnsiTheme="minorHAnsi" w:cstheme="minorHAnsi"/>
          <w:lang w:val="el-GR"/>
        </w:rPr>
        <w:t>Krupp</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Arvin</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Meritor</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Denso</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Continental</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Visteon</w:t>
      </w:r>
      <w:proofErr w:type="spellEnd"/>
      <w:r w:rsidR="00D41322" w:rsidRPr="00466073">
        <w:rPr>
          <w:rFonts w:asciiTheme="minorHAnsi" w:hAnsiTheme="minorHAnsi" w:cstheme="minorHAnsi"/>
          <w:lang w:val="el-GR"/>
        </w:rPr>
        <w:t xml:space="preserve">, WET, </w:t>
      </w:r>
      <w:proofErr w:type="spellStart"/>
      <w:r w:rsidR="00D41322" w:rsidRPr="00466073">
        <w:rPr>
          <w:rFonts w:asciiTheme="minorHAnsi" w:hAnsiTheme="minorHAnsi" w:cstheme="minorHAnsi"/>
          <w:lang w:val="el-GR"/>
        </w:rPr>
        <w:t>Draxlmaier</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Edag</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Temic</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Telefunken</w:t>
      </w:r>
      <w:proofErr w:type="spellEnd"/>
      <w:r w:rsidR="00D41322" w:rsidRPr="00466073">
        <w:rPr>
          <w:rFonts w:asciiTheme="minorHAnsi" w:hAnsiTheme="minorHAnsi" w:cstheme="minorHAnsi"/>
          <w:lang w:val="el-GR"/>
        </w:rPr>
        <w:t xml:space="preserve">, </w:t>
      </w:r>
      <w:r w:rsidRPr="00466073">
        <w:rPr>
          <w:rFonts w:asciiTheme="minorHAnsi" w:hAnsiTheme="minorHAnsi" w:cstheme="minorHAnsi"/>
          <w:lang w:val="el-GR"/>
        </w:rPr>
        <w:t xml:space="preserve">και </w:t>
      </w:r>
      <w:r w:rsidR="00D41322" w:rsidRPr="00466073">
        <w:rPr>
          <w:rFonts w:asciiTheme="minorHAnsi" w:hAnsiTheme="minorHAnsi" w:cstheme="minorHAnsi"/>
          <w:lang w:val="el-GR"/>
        </w:rPr>
        <w:t>ZF.</w:t>
      </w:r>
    </w:p>
    <w:p w:rsidR="00163019" w:rsidRPr="00466073" w:rsidRDefault="00A85D8F" w:rsidP="00A85D8F">
      <w:pPr>
        <w:jc w:val="both"/>
        <w:rPr>
          <w:rFonts w:asciiTheme="minorHAnsi" w:hAnsiTheme="minorHAnsi" w:cstheme="minorHAnsi"/>
          <w:lang w:val="el-GR"/>
        </w:rPr>
      </w:pPr>
      <w:r w:rsidRPr="00466073">
        <w:rPr>
          <w:rFonts w:asciiTheme="minorHAnsi" w:hAnsiTheme="minorHAnsi" w:cstheme="minorHAnsi"/>
          <w:lang w:val="el-GR"/>
        </w:rPr>
        <w:t xml:space="preserve">Σύμφωνα εξάλλου με την Ευρωπαϊκή Ένωση Κατασκευαστών Αυτοκινήτων (ACEA), η ανάπτυξη του συγκεκριμένου κλάδου στην Ουγγαρία το 2016, ξεπέρασε όλες τις υπόλοιπες ευρωπαϊκές χώρες. Η Ουγγαρία βρίσκεται πρώτη στη λίστα με ποσοστό ανάπτυξης 25,1% (για κάθε καινούριο αυτοκίνητο που πωλήθηκε, αναλογούν 102 κάτοικοι), ακολουθεί η Κροατία με 23,5% και η Κύπρος με 22,2%. Εντούτοις, ο ευρωπαϊκός μέσος όρος αγοράς καινούριου αυτοκινήτου ανά κάτοικο κυμαίνεται στο 1/35 και ξεπερνά κατά πολύ αυτόν της Ουγγαρίας. </w:t>
      </w:r>
      <w:r w:rsidR="00163019" w:rsidRPr="00466073">
        <w:rPr>
          <w:rFonts w:asciiTheme="minorHAnsi" w:hAnsiTheme="minorHAnsi" w:cstheme="minorHAnsi"/>
          <w:lang w:val="el-GR"/>
        </w:rPr>
        <w:t>Αξίζει να σημειωθεί ότι οι</w:t>
      </w:r>
      <w:r w:rsidRPr="00466073">
        <w:rPr>
          <w:rFonts w:asciiTheme="minorHAnsi" w:hAnsiTheme="minorHAnsi" w:cstheme="minorHAnsi"/>
          <w:lang w:val="el-GR"/>
        </w:rPr>
        <w:t xml:space="preserve"> υφιστάμενες επενδύσεις από τους μεγάλους κατασκευαστές, προσελκύουν πολλές μικρές και μεσαίες εταιρείες, που έχουν γίνει σταθεροί και στρατηγικοί συνεργάτες/προμηθευτές των μεγάλων κατασκευαστών αυτοκινήτων. </w:t>
      </w:r>
    </w:p>
    <w:p w:rsidR="00A85D8F" w:rsidRDefault="00A85D8F" w:rsidP="00D41322">
      <w:pPr>
        <w:jc w:val="both"/>
        <w:rPr>
          <w:rFonts w:asciiTheme="minorHAnsi" w:hAnsiTheme="minorHAnsi" w:cstheme="minorHAnsi"/>
          <w:lang w:val="el-GR"/>
        </w:rPr>
      </w:pPr>
      <w:r w:rsidRPr="00D47604">
        <w:rPr>
          <w:rFonts w:asciiTheme="minorHAnsi" w:hAnsiTheme="minorHAnsi" w:cstheme="minorHAnsi"/>
          <w:lang w:val="el-GR"/>
        </w:rPr>
        <w:t>Λαμβάνοντας υπόψη τα ανωτέρω, εκτιμούμε ότι υπάρχουν για την Ελλάδα δυνατότητες εξαγωγ</w:t>
      </w:r>
      <w:r w:rsidR="005D1C84" w:rsidRPr="00D47604">
        <w:rPr>
          <w:rFonts w:asciiTheme="minorHAnsi" w:hAnsiTheme="minorHAnsi" w:cstheme="minorHAnsi"/>
          <w:lang w:val="el-GR"/>
        </w:rPr>
        <w:t>ής</w:t>
      </w:r>
      <w:r w:rsidRPr="00D47604">
        <w:rPr>
          <w:rFonts w:asciiTheme="minorHAnsi" w:hAnsiTheme="minorHAnsi" w:cstheme="minorHAnsi"/>
          <w:lang w:val="el-GR"/>
        </w:rPr>
        <w:t xml:space="preserve"> πρώτων υλών (π.χ. φύλλα χάλυβα, φύλλα αλουμινίου, έτοιμα μηχανολογικά/ηλεκτρολογικά εξαρτήματα κ.α.) για την κατασκευή αυτοκινήτων και μερών</w:t>
      </w:r>
      <w:r w:rsidR="00163019" w:rsidRPr="00D47604">
        <w:rPr>
          <w:rFonts w:asciiTheme="minorHAnsi" w:hAnsiTheme="minorHAnsi" w:cstheme="minorHAnsi"/>
          <w:lang w:val="el-GR"/>
        </w:rPr>
        <w:t xml:space="preserve"> αυτών</w:t>
      </w:r>
      <w:r w:rsidRPr="00D47604">
        <w:rPr>
          <w:rFonts w:asciiTheme="minorHAnsi" w:hAnsiTheme="minorHAnsi" w:cstheme="minorHAnsi"/>
          <w:lang w:val="el-GR"/>
        </w:rPr>
        <w:t>.</w:t>
      </w:r>
      <w:r w:rsidR="00D47604">
        <w:rPr>
          <w:rFonts w:asciiTheme="minorHAnsi" w:hAnsiTheme="minorHAnsi" w:cstheme="minorHAnsi"/>
          <w:lang w:val="el-GR"/>
        </w:rPr>
        <w:t xml:space="preserve"> Επίσης ελληνικές εξωστρεφείς επιχειρήσεις, όπως για παράδειγμα η ΑΛΟΥΜΥΛ, συνεργάζονται με εδώ εταιρείες κατασκευάζοντας ειδικά τμήματα των αυτοκινήτων που παράγονται στη χώρα. </w:t>
      </w:r>
    </w:p>
    <w:p w:rsidR="002E7491" w:rsidRDefault="002E7491" w:rsidP="00D41322">
      <w:pPr>
        <w:jc w:val="both"/>
        <w:rPr>
          <w:rFonts w:asciiTheme="minorHAnsi" w:hAnsiTheme="minorHAnsi" w:cstheme="minorHAnsi"/>
          <w:lang w:val="el-GR"/>
        </w:rPr>
      </w:pPr>
    </w:p>
    <w:p w:rsidR="002E7491" w:rsidRPr="00D47604" w:rsidRDefault="002E7491" w:rsidP="00D41322">
      <w:pPr>
        <w:jc w:val="both"/>
        <w:rPr>
          <w:rFonts w:asciiTheme="minorHAnsi" w:hAnsiTheme="minorHAnsi" w:cstheme="minorHAnsi"/>
          <w:lang w:val="el-GR"/>
        </w:rPr>
      </w:pPr>
    </w:p>
    <w:p w:rsidR="00D41322" w:rsidRPr="00466073" w:rsidRDefault="00D41322" w:rsidP="007D6B64">
      <w:pPr>
        <w:jc w:val="both"/>
        <w:rPr>
          <w:rFonts w:asciiTheme="minorHAnsi" w:hAnsiTheme="minorHAnsi" w:cstheme="minorHAnsi"/>
          <w:color w:val="FF0000"/>
          <w:lang w:val="el-GR"/>
        </w:rPr>
      </w:pPr>
    </w:p>
    <w:p w:rsidR="00D41322" w:rsidRPr="00466073" w:rsidRDefault="00D41322" w:rsidP="007D6B64">
      <w:pPr>
        <w:jc w:val="both"/>
        <w:rPr>
          <w:rFonts w:asciiTheme="minorHAnsi" w:hAnsiTheme="minorHAnsi" w:cstheme="minorHAnsi"/>
          <w:b/>
          <w:lang w:val="el-GR"/>
        </w:rPr>
      </w:pPr>
      <w:r w:rsidRPr="00466073">
        <w:rPr>
          <w:rFonts w:asciiTheme="minorHAnsi" w:hAnsiTheme="minorHAnsi" w:cstheme="minorHAnsi"/>
          <w:b/>
          <w:lang w:val="el-GR"/>
        </w:rPr>
        <w:lastRenderedPageBreak/>
        <w:t>-Ηλεκτρονικά</w:t>
      </w:r>
    </w:p>
    <w:p w:rsidR="00D41322" w:rsidRPr="00466073" w:rsidRDefault="00C00C06" w:rsidP="007D6B64">
      <w:pPr>
        <w:jc w:val="both"/>
        <w:rPr>
          <w:rFonts w:asciiTheme="minorHAnsi" w:hAnsiTheme="minorHAnsi" w:cstheme="minorHAnsi"/>
          <w:lang w:val="el-GR"/>
        </w:rPr>
      </w:pPr>
      <w:r w:rsidRPr="00466073">
        <w:rPr>
          <w:rFonts w:asciiTheme="minorHAnsi" w:hAnsiTheme="minorHAnsi" w:cstheme="minorHAnsi"/>
          <w:lang w:val="el-GR"/>
        </w:rPr>
        <w:t>Αποτελούν σημαντικό κομμάτι της συνολικής βιομηχανικής παραγωγής (22</w:t>
      </w:r>
      <w:r w:rsidR="004E25EE" w:rsidRPr="00466073">
        <w:rPr>
          <w:rFonts w:asciiTheme="minorHAnsi" w:hAnsiTheme="minorHAnsi" w:cstheme="minorHAnsi"/>
          <w:lang w:val="el-GR"/>
        </w:rPr>
        <w:t>,7</w:t>
      </w:r>
      <w:r w:rsidRPr="00466073">
        <w:rPr>
          <w:rFonts w:asciiTheme="minorHAnsi" w:hAnsiTheme="minorHAnsi" w:cstheme="minorHAnsi"/>
          <w:lang w:val="el-GR"/>
        </w:rPr>
        <w:t>%) της Ουγγαρίας, η οποία έχει πλέον ανακηρυχθεί στον μεγαλύτερο παραγωγό της Κεντροανατολικής Ευρώπης (26%). Στον κλάδο απασχολούνται συνολικά περίπου</w:t>
      </w:r>
      <w:r w:rsidR="00B828F5" w:rsidRPr="00466073">
        <w:rPr>
          <w:rFonts w:asciiTheme="minorHAnsi" w:hAnsiTheme="minorHAnsi" w:cstheme="minorHAnsi"/>
          <w:lang w:val="el-GR"/>
        </w:rPr>
        <w:t xml:space="preserve"> 175</w:t>
      </w:r>
      <w:r w:rsidRPr="00466073">
        <w:rPr>
          <w:rFonts w:asciiTheme="minorHAnsi" w:hAnsiTheme="minorHAnsi" w:cstheme="minorHAnsi"/>
          <w:lang w:val="el-GR"/>
        </w:rPr>
        <w:t xml:space="preserve">.000 άτομα, ενώ στη χώρα δραστηριοποιούνται </w:t>
      </w:r>
      <w:r w:rsidR="004D1276">
        <w:rPr>
          <w:rFonts w:asciiTheme="minorHAnsi" w:hAnsiTheme="minorHAnsi" w:cstheme="minorHAnsi"/>
          <w:lang w:val="el-GR"/>
        </w:rPr>
        <w:br/>
      </w:r>
      <w:r w:rsidRPr="00466073">
        <w:rPr>
          <w:rFonts w:asciiTheme="minorHAnsi" w:hAnsiTheme="minorHAnsi" w:cstheme="minorHAnsi"/>
          <w:lang w:val="el-GR"/>
        </w:rPr>
        <w:t xml:space="preserve">παραγωγικά κάποιες από τις μεγαλύτερες ευρωπαϊκές εταιρείες, όπως οι </w:t>
      </w:r>
      <w:proofErr w:type="spellStart"/>
      <w:r w:rsidR="00D41322" w:rsidRPr="00466073">
        <w:rPr>
          <w:rFonts w:asciiTheme="minorHAnsi" w:hAnsiTheme="minorHAnsi" w:cstheme="minorHAnsi"/>
          <w:lang w:val="el-GR"/>
        </w:rPr>
        <w:t>Jabil</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Flextroni</w:t>
      </w:r>
      <w:r w:rsidRPr="00466073">
        <w:rPr>
          <w:rFonts w:asciiTheme="minorHAnsi" w:hAnsiTheme="minorHAnsi" w:cstheme="minorHAnsi"/>
          <w:lang w:val="el-GR"/>
        </w:rPr>
        <w:t>cs</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Foxconn</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Sanmina</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Zollner</w:t>
      </w:r>
      <w:proofErr w:type="spellEnd"/>
      <w:r w:rsidRPr="00466073">
        <w:rPr>
          <w:rFonts w:asciiTheme="minorHAnsi" w:hAnsiTheme="minorHAnsi" w:cstheme="minorHAnsi"/>
          <w:lang w:val="el-GR"/>
        </w:rPr>
        <w:t xml:space="preserve"> και</w:t>
      </w:r>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Videoton</w:t>
      </w:r>
      <w:proofErr w:type="spellEnd"/>
      <w:r w:rsidR="00D41322" w:rsidRPr="00466073">
        <w:rPr>
          <w:rFonts w:asciiTheme="minorHAnsi" w:hAnsiTheme="minorHAnsi" w:cstheme="minorHAnsi"/>
          <w:lang w:val="el-GR"/>
        </w:rPr>
        <w:t xml:space="preserve">. </w:t>
      </w:r>
    </w:p>
    <w:p w:rsidR="00C00C06" w:rsidRPr="00466073" w:rsidRDefault="00C00C06" w:rsidP="007D6B64">
      <w:pPr>
        <w:jc w:val="both"/>
        <w:rPr>
          <w:rFonts w:asciiTheme="minorHAnsi" w:hAnsiTheme="minorHAnsi" w:cstheme="minorHAnsi"/>
          <w:color w:val="FF0000"/>
          <w:lang w:val="el-GR"/>
        </w:rPr>
      </w:pPr>
    </w:p>
    <w:p w:rsidR="00D41322" w:rsidRPr="00466073" w:rsidRDefault="00D41322" w:rsidP="007D6B64">
      <w:pPr>
        <w:jc w:val="both"/>
        <w:rPr>
          <w:rFonts w:asciiTheme="minorHAnsi" w:hAnsiTheme="minorHAnsi" w:cstheme="minorHAnsi"/>
          <w:b/>
          <w:lang w:val="el-GR"/>
        </w:rPr>
      </w:pPr>
      <w:r w:rsidRPr="00466073">
        <w:rPr>
          <w:rFonts w:asciiTheme="minorHAnsi" w:hAnsiTheme="minorHAnsi" w:cstheme="minorHAnsi"/>
          <w:b/>
          <w:lang w:val="el-GR"/>
        </w:rPr>
        <w:t>-Φάρμακα / Τεχνολογία ιατρικής</w:t>
      </w:r>
    </w:p>
    <w:p w:rsidR="008C121E" w:rsidRPr="00466073" w:rsidRDefault="0099251C" w:rsidP="0099251C">
      <w:pPr>
        <w:jc w:val="both"/>
        <w:rPr>
          <w:rFonts w:asciiTheme="minorHAnsi" w:hAnsiTheme="minorHAnsi" w:cstheme="minorHAnsi"/>
          <w:lang w:val="hu-HU"/>
        </w:rPr>
      </w:pPr>
      <w:r w:rsidRPr="00466073">
        <w:rPr>
          <w:rFonts w:asciiTheme="minorHAnsi" w:hAnsiTheme="minorHAnsi" w:cstheme="minorHAnsi"/>
          <w:lang w:val="el-GR"/>
        </w:rPr>
        <w:t xml:space="preserve">Ο κλάδος των </w:t>
      </w:r>
      <w:proofErr w:type="spellStart"/>
      <w:r w:rsidRPr="00466073">
        <w:rPr>
          <w:rFonts w:asciiTheme="minorHAnsi" w:hAnsiTheme="minorHAnsi" w:cstheme="minorHAnsi"/>
          <w:lang w:val="el-GR"/>
        </w:rPr>
        <w:t>βιοεπιστημών</w:t>
      </w:r>
      <w:proofErr w:type="spellEnd"/>
      <w:r w:rsidRPr="00466073">
        <w:rPr>
          <w:rFonts w:asciiTheme="minorHAnsi" w:hAnsiTheme="minorHAnsi" w:cstheme="minorHAnsi"/>
          <w:lang w:val="el-GR"/>
        </w:rPr>
        <w:t xml:space="preserve"> συγκαταλέγεται στους παραδοσιακούς κλάδους της οικονομίας της χώρας, με δράση που ξεπερνάει τα 100 έτη, πολλές καινοτομίες, εξειδικεύσεις και σημαντικές εξαγωγές. Η συνεργασία μεταξύ ακαδημαϊκών ιδρυμάτων, ξένων και ουγγρικών φορέων, ερευνητικών κέντρων και καινοτόμων μικρομεσαίων επιχειρήσεων, έχει οδηγήσει στη σύσφιξη των σχέσεων μεταξύ επιστήμης και βιομηχανίας, με θετικό αποτέλεσμα για τη χώρα. Στην Ουγγαρία, ο κλάδος των </w:t>
      </w:r>
      <w:proofErr w:type="spellStart"/>
      <w:r w:rsidRPr="00466073">
        <w:rPr>
          <w:rFonts w:asciiTheme="minorHAnsi" w:hAnsiTheme="minorHAnsi" w:cstheme="minorHAnsi"/>
          <w:lang w:val="el-GR"/>
        </w:rPr>
        <w:t>βιοεπιστημών</w:t>
      </w:r>
      <w:proofErr w:type="spellEnd"/>
      <w:r w:rsidRPr="00466073">
        <w:rPr>
          <w:rFonts w:asciiTheme="minorHAnsi" w:hAnsiTheme="minorHAnsi" w:cstheme="minorHAnsi"/>
          <w:lang w:val="el-GR"/>
        </w:rPr>
        <w:t>, αποτελείται από δύο βασικούς τομείς</w:t>
      </w:r>
      <w:r w:rsidR="008C121E" w:rsidRPr="00466073">
        <w:rPr>
          <w:rFonts w:asciiTheme="minorHAnsi" w:hAnsiTheme="minorHAnsi" w:cstheme="minorHAnsi"/>
          <w:lang w:val="el-GR"/>
        </w:rPr>
        <w:t xml:space="preserve"> οι οποίοι συμμετέχουν με σημαντικό και συνεχώς αυξανόμενο ποσοστό στην οικονομία της Ουγγαρίας</w:t>
      </w:r>
      <w:r w:rsidR="00B828F5" w:rsidRPr="00466073">
        <w:rPr>
          <w:rFonts w:asciiTheme="minorHAnsi" w:hAnsiTheme="minorHAnsi" w:cstheme="minorHAnsi"/>
          <w:lang w:val="el-GR"/>
        </w:rPr>
        <w:t>, απασχολώντας περισσότερους από 50.000 εργαζόμενους.</w:t>
      </w:r>
      <w:r w:rsidRPr="00466073">
        <w:rPr>
          <w:rFonts w:asciiTheme="minorHAnsi" w:hAnsiTheme="minorHAnsi" w:cstheme="minorHAnsi"/>
          <w:lang w:val="el-GR"/>
        </w:rPr>
        <w:t xml:space="preserve"> </w:t>
      </w:r>
    </w:p>
    <w:p w:rsidR="004D1276" w:rsidRDefault="004D1276" w:rsidP="008C121E">
      <w:pPr>
        <w:jc w:val="both"/>
        <w:rPr>
          <w:rFonts w:asciiTheme="minorHAnsi" w:hAnsiTheme="minorHAnsi" w:cstheme="minorHAnsi"/>
          <w:lang w:val="el-GR"/>
        </w:rPr>
      </w:pPr>
    </w:p>
    <w:p w:rsidR="004D1276" w:rsidRDefault="004D1276" w:rsidP="008C121E">
      <w:pPr>
        <w:jc w:val="both"/>
        <w:rPr>
          <w:rFonts w:asciiTheme="minorHAnsi" w:hAnsiTheme="minorHAnsi" w:cstheme="minorHAnsi"/>
          <w:lang w:val="el-GR"/>
        </w:rPr>
      </w:pPr>
      <w:r>
        <w:rPr>
          <w:rFonts w:asciiTheme="minorHAnsi" w:hAnsiTheme="minorHAnsi" w:cstheme="minorHAnsi"/>
          <w:lang w:val="el-GR"/>
        </w:rPr>
        <w:t>Εν λόγω τομέας</w:t>
      </w:r>
      <w:r w:rsidR="008C121E" w:rsidRPr="00466073">
        <w:rPr>
          <w:rFonts w:asciiTheme="minorHAnsi" w:hAnsiTheme="minorHAnsi" w:cstheme="minorHAnsi"/>
          <w:lang w:val="el-GR"/>
        </w:rPr>
        <w:t xml:space="preserve"> αποτελεί έναν από τους σημαντικότερους για την ουγγρική οικονομία, ενώ παράλληλα είναι και ο πλέον ανεπτυγμένος στην Κεντροανατολική </w:t>
      </w:r>
      <w:r w:rsidR="00B828F5" w:rsidRPr="00466073">
        <w:rPr>
          <w:rFonts w:asciiTheme="minorHAnsi" w:hAnsiTheme="minorHAnsi" w:cstheme="minorHAnsi"/>
          <w:lang w:val="el-GR"/>
        </w:rPr>
        <w:t>Ευρώπη με την παρουσία 82 εταιρειών.</w:t>
      </w:r>
      <w:r w:rsidR="008C121E" w:rsidRPr="00466073">
        <w:rPr>
          <w:rFonts w:asciiTheme="minorHAnsi" w:hAnsiTheme="minorHAnsi" w:cstheme="minorHAnsi"/>
          <w:lang w:val="el-GR"/>
        </w:rPr>
        <w:t xml:space="preserve"> Σε αυτόν τον υψηλής προστιθέμενης αξίας κλάδο απασχολούνται περίπου 15.000 άτομα υψηλής επαγγελματικής κατάρτισης, ενώ οι κυριότερες εταιρείες είναι εγκατεστημένες στην Βουδαπέστη αλλά και στις πόλεις  </w:t>
      </w:r>
      <w:proofErr w:type="spellStart"/>
      <w:r w:rsidR="008C121E" w:rsidRPr="00466073">
        <w:rPr>
          <w:rFonts w:asciiTheme="minorHAnsi" w:hAnsiTheme="minorHAnsi" w:cstheme="minorHAnsi"/>
          <w:lang w:val="el-GR"/>
        </w:rPr>
        <w:t>Debrecen</w:t>
      </w:r>
      <w:proofErr w:type="spellEnd"/>
      <w:r w:rsidR="008C121E" w:rsidRPr="00466073">
        <w:rPr>
          <w:rFonts w:asciiTheme="minorHAnsi" w:hAnsiTheme="minorHAnsi" w:cstheme="minorHAnsi"/>
          <w:lang w:val="el-GR"/>
        </w:rPr>
        <w:t xml:space="preserve">, </w:t>
      </w:r>
      <w:proofErr w:type="spellStart"/>
      <w:r w:rsidR="008C121E" w:rsidRPr="00466073">
        <w:rPr>
          <w:rFonts w:asciiTheme="minorHAnsi" w:hAnsiTheme="minorHAnsi" w:cstheme="minorHAnsi"/>
          <w:lang w:val="el-GR"/>
        </w:rPr>
        <w:t>Szeged</w:t>
      </w:r>
      <w:proofErr w:type="spellEnd"/>
      <w:r w:rsidR="008C121E" w:rsidRPr="00466073">
        <w:rPr>
          <w:rFonts w:asciiTheme="minorHAnsi" w:hAnsiTheme="minorHAnsi" w:cstheme="minorHAnsi"/>
          <w:lang w:val="el-GR"/>
        </w:rPr>
        <w:t xml:space="preserve"> και </w:t>
      </w:r>
      <w:proofErr w:type="spellStart"/>
      <w:r w:rsidR="008C121E" w:rsidRPr="00466073">
        <w:rPr>
          <w:rFonts w:asciiTheme="minorHAnsi" w:hAnsiTheme="minorHAnsi" w:cstheme="minorHAnsi"/>
          <w:lang w:val="el-GR"/>
        </w:rPr>
        <w:t>Pécs</w:t>
      </w:r>
      <w:proofErr w:type="spellEnd"/>
      <w:r w:rsidR="008C121E" w:rsidRPr="00466073">
        <w:rPr>
          <w:rFonts w:asciiTheme="minorHAnsi" w:hAnsiTheme="minorHAnsi" w:cstheme="minorHAnsi"/>
          <w:lang w:val="el-GR"/>
        </w:rPr>
        <w:t xml:space="preserve">. Η φαρμακοβιομηχανία της χώρας συνεισφέρει με 8% στο ΑΕΠ, ενώ απορροφά το 45% των δαπανών για έρευνα και ανάπτυξη. </w:t>
      </w:r>
    </w:p>
    <w:p w:rsidR="008C121E" w:rsidRPr="00466073" w:rsidRDefault="008C121E" w:rsidP="008C121E">
      <w:pPr>
        <w:jc w:val="both"/>
        <w:rPr>
          <w:rFonts w:asciiTheme="minorHAnsi" w:hAnsiTheme="minorHAnsi" w:cstheme="minorHAnsi"/>
          <w:lang w:val="el-GR"/>
        </w:rPr>
      </w:pPr>
      <w:r w:rsidRPr="00466073">
        <w:rPr>
          <w:rFonts w:asciiTheme="minorHAnsi" w:hAnsiTheme="minorHAnsi" w:cstheme="minorHAnsi"/>
          <w:lang w:val="el-GR"/>
        </w:rPr>
        <w:t xml:space="preserve">Οκτώ (8) από τις 10 μεγαλύτερες, παγκοσμίως, εταιρείες βιοτεχνολογίας και παραγωγής φαρμάκων διατηρούν μονάδες παραγωγής ή/και </w:t>
      </w:r>
      <w:r w:rsidRPr="00466073">
        <w:rPr>
          <w:rFonts w:asciiTheme="minorHAnsi" w:hAnsiTheme="minorHAnsi" w:cstheme="minorHAnsi"/>
          <w:lang w:val="hu-HU"/>
        </w:rPr>
        <w:t>R</w:t>
      </w:r>
      <w:r w:rsidRPr="00466073">
        <w:rPr>
          <w:rFonts w:asciiTheme="minorHAnsi" w:hAnsiTheme="minorHAnsi" w:cstheme="minorHAnsi"/>
          <w:lang w:val="el-GR"/>
        </w:rPr>
        <w:t>&amp;</w:t>
      </w:r>
      <w:r w:rsidRPr="00466073">
        <w:rPr>
          <w:rFonts w:asciiTheme="minorHAnsi" w:hAnsiTheme="minorHAnsi" w:cstheme="minorHAnsi"/>
        </w:rPr>
        <w:t>D</w:t>
      </w:r>
      <w:r w:rsidRPr="00466073">
        <w:rPr>
          <w:rFonts w:asciiTheme="minorHAnsi" w:hAnsiTheme="minorHAnsi" w:cstheme="minorHAnsi"/>
          <w:lang w:val="el-GR"/>
        </w:rPr>
        <w:t xml:space="preserve"> (έρευνας και ανάπτυξης) στην Ουγγαρία. Μεταξύ των μεγαλυτέρων φαρμακευτικών εταιρειών που δραστηριοποιούνται στην Ουγγαρία είναι οι: J&amp;J, </w:t>
      </w:r>
      <w:proofErr w:type="spellStart"/>
      <w:r w:rsidRPr="00466073">
        <w:rPr>
          <w:rFonts w:asciiTheme="minorHAnsi" w:hAnsiTheme="minorHAnsi" w:cstheme="minorHAnsi"/>
          <w:lang w:val="el-GR"/>
        </w:rPr>
        <w:t>Teva</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Novartis</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Sanofi</w:t>
      </w:r>
      <w:proofErr w:type="spellEnd"/>
      <w:r w:rsidRPr="00466073">
        <w:rPr>
          <w:rFonts w:asciiTheme="minorHAnsi" w:hAnsiTheme="minorHAnsi" w:cstheme="minorHAnsi"/>
          <w:lang w:val="el-GR"/>
        </w:rPr>
        <w:t xml:space="preserve"> – </w:t>
      </w:r>
      <w:proofErr w:type="spellStart"/>
      <w:r w:rsidRPr="00466073">
        <w:rPr>
          <w:rFonts w:asciiTheme="minorHAnsi" w:hAnsiTheme="minorHAnsi" w:cstheme="minorHAnsi"/>
          <w:lang w:val="el-GR"/>
        </w:rPr>
        <w:t>Aventis</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Glaxo</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Smith</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Kline</w:t>
      </w:r>
      <w:proofErr w:type="spellEnd"/>
      <w:r w:rsidRPr="00466073">
        <w:rPr>
          <w:rFonts w:asciiTheme="minorHAnsi" w:hAnsiTheme="minorHAnsi" w:cstheme="minorHAnsi"/>
          <w:lang w:val="el-GR"/>
        </w:rPr>
        <w:t xml:space="preserve">, και </w:t>
      </w:r>
      <w:proofErr w:type="spellStart"/>
      <w:r w:rsidRPr="00466073">
        <w:rPr>
          <w:rFonts w:asciiTheme="minorHAnsi" w:hAnsiTheme="minorHAnsi" w:cstheme="minorHAnsi"/>
          <w:lang w:val="el-GR"/>
        </w:rPr>
        <w:t>Roche</w:t>
      </w:r>
      <w:proofErr w:type="spellEnd"/>
      <w:r w:rsidRPr="00466073">
        <w:rPr>
          <w:rFonts w:asciiTheme="minorHAnsi" w:hAnsiTheme="minorHAnsi" w:cstheme="minorHAnsi"/>
          <w:lang w:val="el-GR"/>
        </w:rPr>
        <w:t>. Οι τέσσερις μεγαλύτερες, που έχουν και μονάδες παραγωγής στην Ουγγαρία (</w:t>
      </w:r>
      <w:r w:rsidRPr="00466073">
        <w:rPr>
          <w:rFonts w:asciiTheme="minorHAnsi" w:hAnsiTheme="minorHAnsi" w:cstheme="minorHAnsi"/>
        </w:rPr>
        <w:t>Richter</w:t>
      </w:r>
      <w:r w:rsidRPr="00466073">
        <w:rPr>
          <w:rFonts w:asciiTheme="minorHAnsi" w:hAnsiTheme="minorHAnsi" w:cstheme="minorHAnsi"/>
          <w:lang w:val="el-GR"/>
        </w:rPr>
        <w:t xml:space="preserve">, </w:t>
      </w:r>
      <w:proofErr w:type="spellStart"/>
      <w:r w:rsidRPr="00466073">
        <w:rPr>
          <w:rFonts w:asciiTheme="minorHAnsi" w:hAnsiTheme="minorHAnsi" w:cstheme="minorHAnsi"/>
        </w:rPr>
        <w:t>Teva</w:t>
      </w:r>
      <w:proofErr w:type="spellEnd"/>
      <w:r w:rsidRPr="00466073">
        <w:rPr>
          <w:rFonts w:asciiTheme="minorHAnsi" w:hAnsiTheme="minorHAnsi" w:cstheme="minorHAnsi"/>
          <w:lang w:val="el-GR"/>
        </w:rPr>
        <w:t xml:space="preserve">, </w:t>
      </w:r>
      <w:r w:rsidRPr="00466073">
        <w:rPr>
          <w:rFonts w:asciiTheme="minorHAnsi" w:hAnsiTheme="minorHAnsi" w:cstheme="minorHAnsi"/>
        </w:rPr>
        <w:t>Egis</w:t>
      </w:r>
      <w:r w:rsidRPr="00466073">
        <w:rPr>
          <w:rFonts w:asciiTheme="minorHAnsi" w:hAnsiTheme="minorHAnsi" w:cstheme="minorHAnsi"/>
          <w:lang w:val="el-GR"/>
        </w:rPr>
        <w:t xml:space="preserve"> και </w:t>
      </w:r>
      <w:proofErr w:type="spellStart"/>
      <w:r w:rsidRPr="00466073">
        <w:rPr>
          <w:rFonts w:asciiTheme="minorHAnsi" w:hAnsiTheme="minorHAnsi" w:cstheme="minorHAnsi"/>
        </w:rPr>
        <w:t>Sanofi</w:t>
      </w:r>
      <w:proofErr w:type="spellEnd"/>
      <w:r w:rsidRPr="00466073">
        <w:rPr>
          <w:rFonts w:asciiTheme="minorHAnsi" w:hAnsiTheme="minorHAnsi" w:cstheme="minorHAnsi"/>
          <w:lang w:val="el-GR"/>
        </w:rPr>
        <w:t>-</w:t>
      </w:r>
      <w:r w:rsidRPr="00466073">
        <w:rPr>
          <w:rFonts w:asciiTheme="minorHAnsi" w:hAnsiTheme="minorHAnsi" w:cstheme="minorHAnsi"/>
        </w:rPr>
        <w:t>Aventis</w:t>
      </w:r>
      <w:r w:rsidRPr="00466073">
        <w:rPr>
          <w:rFonts w:asciiTheme="minorHAnsi" w:hAnsiTheme="minorHAnsi" w:cstheme="minorHAnsi"/>
          <w:lang w:val="el-GR"/>
        </w:rPr>
        <w:t xml:space="preserve">) «ευθύνονται» για το 85-90% του συνόλου της παραγωγικής και εξαγωγικής δραστηριότητας του κλάδου της φαρμακοβιομηχανίας. Επίσης, το 40-45% του συνόλου της έρευνας &amp; ανάπτυξης που πραγματοποιείται στην ουγγρική βιομηχανία, προέρχεται από την φαρμακοβιομηχανία. Οι εταιρείες των ΗΠΑ (π.χ. </w:t>
      </w:r>
      <w:proofErr w:type="spellStart"/>
      <w:r w:rsidRPr="00466073">
        <w:rPr>
          <w:rFonts w:asciiTheme="minorHAnsi" w:hAnsiTheme="minorHAnsi" w:cstheme="minorHAnsi"/>
          <w:lang w:val="el-GR"/>
        </w:rPr>
        <w:t>Abbott</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Amgen</w:t>
      </w:r>
      <w:proofErr w:type="spellEnd"/>
      <w:r w:rsidRPr="00466073">
        <w:rPr>
          <w:rFonts w:asciiTheme="minorHAnsi" w:hAnsiTheme="minorHAnsi" w:cstheme="minorHAnsi"/>
          <w:lang w:val="el-GR"/>
        </w:rPr>
        <w:t xml:space="preserve">, J&amp;J, </w:t>
      </w:r>
      <w:proofErr w:type="spellStart"/>
      <w:r w:rsidRPr="00466073">
        <w:rPr>
          <w:rFonts w:asciiTheme="minorHAnsi" w:hAnsiTheme="minorHAnsi" w:cstheme="minorHAnsi"/>
          <w:lang w:val="el-GR"/>
        </w:rPr>
        <w:t>Merck</w:t>
      </w:r>
      <w:proofErr w:type="spellEnd"/>
      <w:r w:rsidRPr="00466073">
        <w:rPr>
          <w:rFonts w:asciiTheme="minorHAnsi" w:hAnsiTheme="minorHAnsi" w:cstheme="minorHAnsi"/>
          <w:lang w:val="el-GR"/>
        </w:rPr>
        <w:t xml:space="preserve">, αλλά και άλλες) κατέχουν σημαντικό κομμάτι της αγοράς (30%). Στην Ουγγαρία υπάρχουν 11 </w:t>
      </w:r>
      <w:proofErr w:type="spellStart"/>
      <w:r w:rsidRPr="00466073">
        <w:rPr>
          <w:rFonts w:asciiTheme="minorHAnsi" w:hAnsiTheme="minorHAnsi" w:cstheme="minorHAnsi"/>
          <w:lang w:val="el-GR"/>
        </w:rPr>
        <w:t>αδειοδοτημένοι</w:t>
      </w:r>
      <w:proofErr w:type="spellEnd"/>
      <w:r w:rsidRPr="00466073">
        <w:rPr>
          <w:rFonts w:asciiTheme="minorHAnsi" w:hAnsiTheme="minorHAnsi" w:cstheme="minorHAnsi"/>
          <w:lang w:val="el-GR"/>
        </w:rPr>
        <w:t xml:space="preserve"> διανομείς φαρμάκων, με μεγαλύτερους τις εταιρείες </w:t>
      </w:r>
      <w:proofErr w:type="spellStart"/>
      <w:r w:rsidRPr="00466073">
        <w:rPr>
          <w:rFonts w:asciiTheme="minorHAnsi" w:hAnsiTheme="minorHAnsi" w:cstheme="minorHAnsi"/>
          <w:lang w:val="el-GR"/>
        </w:rPr>
        <w:t>Phoenix</w:t>
      </w:r>
      <w:proofErr w:type="spellEnd"/>
      <w:r w:rsidRPr="00466073">
        <w:rPr>
          <w:rFonts w:asciiTheme="minorHAnsi" w:hAnsiTheme="minorHAnsi" w:cstheme="minorHAnsi"/>
          <w:lang w:val="el-GR"/>
        </w:rPr>
        <w:t xml:space="preserve"> (30% της αγοράς) και </w:t>
      </w:r>
      <w:proofErr w:type="spellStart"/>
      <w:r w:rsidRPr="00466073">
        <w:rPr>
          <w:rFonts w:asciiTheme="minorHAnsi" w:hAnsiTheme="minorHAnsi" w:cstheme="minorHAnsi"/>
          <w:lang w:val="el-GR"/>
        </w:rPr>
        <w:t>Hungaropharma</w:t>
      </w:r>
      <w:proofErr w:type="spellEnd"/>
      <w:r w:rsidRPr="00466073">
        <w:rPr>
          <w:rFonts w:asciiTheme="minorHAnsi" w:hAnsiTheme="minorHAnsi" w:cstheme="minorHAnsi"/>
          <w:lang w:val="el-GR"/>
        </w:rPr>
        <w:t xml:space="preserve"> (20%) και </w:t>
      </w:r>
      <w:proofErr w:type="spellStart"/>
      <w:r w:rsidRPr="00466073">
        <w:rPr>
          <w:rFonts w:asciiTheme="minorHAnsi" w:hAnsiTheme="minorHAnsi" w:cstheme="minorHAnsi"/>
          <w:lang w:val="el-GR"/>
        </w:rPr>
        <w:t>EuroMedic</w:t>
      </w:r>
      <w:proofErr w:type="spellEnd"/>
      <w:r w:rsidRPr="00466073">
        <w:rPr>
          <w:rFonts w:asciiTheme="minorHAnsi" w:hAnsiTheme="minorHAnsi" w:cstheme="minorHAnsi"/>
          <w:lang w:val="el-GR"/>
        </w:rPr>
        <w:t xml:space="preserve"> (20%). </w:t>
      </w:r>
    </w:p>
    <w:p w:rsidR="004D1276" w:rsidRDefault="004D1276" w:rsidP="007D6B64">
      <w:pPr>
        <w:jc w:val="both"/>
        <w:rPr>
          <w:rFonts w:asciiTheme="minorHAnsi" w:hAnsiTheme="minorHAnsi" w:cstheme="minorHAnsi"/>
          <w:lang w:val="el-GR"/>
        </w:rPr>
      </w:pPr>
    </w:p>
    <w:p w:rsidR="00E430F3" w:rsidRPr="00466073" w:rsidRDefault="008C121E" w:rsidP="007D6B64">
      <w:pPr>
        <w:jc w:val="both"/>
        <w:rPr>
          <w:rFonts w:asciiTheme="minorHAnsi" w:hAnsiTheme="minorHAnsi" w:cstheme="minorHAnsi"/>
          <w:lang w:val="el-GR"/>
        </w:rPr>
      </w:pPr>
      <w:r w:rsidRPr="00466073">
        <w:rPr>
          <w:rFonts w:asciiTheme="minorHAnsi" w:hAnsiTheme="minorHAnsi" w:cstheme="minorHAnsi"/>
          <w:lang w:val="el-GR"/>
        </w:rPr>
        <w:t xml:space="preserve">Στον τομέα παραγωγής ιατρικών συσκευών δραστηριοποιούνται περίπου 150 εξωστρεφείς μικρομεσαίες επιχειρήσεις που εξάγουν το 90% των προϊόντων τους. Οι εταιρείες αυτές χαρακτηρίζονται από προσαρμοστικότητα, ευελιξία, καινοτομία και ισχυρή εξαγωγική δράση. Ωστόσο, </w:t>
      </w:r>
      <w:r w:rsidR="00E61DD2" w:rsidRPr="00466073">
        <w:rPr>
          <w:rFonts w:asciiTheme="minorHAnsi" w:hAnsiTheme="minorHAnsi" w:cstheme="minorHAnsi"/>
          <w:lang w:val="el-GR"/>
        </w:rPr>
        <w:t>ο ανταγωνισμός από τις χώρες της δύσης και οι εισαγωγές καινοτόμων προϊόντων</w:t>
      </w:r>
      <w:r w:rsidRPr="00466073">
        <w:rPr>
          <w:rFonts w:asciiTheme="minorHAnsi" w:hAnsiTheme="minorHAnsi" w:cstheme="minorHAnsi"/>
          <w:lang w:val="el-GR"/>
        </w:rPr>
        <w:t>,</w:t>
      </w:r>
      <w:r w:rsidR="00E61DD2" w:rsidRPr="00466073">
        <w:rPr>
          <w:rFonts w:asciiTheme="minorHAnsi" w:hAnsiTheme="minorHAnsi" w:cstheme="minorHAnsi"/>
          <w:lang w:val="el-GR"/>
        </w:rPr>
        <w:t xml:space="preserve"> θέτ</w:t>
      </w:r>
      <w:r w:rsidRPr="00466073">
        <w:rPr>
          <w:rFonts w:asciiTheme="minorHAnsi" w:hAnsiTheme="minorHAnsi" w:cstheme="minorHAnsi"/>
          <w:lang w:val="el-GR"/>
        </w:rPr>
        <w:t>ουν</w:t>
      </w:r>
      <w:r w:rsidR="00E61DD2" w:rsidRPr="00466073">
        <w:rPr>
          <w:rFonts w:asciiTheme="minorHAnsi" w:hAnsiTheme="minorHAnsi" w:cstheme="minorHAnsi"/>
          <w:lang w:val="el-GR"/>
        </w:rPr>
        <w:t xml:space="preserve"> την εγχώρια παραγωγή σε δυσχερή θέση. Εντούτοις, η συγκεκριμένη αγορά αναμένεται να αυξηθεί, δεδομένου ότι η οικονομία αναπτύσσεται συμπαρασύροντας προς τα άνω και τις δαπάνες για την υγεία.</w:t>
      </w:r>
    </w:p>
    <w:p w:rsidR="008C121E" w:rsidRPr="00466073" w:rsidRDefault="008C121E" w:rsidP="007D6B64">
      <w:pPr>
        <w:jc w:val="both"/>
        <w:rPr>
          <w:rFonts w:asciiTheme="minorHAnsi" w:hAnsiTheme="minorHAnsi" w:cstheme="minorHAnsi"/>
          <w:lang w:val="el-GR"/>
        </w:rPr>
      </w:pPr>
      <w:r w:rsidRPr="00466073">
        <w:rPr>
          <w:rFonts w:asciiTheme="minorHAnsi" w:hAnsiTheme="minorHAnsi" w:cstheme="minorHAnsi"/>
          <w:lang w:val="el-GR"/>
        </w:rPr>
        <w:t xml:space="preserve">Η συνεχής ανάπτυξη των </w:t>
      </w:r>
      <w:proofErr w:type="spellStart"/>
      <w:r w:rsidRPr="00466073">
        <w:rPr>
          <w:rFonts w:asciiTheme="minorHAnsi" w:hAnsiTheme="minorHAnsi" w:cstheme="minorHAnsi"/>
          <w:lang w:val="el-GR"/>
        </w:rPr>
        <w:t>βιοεπιστημών</w:t>
      </w:r>
      <w:proofErr w:type="spellEnd"/>
      <w:r w:rsidRPr="00466073">
        <w:rPr>
          <w:rFonts w:asciiTheme="minorHAnsi" w:hAnsiTheme="minorHAnsi" w:cstheme="minorHAnsi"/>
          <w:lang w:val="el-GR"/>
        </w:rPr>
        <w:t xml:space="preserve"> στην Ουγγαρία, υποστηρίζεται από ένα δίκτυο ακαδημαϊκών ερευνητών και επιστημονικών ιδρυμάτων. Τα πανεπιστήμια της χώρας «τροφοδοτούν» τη βιομηχανία με άρτια επιστημονικά καταρτισμένο προσωπικό το οποίο συνδράμει καταλυτικά στην ανταγωνιστικότητα του κλάδου. Συγχρόνως, ένα μεγάλος αριθμός ερευνητικών κέντρων δημιουργεί προϋποθέσεις διαρκούς εξέλιξης και προόδου. Υπάρχουν 4 μεγάλα κέντρα </w:t>
      </w:r>
      <w:r w:rsidRPr="00466073">
        <w:rPr>
          <w:rFonts w:asciiTheme="minorHAnsi" w:hAnsiTheme="minorHAnsi" w:cstheme="minorHAnsi"/>
          <w:lang w:val="hu-HU"/>
        </w:rPr>
        <w:t>R</w:t>
      </w:r>
      <w:r w:rsidRPr="00466073">
        <w:rPr>
          <w:rFonts w:asciiTheme="minorHAnsi" w:hAnsiTheme="minorHAnsi" w:cstheme="minorHAnsi"/>
          <w:lang w:val="el-GR"/>
        </w:rPr>
        <w:t>&amp;</w:t>
      </w:r>
      <w:r w:rsidRPr="00466073">
        <w:rPr>
          <w:rFonts w:asciiTheme="minorHAnsi" w:hAnsiTheme="minorHAnsi" w:cstheme="minorHAnsi"/>
        </w:rPr>
        <w:t>D</w:t>
      </w:r>
      <w:r w:rsidRPr="00466073">
        <w:rPr>
          <w:rFonts w:asciiTheme="minorHAnsi" w:hAnsiTheme="minorHAnsi" w:cstheme="minorHAnsi"/>
          <w:lang w:val="el-GR"/>
        </w:rPr>
        <w:t xml:space="preserve"> τα οποία είναι </w:t>
      </w:r>
      <w:r w:rsidRPr="00466073">
        <w:rPr>
          <w:rFonts w:asciiTheme="minorHAnsi" w:hAnsiTheme="minorHAnsi" w:cstheme="minorHAnsi"/>
          <w:lang w:val="el-GR"/>
        </w:rPr>
        <w:lastRenderedPageBreak/>
        <w:t xml:space="preserve">συνδεδεμένα με πανεπιστήμια που εξειδικεύονται σε ιατρικές και υγειονομικές επιστήμες στις πόλεις Βουδαπέστη, </w:t>
      </w:r>
      <w:proofErr w:type="spellStart"/>
      <w:r w:rsidRPr="00466073">
        <w:rPr>
          <w:rFonts w:asciiTheme="minorHAnsi" w:hAnsiTheme="minorHAnsi" w:cstheme="minorHAnsi"/>
          <w:lang w:val="el-GR"/>
        </w:rPr>
        <w:t>Ντέμπρετσεν</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Ζέγκεντ</w:t>
      </w:r>
      <w:proofErr w:type="spellEnd"/>
      <w:r w:rsidRPr="00466073">
        <w:rPr>
          <w:rFonts w:asciiTheme="minorHAnsi" w:hAnsiTheme="minorHAnsi" w:cstheme="minorHAnsi"/>
          <w:lang w:val="el-GR"/>
        </w:rPr>
        <w:t xml:space="preserve"> και </w:t>
      </w:r>
      <w:proofErr w:type="spellStart"/>
      <w:r w:rsidRPr="00466073">
        <w:rPr>
          <w:rFonts w:asciiTheme="minorHAnsi" w:hAnsiTheme="minorHAnsi" w:cstheme="minorHAnsi"/>
          <w:lang w:val="el-GR"/>
        </w:rPr>
        <w:t>Πεκς</w:t>
      </w:r>
      <w:proofErr w:type="spellEnd"/>
      <w:r w:rsidRPr="00466073">
        <w:rPr>
          <w:rFonts w:asciiTheme="minorHAnsi" w:hAnsiTheme="minorHAnsi" w:cstheme="minorHAnsi"/>
          <w:lang w:val="el-GR"/>
        </w:rPr>
        <w:t xml:space="preserve">. Ο συνδυασμός επιστημονικού προσωπικού, καταρτισμένου και χαμηλού κόστους εργατικού δυναμικού, ακαδημαϊκών ιδρυμάτων, ερευνητικών κέντρων και δραστήριων επιχειρήσεων, δημιουργεί ένα ελκυστικό και ευνοϊκό για επενδύσεις στον κλάδο των </w:t>
      </w:r>
      <w:proofErr w:type="spellStart"/>
      <w:r w:rsidRPr="00466073">
        <w:rPr>
          <w:rFonts w:asciiTheme="minorHAnsi" w:hAnsiTheme="minorHAnsi" w:cstheme="minorHAnsi"/>
          <w:lang w:val="el-GR"/>
        </w:rPr>
        <w:t>βιοεπιστημών</w:t>
      </w:r>
      <w:proofErr w:type="spellEnd"/>
      <w:r w:rsidRPr="00466073">
        <w:rPr>
          <w:rFonts w:asciiTheme="minorHAnsi" w:hAnsiTheme="minorHAnsi" w:cstheme="minorHAnsi"/>
          <w:lang w:val="el-GR"/>
        </w:rPr>
        <w:t>, περιβάλλον.</w:t>
      </w:r>
    </w:p>
    <w:p w:rsidR="00E430F3" w:rsidRPr="00466073" w:rsidRDefault="00E430F3" w:rsidP="007D6B64">
      <w:pPr>
        <w:jc w:val="both"/>
        <w:rPr>
          <w:rFonts w:asciiTheme="minorHAnsi" w:hAnsiTheme="minorHAnsi" w:cstheme="minorHAnsi"/>
          <w:color w:val="000000"/>
          <w:shd w:val="clear" w:color="auto" w:fill="FFFFFF"/>
          <w:lang w:val="el-GR"/>
        </w:rPr>
      </w:pPr>
    </w:p>
    <w:p w:rsidR="00D41322" w:rsidRPr="00466073" w:rsidRDefault="00D41322" w:rsidP="007D6B64">
      <w:pPr>
        <w:jc w:val="both"/>
        <w:rPr>
          <w:rFonts w:asciiTheme="minorHAnsi" w:hAnsiTheme="minorHAnsi" w:cstheme="minorHAnsi"/>
          <w:b/>
          <w:lang w:val="el-GR"/>
        </w:rPr>
      </w:pPr>
      <w:r w:rsidRPr="00466073">
        <w:rPr>
          <w:rFonts w:asciiTheme="minorHAnsi" w:hAnsiTheme="minorHAnsi" w:cstheme="minorHAnsi"/>
          <w:b/>
          <w:lang w:val="el-GR"/>
        </w:rPr>
        <w:t xml:space="preserve">-Πληροφορική &amp; </w:t>
      </w:r>
      <w:r w:rsidR="000A29FF" w:rsidRPr="00466073">
        <w:rPr>
          <w:rFonts w:asciiTheme="minorHAnsi" w:hAnsiTheme="minorHAnsi" w:cstheme="minorHAnsi"/>
          <w:b/>
          <w:lang w:val="el-GR"/>
        </w:rPr>
        <w:t>τηλεπικοινωνίες</w:t>
      </w:r>
    </w:p>
    <w:p w:rsidR="00C25865" w:rsidRPr="00466073" w:rsidRDefault="000A29FF" w:rsidP="005C49B5">
      <w:pPr>
        <w:jc w:val="both"/>
        <w:rPr>
          <w:rFonts w:asciiTheme="minorHAnsi" w:hAnsiTheme="minorHAnsi" w:cstheme="minorHAnsi"/>
          <w:lang w:val="el-GR"/>
        </w:rPr>
      </w:pPr>
      <w:r w:rsidRPr="00466073">
        <w:rPr>
          <w:rFonts w:asciiTheme="minorHAnsi" w:hAnsiTheme="minorHAnsi" w:cstheme="minorHAnsi"/>
          <w:lang w:val="el-GR"/>
        </w:rPr>
        <w:t>Ο συγκεκριμένος τομέας γνωρίζει συνεχή αύξηση τα τελευταία έτη, συμμετέχει με 10% στη σύνθεση του ΑΕΠ της Ουγγαρίας κ</w:t>
      </w:r>
      <w:r w:rsidR="00397FB2" w:rsidRPr="00466073">
        <w:rPr>
          <w:rFonts w:asciiTheme="minorHAnsi" w:hAnsiTheme="minorHAnsi" w:cstheme="minorHAnsi"/>
          <w:lang w:val="el-GR"/>
        </w:rPr>
        <w:t>αι απασχολεί περισσότερους από 25</w:t>
      </w:r>
      <w:r w:rsidRPr="00466073">
        <w:rPr>
          <w:rFonts w:asciiTheme="minorHAnsi" w:hAnsiTheme="minorHAnsi" w:cstheme="minorHAnsi"/>
          <w:lang w:val="el-GR"/>
        </w:rPr>
        <w:t xml:space="preserve">0.000 υπαλλήλους. Στη χώρα δραστηριοποιούνται εταιρείες κολοσσοί όπως </w:t>
      </w:r>
      <w:r w:rsidR="00461D9F" w:rsidRPr="00466073">
        <w:rPr>
          <w:rFonts w:asciiTheme="minorHAnsi" w:hAnsiTheme="minorHAnsi" w:cstheme="minorHAnsi"/>
          <w:lang w:val="el-GR"/>
        </w:rPr>
        <w:t>οι</w:t>
      </w:r>
      <w:r w:rsidRPr="00466073">
        <w:rPr>
          <w:rFonts w:asciiTheme="minorHAnsi" w:hAnsiTheme="minorHAnsi" w:cstheme="minorHAnsi"/>
          <w:lang w:val="el-GR"/>
        </w:rPr>
        <w:t xml:space="preserve"> </w:t>
      </w:r>
      <w:r w:rsidRPr="00466073">
        <w:rPr>
          <w:rFonts w:asciiTheme="minorHAnsi" w:hAnsiTheme="minorHAnsi" w:cstheme="minorHAnsi"/>
        </w:rPr>
        <w:t>NOKIA</w:t>
      </w:r>
      <w:r w:rsidR="00461D9F" w:rsidRPr="00466073">
        <w:rPr>
          <w:rFonts w:asciiTheme="minorHAnsi" w:hAnsiTheme="minorHAnsi" w:cstheme="minorHAnsi"/>
          <w:lang w:val="el-GR"/>
        </w:rPr>
        <w:t xml:space="preserve">, </w:t>
      </w:r>
      <w:r w:rsidRPr="00466073">
        <w:rPr>
          <w:rFonts w:asciiTheme="minorHAnsi" w:hAnsiTheme="minorHAnsi" w:cstheme="minorHAnsi"/>
          <w:lang w:val="el-GR"/>
        </w:rPr>
        <w:t>ΙΒΜ</w:t>
      </w:r>
      <w:r w:rsidR="00461D9F" w:rsidRPr="00466073">
        <w:rPr>
          <w:rFonts w:asciiTheme="minorHAnsi" w:hAnsiTheme="minorHAnsi" w:cstheme="minorHAnsi"/>
          <w:lang w:val="el-GR"/>
        </w:rPr>
        <w:t xml:space="preserve">, </w:t>
      </w:r>
      <w:proofErr w:type="spellStart"/>
      <w:r w:rsidR="00461D9F" w:rsidRPr="00466073">
        <w:rPr>
          <w:rFonts w:asciiTheme="minorHAnsi" w:hAnsiTheme="minorHAnsi" w:cstheme="minorHAnsi"/>
          <w:lang w:val="el-GR"/>
        </w:rPr>
        <w:t>Ericsson</w:t>
      </w:r>
      <w:proofErr w:type="spellEnd"/>
      <w:r w:rsidR="00461D9F" w:rsidRPr="00466073">
        <w:rPr>
          <w:rFonts w:asciiTheme="minorHAnsi" w:hAnsiTheme="minorHAnsi" w:cstheme="minorHAnsi"/>
          <w:lang w:val="el-GR"/>
        </w:rPr>
        <w:t xml:space="preserve">, </w:t>
      </w:r>
      <w:proofErr w:type="spellStart"/>
      <w:r w:rsidR="00461D9F" w:rsidRPr="00466073">
        <w:rPr>
          <w:rFonts w:asciiTheme="minorHAnsi" w:hAnsiTheme="minorHAnsi" w:cstheme="minorHAnsi"/>
          <w:lang w:val="el-GR"/>
        </w:rPr>
        <w:t>Oracle</w:t>
      </w:r>
      <w:proofErr w:type="spellEnd"/>
      <w:r w:rsidR="008C121E" w:rsidRPr="00466073">
        <w:rPr>
          <w:rFonts w:asciiTheme="minorHAnsi" w:hAnsiTheme="minorHAnsi" w:cstheme="minorHAnsi"/>
          <w:lang w:val="el-GR"/>
        </w:rPr>
        <w:t xml:space="preserve">, </w:t>
      </w:r>
      <w:r w:rsidR="008C121E" w:rsidRPr="00466073">
        <w:rPr>
          <w:rFonts w:asciiTheme="minorHAnsi" w:hAnsiTheme="minorHAnsi" w:cstheme="minorHAnsi"/>
        </w:rPr>
        <w:t>Microsoft</w:t>
      </w:r>
      <w:r w:rsidR="00461D9F" w:rsidRPr="00466073">
        <w:rPr>
          <w:rFonts w:asciiTheme="minorHAnsi" w:hAnsiTheme="minorHAnsi" w:cstheme="minorHAnsi"/>
          <w:lang w:val="el-GR"/>
        </w:rPr>
        <w:t xml:space="preserve"> και </w:t>
      </w:r>
      <w:proofErr w:type="spellStart"/>
      <w:r w:rsidR="00461D9F" w:rsidRPr="00466073">
        <w:rPr>
          <w:rFonts w:asciiTheme="minorHAnsi" w:hAnsiTheme="minorHAnsi" w:cstheme="minorHAnsi"/>
          <w:lang w:val="el-GR"/>
        </w:rPr>
        <w:t>Gameloft</w:t>
      </w:r>
      <w:proofErr w:type="spellEnd"/>
      <w:r w:rsidR="00A85D8F" w:rsidRPr="00466073">
        <w:rPr>
          <w:rFonts w:asciiTheme="minorHAnsi" w:hAnsiTheme="minorHAnsi" w:cstheme="minorHAnsi"/>
          <w:lang w:val="el-GR"/>
        </w:rPr>
        <w:t>.</w:t>
      </w:r>
      <w:r w:rsidR="00C25865" w:rsidRPr="00466073">
        <w:rPr>
          <w:rFonts w:asciiTheme="minorHAnsi" w:hAnsiTheme="minorHAnsi" w:cstheme="minorHAnsi"/>
          <w:lang w:val="el-GR"/>
        </w:rPr>
        <w:t xml:space="preserve"> </w:t>
      </w:r>
      <w:r w:rsidR="005C49B5" w:rsidRPr="00466073">
        <w:rPr>
          <w:rFonts w:asciiTheme="minorHAnsi" w:hAnsiTheme="minorHAnsi" w:cstheme="minorHAnsi"/>
          <w:lang w:val="el-GR"/>
        </w:rPr>
        <w:t xml:space="preserve">Επισημαίνεται ότι η κυβέρνηση έχει καταστρώσει </w:t>
      </w:r>
      <w:r w:rsidR="00B657D7" w:rsidRPr="00466073">
        <w:rPr>
          <w:rFonts w:asciiTheme="minorHAnsi" w:hAnsiTheme="minorHAnsi" w:cstheme="minorHAnsi"/>
          <w:lang w:val="el-GR"/>
        </w:rPr>
        <w:t xml:space="preserve">στρατηγική </w:t>
      </w:r>
      <w:r w:rsidR="005C49B5" w:rsidRPr="00466073">
        <w:rPr>
          <w:rFonts w:asciiTheme="minorHAnsi" w:hAnsiTheme="minorHAnsi" w:cstheme="minorHAnsi"/>
          <w:lang w:val="el-GR"/>
        </w:rPr>
        <w:t>πολιτική ανάπτυξη</w:t>
      </w:r>
      <w:r w:rsidR="00B657D7" w:rsidRPr="00466073">
        <w:rPr>
          <w:rFonts w:asciiTheme="minorHAnsi" w:hAnsiTheme="minorHAnsi" w:cstheme="minorHAnsi"/>
          <w:lang w:val="el-GR"/>
        </w:rPr>
        <w:t>ς</w:t>
      </w:r>
      <w:r w:rsidR="005C49B5" w:rsidRPr="00466073">
        <w:rPr>
          <w:rFonts w:asciiTheme="minorHAnsi" w:hAnsiTheme="minorHAnsi" w:cstheme="minorHAnsi"/>
          <w:lang w:val="el-GR"/>
        </w:rPr>
        <w:t xml:space="preserve"> τεχνητή</w:t>
      </w:r>
      <w:r w:rsidR="00B657D7" w:rsidRPr="00466073">
        <w:rPr>
          <w:rFonts w:asciiTheme="minorHAnsi" w:hAnsiTheme="minorHAnsi" w:cstheme="minorHAnsi"/>
          <w:lang w:val="el-GR"/>
        </w:rPr>
        <w:t>ς</w:t>
      </w:r>
      <w:r w:rsidR="005C49B5" w:rsidRPr="00466073">
        <w:rPr>
          <w:rFonts w:asciiTheme="minorHAnsi" w:hAnsiTheme="minorHAnsi" w:cstheme="minorHAnsi"/>
          <w:lang w:val="el-GR"/>
        </w:rPr>
        <w:t xml:space="preserve"> νοημοσύνη</w:t>
      </w:r>
      <w:r w:rsidR="00B657D7" w:rsidRPr="00466073">
        <w:rPr>
          <w:rFonts w:asciiTheme="minorHAnsi" w:hAnsiTheme="minorHAnsi" w:cstheme="minorHAnsi"/>
          <w:lang w:val="el-GR"/>
        </w:rPr>
        <w:t>ς</w:t>
      </w:r>
      <w:r w:rsidR="005C49B5" w:rsidRPr="00466073">
        <w:rPr>
          <w:rFonts w:asciiTheme="minorHAnsi" w:hAnsiTheme="minorHAnsi" w:cstheme="minorHAnsi"/>
          <w:lang w:val="el-GR"/>
        </w:rPr>
        <w:t xml:space="preserve"> (ΑΙ), για τον σχεδιασμό της οποίας συνέβαλαν 200 επιχειρήσεις και οργανισμοί. Σύμφωνα με εκτιμήσεις του Υπουργείου </w:t>
      </w:r>
      <w:r w:rsidR="00C25865" w:rsidRPr="00466073">
        <w:rPr>
          <w:rFonts w:asciiTheme="minorHAnsi" w:hAnsiTheme="minorHAnsi" w:cstheme="minorHAnsi"/>
          <w:lang w:val="el-GR"/>
        </w:rPr>
        <w:t>Τεχνολογίας και Βιομηχανίας</w:t>
      </w:r>
      <w:r w:rsidR="005C49B5" w:rsidRPr="00466073">
        <w:rPr>
          <w:rFonts w:asciiTheme="minorHAnsi" w:hAnsiTheme="minorHAnsi" w:cstheme="minorHAnsi"/>
          <w:lang w:val="el-GR"/>
        </w:rPr>
        <w:t xml:space="preserve">, η χρήση τεχνητής νοημοσύνης στην Ουγγαρία, θα προσθέσει 7 </w:t>
      </w:r>
      <w:proofErr w:type="spellStart"/>
      <w:r w:rsidR="005C49B5" w:rsidRPr="00466073">
        <w:rPr>
          <w:rFonts w:asciiTheme="minorHAnsi" w:hAnsiTheme="minorHAnsi" w:cstheme="minorHAnsi"/>
          <w:lang w:val="el-GR"/>
        </w:rPr>
        <w:t>τρισεκ</w:t>
      </w:r>
      <w:proofErr w:type="spellEnd"/>
      <w:r w:rsidR="005C49B5" w:rsidRPr="00466073">
        <w:rPr>
          <w:rFonts w:asciiTheme="minorHAnsi" w:hAnsiTheme="minorHAnsi" w:cstheme="minorHAnsi"/>
          <w:lang w:val="el-GR"/>
        </w:rPr>
        <w:t xml:space="preserve">. HUF(€21,2 </w:t>
      </w:r>
      <w:proofErr w:type="spellStart"/>
      <w:r w:rsidR="005C49B5" w:rsidRPr="00466073">
        <w:rPr>
          <w:rFonts w:asciiTheme="minorHAnsi" w:hAnsiTheme="minorHAnsi" w:cstheme="minorHAnsi"/>
          <w:lang w:val="el-GR"/>
        </w:rPr>
        <w:t>δισεκ</w:t>
      </w:r>
      <w:proofErr w:type="spellEnd"/>
      <w:r w:rsidR="005C49B5" w:rsidRPr="00466073">
        <w:rPr>
          <w:rFonts w:asciiTheme="minorHAnsi" w:hAnsiTheme="minorHAnsi" w:cstheme="minorHAnsi"/>
          <w:lang w:val="el-GR"/>
        </w:rPr>
        <w:t xml:space="preserve">.) στο ουγγρικό ΑΕΠ έως το 2030 (αύξηση 14%). </w:t>
      </w:r>
    </w:p>
    <w:p w:rsidR="00C25865" w:rsidRPr="00466073" w:rsidRDefault="00C25865" w:rsidP="005C49B5">
      <w:pPr>
        <w:jc w:val="both"/>
        <w:rPr>
          <w:rFonts w:asciiTheme="minorHAnsi" w:hAnsiTheme="minorHAnsi" w:cstheme="minorHAnsi"/>
          <w:lang w:val="el-GR"/>
        </w:rPr>
      </w:pPr>
    </w:p>
    <w:p w:rsidR="00EA401C" w:rsidRPr="00466073" w:rsidRDefault="005C49B5" w:rsidP="00C25865">
      <w:pPr>
        <w:jc w:val="both"/>
        <w:rPr>
          <w:rFonts w:asciiTheme="minorHAnsi" w:hAnsiTheme="minorHAnsi" w:cstheme="minorHAnsi"/>
          <w:lang w:val="el-GR"/>
        </w:rPr>
      </w:pPr>
      <w:r w:rsidRPr="00466073">
        <w:rPr>
          <w:rFonts w:asciiTheme="minorHAnsi" w:hAnsiTheme="minorHAnsi" w:cstheme="minorHAnsi"/>
          <w:lang w:val="el-GR"/>
        </w:rPr>
        <w:t xml:space="preserve">Σημειώνουμε ότι σύμφωνα με στοιχεία της Στατιστικής Υπηρεσίας, το 2018 δαπανήθηκαν για Έρευνα &amp; Ανάπτυξη (Ε&amp;Α), περίπου 654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HUF (</w:t>
      </w:r>
      <w:proofErr w:type="spellStart"/>
      <w:r w:rsidRPr="00466073">
        <w:rPr>
          <w:rFonts w:asciiTheme="minorHAnsi" w:hAnsiTheme="minorHAnsi" w:cstheme="minorHAnsi"/>
          <w:lang w:val="el-GR"/>
        </w:rPr>
        <w:t>€2</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δηλαδή 1,53% του ΑΕΠ (αύξηση 27% σε σχέση με το 2017). Συνολικά, σε εθνικό επίπεδο, ιδρύθηκαν 3.500 κέντρα Ε&amp;Α (αύξηση 12% σε σχέση με το 2017), ενώ ο κλάδος απασχολεί 66.000 εργαζομένους. Η κυβέρνηση, σαφώς προσανατολισμένη στην ανάπτυξη του κλάδου Ε&amp;Α, αύξησε τις σχετικές δαπάν</w:t>
      </w:r>
      <w:r w:rsidR="00C25865" w:rsidRPr="00466073">
        <w:rPr>
          <w:rFonts w:asciiTheme="minorHAnsi" w:hAnsiTheme="minorHAnsi" w:cstheme="minorHAnsi"/>
          <w:lang w:val="el-GR"/>
        </w:rPr>
        <w:t>ες στον προϋπολογισμό του 2020</w:t>
      </w:r>
      <w:r w:rsidR="00EA401C" w:rsidRPr="00466073">
        <w:rPr>
          <w:rFonts w:asciiTheme="minorHAnsi" w:hAnsiTheme="minorHAnsi" w:cstheme="minorHAnsi"/>
          <w:lang w:val="el-GR"/>
        </w:rPr>
        <w:t xml:space="preserve"> και </w:t>
      </w:r>
      <w:r w:rsidR="00C25865" w:rsidRPr="00466073">
        <w:rPr>
          <w:rFonts w:asciiTheme="minorHAnsi" w:hAnsiTheme="minorHAnsi" w:cstheme="minorHAnsi"/>
          <w:lang w:val="el-GR"/>
        </w:rPr>
        <w:t xml:space="preserve">2021, </w:t>
      </w:r>
      <w:r w:rsidRPr="00466073">
        <w:rPr>
          <w:rFonts w:asciiTheme="minorHAnsi" w:hAnsiTheme="minorHAnsi" w:cstheme="minorHAnsi"/>
          <w:lang w:val="el-GR"/>
        </w:rPr>
        <w:t xml:space="preserve">κατά 32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HUF</w:t>
      </w:r>
      <w:r w:rsidR="00C25865" w:rsidRPr="00466073">
        <w:rPr>
          <w:rFonts w:asciiTheme="minorHAnsi" w:hAnsiTheme="minorHAnsi" w:cstheme="minorHAnsi"/>
          <w:lang w:val="el-GR"/>
        </w:rPr>
        <w:t xml:space="preserve"> (€97 εκ.) σε σχέση με το 2019</w:t>
      </w:r>
      <w:r w:rsidR="00EA401C" w:rsidRPr="00466073">
        <w:rPr>
          <w:rFonts w:asciiTheme="minorHAnsi" w:hAnsiTheme="minorHAnsi" w:cstheme="minorHAnsi"/>
          <w:lang w:val="el-GR"/>
        </w:rPr>
        <w:t xml:space="preserve">. </w:t>
      </w:r>
    </w:p>
    <w:p w:rsidR="00C25865" w:rsidRPr="00466073" w:rsidRDefault="00C25865" w:rsidP="00C25865">
      <w:pPr>
        <w:jc w:val="both"/>
        <w:rPr>
          <w:rFonts w:asciiTheme="minorHAnsi" w:hAnsiTheme="minorHAnsi" w:cstheme="minorHAnsi"/>
          <w:lang w:val="el-GR"/>
        </w:rPr>
      </w:pPr>
      <w:r w:rsidRPr="00466073">
        <w:rPr>
          <w:rFonts w:asciiTheme="minorHAnsi" w:hAnsiTheme="minorHAnsi" w:cstheme="minorHAnsi"/>
          <w:lang w:val="hu-HU"/>
        </w:rPr>
        <w:t xml:space="preserve">Το 2022, το ποσό που δαπανήθηκε για έρευνα και ανάπτυξη σε επίπεδο εθνικής οικονομίας ήταν σχεδόν </w:t>
      </w:r>
      <w:r w:rsidR="00EA401C" w:rsidRPr="00466073">
        <w:rPr>
          <w:rFonts w:asciiTheme="minorHAnsi" w:hAnsiTheme="minorHAnsi" w:cstheme="minorHAnsi"/>
          <w:lang w:val="hu-HU"/>
        </w:rPr>
        <w:t>887 δισ</w:t>
      </w:r>
      <w:r w:rsidR="00EA401C" w:rsidRPr="00466073">
        <w:rPr>
          <w:rFonts w:asciiTheme="minorHAnsi" w:hAnsiTheme="minorHAnsi" w:cstheme="minorHAnsi"/>
          <w:lang w:val="el-GR"/>
        </w:rPr>
        <w:t>.</w:t>
      </w:r>
      <w:r w:rsidR="00EA401C" w:rsidRPr="00466073">
        <w:rPr>
          <w:rFonts w:asciiTheme="minorHAnsi" w:hAnsiTheme="minorHAnsi" w:cstheme="minorHAnsi"/>
          <w:lang w:val="hu-HU"/>
        </w:rPr>
        <w:t xml:space="preserve"> HUF</w:t>
      </w:r>
      <w:r w:rsidR="00EA401C" w:rsidRPr="00466073">
        <w:rPr>
          <w:rFonts w:asciiTheme="minorHAnsi" w:hAnsiTheme="minorHAnsi" w:cstheme="minorHAnsi"/>
          <w:lang w:val="el-GR"/>
        </w:rPr>
        <w:t xml:space="preserve"> (€2,27 </w:t>
      </w:r>
      <w:proofErr w:type="spellStart"/>
      <w:r w:rsidR="00EA401C" w:rsidRPr="00466073">
        <w:rPr>
          <w:rFonts w:asciiTheme="minorHAnsi" w:hAnsiTheme="minorHAnsi" w:cstheme="minorHAnsi"/>
          <w:lang w:val="el-GR"/>
        </w:rPr>
        <w:t>δισεκ</w:t>
      </w:r>
      <w:proofErr w:type="spellEnd"/>
      <w:r w:rsidR="00EA401C" w:rsidRPr="00466073">
        <w:rPr>
          <w:rFonts w:asciiTheme="minorHAnsi" w:hAnsiTheme="minorHAnsi" w:cstheme="minorHAnsi"/>
          <w:lang w:val="el-GR"/>
        </w:rPr>
        <w:t>.)</w:t>
      </w:r>
      <w:r w:rsidR="00EA401C" w:rsidRPr="00466073">
        <w:rPr>
          <w:rFonts w:asciiTheme="minorHAnsi" w:hAnsiTheme="minorHAnsi" w:cstheme="minorHAnsi"/>
          <w:lang w:val="hu-HU"/>
        </w:rPr>
        <w:t xml:space="preserve">, που </w:t>
      </w:r>
      <w:r w:rsidR="00EA401C" w:rsidRPr="00466073">
        <w:rPr>
          <w:rFonts w:asciiTheme="minorHAnsi" w:hAnsiTheme="minorHAnsi" w:cstheme="minorHAnsi"/>
          <w:lang w:val="el-GR"/>
        </w:rPr>
        <w:t>αντιστοιχεί</w:t>
      </w:r>
      <w:r w:rsidRPr="00466073">
        <w:rPr>
          <w:rFonts w:asciiTheme="minorHAnsi" w:hAnsiTheme="minorHAnsi" w:cstheme="minorHAnsi"/>
          <w:lang w:val="hu-HU"/>
        </w:rPr>
        <w:t xml:space="preserve"> </w:t>
      </w:r>
      <w:r w:rsidR="00EA401C" w:rsidRPr="00466073">
        <w:rPr>
          <w:rFonts w:asciiTheme="minorHAnsi" w:hAnsiTheme="minorHAnsi" w:cstheme="minorHAnsi"/>
          <w:lang w:val="el-GR"/>
        </w:rPr>
        <w:t xml:space="preserve">στο </w:t>
      </w:r>
      <w:r w:rsidRPr="00466073">
        <w:rPr>
          <w:rFonts w:asciiTheme="minorHAnsi" w:hAnsiTheme="minorHAnsi" w:cstheme="minorHAnsi"/>
          <w:lang w:val="hu-HU"/>
        </w:rPr>
        <w:t xml:space="preserve">1,33% του </w:t>
      </w:r>
      <w:r w:rsidR="00EA401C" w:rsidRPr="00466073">
        <w:rPr>
          <w:rFonts w:asciiTheme="minorHAnsi" w:hAnsiTheme="minorHAnsi" w:cstheme="minorHAnsi"/>
          <w:lang w:val="hu-HU"/>
        </w:rPr>
        <w:t>ΑΕΠ</w:t>
      </w:r>
      <w:r w:rsidRPr="00466073">
        <w:rPr>
          <w:rFonts w:asciiTheme="minorHAnsi" w:hAnsiTheme="minorHAnsi" w:cstheme="minorHAnsi"/>
          <w:lang w:val="hu-HU"/>
        </w:rPr>
        <w:t xml:space="preserve">. Το 72% των δαπανών Ε&amp;Α, </w:t>
      </w:r>
      <w:r w:rsidR="00EA401C" w:rsidRPr="00466073">
        <w:rPr>
          <w:rFonts w:asciiTheme="minorHAnsi" w:hAnsiTheme="minorHAnsi" w:cstheme="minorHAnsi"/>
          <w:lang w:val="el-GR"/>
        </w:rPr>
        <w:t>(</w:t>
      </w:r>
      <w:r w:rsidR="00EA401C" w:rsidRPr="00466073">
        <w:rPr>
          <w:rFonts w:asciiTheme="minorHAnsi" w:hAnsiTheme="minorHAnsi" w:cstheme="minorHAnsi"/>
          <w:lang w:val="hu-HU"/>
        </w:rPr>
        <w:t>632 δισ</w:t>
      </w:r>
      <w:r w:rsidR="00EA401C" w:rsidRPr="00466073">
        <w:rPr>
          <w:rFonts w:asciiTheme="minorHAnsi" w:hAnsiTheme="minorHAnsi" w:cstheme="minorHAnsi"/>
          <w:lang w:val="el-GR"/>
        </w:rPr>
        <w:t>.</w:t>
      </w:r>
      <w:r w:rsidRPr="00466073">
        <w:rPr>
          <w:rFonts w:asciiTheme="minorHAnsi" w:hAnsiTheme="minorHAnsi" w:cstheme="minorHAnsi"/>
          <w:lang w:val="hu-HU"/>
        </w:rPr>
        <w:t xml:space="preserve"> HUF</w:t>
      </w:r>
      <w:r w:rsidR="00EA401C" w:rsidRPr="00466073">
        <w:rPr>
          <w:rFonts w:asciiTheme="minorHAnsi" w:hAnsiTheme="minorHAnsi" w:cstheme="minorHAnsi"/>
          <w:lang w:val="el-GR"/>
        </w:rPr>
        <w:t xml:space="preserve"> - €1,61 </w:t>
      </w:r>
      <w:proofErr w:type="spellStart"/>
      <w:r w:rsidR="00EA401C" w:rsidRPr="00466073">
        <w:rPr>
          <w:rFonts w:asciiTheme="minorHAnsi" w:hAnsiTheme="minorHAnsi" w:cstheme="minorHAnsi"/>
          <w:lang w:val="el-GR"/>
        </w:rPr>
        <w:t>δισεκ</w:t>
      </w:r>
      <w:proofErr w:type="spellEnd"/>
      <w:r w:rsidR="00EA401C" w:rsidRPr="00466073">
        <w:rPr>
          <w:rFonts w:asciiTheme="minorHAnsi" w:hAnsiTheme="minorHAnsi" w:cstheme="minorHAnsi"/>
          <w:lang w:val="el-GR"/>
        </w:rPr>
        <w:t>.)</w:t>
      </w:r>
      <w:r w:rsidR="00EA401C" w:rsidRPr="00466073">
        <w:rPr>
          <w:rFonts w:asciiTheme="minorHAnsi" w:hAnsiTheme="minorHAnsi" w:cstheme="minorHAnsi"/>
          <w:lang w:val="hu-HU"/>
        </w:rPr>
        <w:t>,</w:t>
      </w:r>
      <w:r w:rsidRPr="00466073">
        <w:rPr>
          <w:rFonts w:asciiTheme="minorHAnsi" w:hAnsiTheme="minorHAnsi" w:cstheme="minorHAnsi"/>
          <w:lang w:val="hu-HU"/>
        </w:rPr>
        <w:t xml:space="preserve"> διατέθηκε σε ερευνητικούς χώρους επιχειρήσε</w:t>
      </w:r>
      <w:r w:rsidR="00EA401C" w:rsidRPr="00466073">
        <w:rPr>
          <w:rFonts w:asciiTheme="minorHAnsi" w:hAnsiTheme="minorHAnsi" w:cstheme="minorHAnsi"/>
          <w:lang w:val="hu-HU"/>
        </w:rPr>
        <w:t>ων, άλλο 16% (138 δισ</w:t>
      </w:r>
      <w:r w:rsidR="00EA401C" w:rsidRPr="00466073">
        <w:rPr>
          <w:rFonts w:asciiTheme="minorHAnsi" w:hAnsiTheme="minorHAnsi" w:cstheme="minorHAnsi"/>
          <w:lang w:val="el-GR"/>
        </w:rPr>
        <w:t>.</w:t>
      </w:r>
      <w:r w:rsidRPr="00466073">
        <w:rPr>
          <w:rFonts w:asciiTheme="minorHAnsi" w:hAnsiTheme="minorHAnsi" w:cstheme="minorHAnsi"/>
          <w:lang w:val="hu-HU"/>
        </w:rPr>
        <w:t xml:space="preserve"> HUF</w:t>
      </w:r>
      <w:r w:rsidR="00EA401C" w:rsidRPr="00466073">
        <w:rPr>
          <w:rFonts w:asciiTheme="minorHAnsi" w:hAnsiTheme="minorHAnsi" w:cstheme="minorHAnsi"/>
          <w:lang w:val="el-GR"/>
        </w:rPr>
        <w:t xml:space="preserve"> - €352 εκατ.) </w:t>
      </w:r>
      <w:r w:rsidRPr="00466073">
        <w:rPr>
          <w:rFonts w:asciiTheme="minorHAnsi" w:hAnsiTheme="minorHAnsi" w:cstheme="minorHAnsi"/>
          <w:lang w:val="hu-HU"/>
        </w:rPr>
        <w:t xml:space="preserve">στην τριτοβάθμια εκπαίδευση και </w:t>
      </w:r>
      <w:r w:rsidR="00EA401C" w:rsidRPr="00466073">
        <w:rPr>
          <w:rFonts w:asciiTheme="minorHAnsi" w:hAnsiTheme="minorHAnsi" w:cstheme="minorHAnsi"/>
          <w:lang w:val="el-GR"/>
        </w:rPr>
        <w:t xml:space="preserve">ένα </w:t>
      </w:r>
      <w:r w:rsidR="00EA401C" w:rsidRPr="00466073">
        <w:rPr>
          <w:rFonts w:asciiTheme="minorHAnsi" w:hAnsiTheme="minorHAnsi" w:cstheme="minorHAnsi"/>
          <w:lang w:val="hu-HU"/>
        </w:rPr>
        <w:t>13% (112 δισ</w:t>
      </w:r>
      <w:r w:rsidR="00EA401C" w:rsidRPr="00466073">
        <w:rPr>
          <w:rFonts w:asciiTheme="minorHAnsi" w:hAnsiTheme="minorHAnsi" w:cstheme="minorHAnsi"/>
          <w:lang w:val="el-GR"/>
        </w:rPr>
        <w:t>.</w:t>
      </w:r>
      <w:r w:rsidRPr="00466073">
        <w:rPr>
          <w:rFonts w:asciiTheme="minorHAnsi" w:hAnsiTheme="minorHAnsi" w:cstheme="minorHAnsi"/>
          <w:lang w:val="hu-HU"/>
        </w:rPr>
        <w:t xml:space="preserve"> HUF</w:t>
      </w:r>
      <w:r w:rsidR="00EA401C" w:rsidRPr="00466073">
        <w:rPr>
          <w:rFonts w:asciiTheme="minorHAnsi" w:hAnsiTheme="minorHAnsi" w:cstheme="minorHAnsi"/>
          <w:lang w:val="el-GR"/>
        </w:rPr>
        <w:t xml:space="preserve"> - €286 εκατ.)</w:t>
      </w:r>
      <w:r w:rsidRPr="00466073">
        <w:rPr>
          <w:rFonts w:asciiTheme="minorHAnsi" w:hAnsiTheme="minorHAnsi" w:cstheme="minorHAnsi"/>
          <w:lang w:val="hu-HU"/>
        </w:rPr>
        <w:t xml:space="preserve"> σε ιδρύματα έρευνας και ανάπτυξης που ανήκουν στον τομέα των δημοσίων οικονομικών και δαπανήθηκαν σε άλλους ιστότοπους έρευνας προϋπολογισμού.</w:t>
      </w:r>
    </w:p>
    <w:p w:rsidR="00C25865" w:rsidRPr="00466073" w:rsidRDefault="00C25865" w:rsidP="00C25865">
      <w:pPr>
        <w:jc w:val="both"/>
        <w:rPr>
          <w:rFonts w:asciiTheme="minorHAnsi" w:hAnsiTheme="minorHAnsi" w:cstheme="minorHAnsi"/>
          <w:lang w:val="hu-HU"/>
        </w:rPr>
      </w:pPr>
      <w:r w:rsidRPr="00466073">
        <w:rPr>
          <w:rFonts w:asciiTheme="minorHAnsi" w:hAnsiTheme="minorHAnsi" w:cstheme="minorHAnsi"/>
          <w:lang w:val="hu-HU"/>
        </w:rPr>
        <w:t>Το 2022, σχεδόν 3.000 θέσεις έρευνας και ανάπτυξης λειτουργούσαν σ</w:t>
      </w:r>
      <w:r w:rsidR="00EA401C" w:rsidRPr="00466073">
        <w:rPr>
          <w:rFonts w:asciiTheme="minorHAnsi" w:hAnsiTheme="minorHAnsi" w:cstheme="minorHAnsi"/>
          <w:lang w:val="hu-HU"/>
        </w:rPr>
        <w:t xml:space="preserve">την Ουγγαρία, σχεδόν το </w:t>
      </w:r>
      <w:r w:rsidR="00EA401C" w:rsidRPr="00466073">
        <w:rPr>
          <w:rFonts w:asciiTheme="minorHAnsi" w:hAnsiTheme="minorHAnsi" w:cstheme="minorHAnsi"/>
          <w:lang w:val="el-GR"/>
        </w:rPr>
        <w:t>1</w:t>
      </w:r>
      <w:r w:rsidR="00EA401C" w:rsidRPr="00466073">
        <w:rPr>
          <w:rFonts w:asciiTheme="minorHAnsi" w:hAnsiTheme="minorHAnsi" w:cstheme="minorHAnsi"/>
          <w:lang w:val="hu-HU"/>
        </w:rPr>
        <w:t>/6</w:t>
      </w:r>
      <w:r w:rsidRPr="00466073">
        <w:rPr>
          <w:rFonts w:asciiTheme="minorHAnsi" w:hAnsiTheme="minorHAnsi" w:cstheme="minorHAnsi"/>
          <w:lang w:val="hu-HU"/>
        </w:rPr>
        <w:t xml:space="preserve"> από αυτά στον επιχειρηματικό τομέα. Ο συνολικός αριθμός των ατόμων που ασχολήθηκαν με την έρευνα και την ανάπτυξη ανήλθε σε σχεδόν 92.000 άτομα, το 74% των οποίων ήταν ερευνητές. Ο αριθμός των επιστημονικών άρθρων που δημοσιεύτηκαν στο πλαίσιο δημοσιευτικών δραστηριοτήτων που σχετίζονται με την έρευνα και την ανάπτυξη ξ</w:t>
      </w:r>
      <w:r w:rsidR="00EA401C" w:rsidRPr="00466073">
        <w:rPr>
          <w:rFonts w:asciiTheme="minorHAnsi" w:hAnsiTheme="minorHAnsi" w:cstheme="minorHAnsi"/>
          <w:lang w:val="hu-HU"/>
        </w:rPr>
        <w:t>επέρασε τις 40.000, τα 2/3</w:t>
      </w:r>
      <w:r w:rsidRPr="00466073">
        <w:rPr>
          <w:rFonts w:asciiTheme="minorHAnsi" w:hAnsiTheme="minorHAnsi" w:cstheme="minorHAnsi"/>
          <w:lang w:val="hu-HU"/>
        </w:rPr>
        <w:t xml:space="preserve"> των οποίων δημοσιεύθηκαν σε ξένη γλώσσα.</w:t>
      </w:r>
    </w:p>
    <w:p w:rsidR="00C25865" w:rsidRPr="00466073" w:rsidRDefault="00C25865" w:rsidP="00D41322">
      <w:pPr>
        <w:jc w:val="both"/>
        <w:rPr>
          <w:rFonts w:asciiTheme="minorHAnsi" w:hAnsiTheme="minorHAnsi" w:cstheme="minorHAnsi"/>
          <w:lang w:val="hu-HU"/>
        </w:rPr>
      </w:pPr>
    </w:p>
    <w:p w:rsidR="00D41322" w:rsidRPr="00466073" w:rsidRDefault="00D41322" w:rsidP="007D6B64">
      <w:pPr>
        <w:jc w:val="both"/>
        <w:rPr>
          <w:rFonts w:asciiTheme="minorHAnsi" w:hAnsiTheme="minorHAnsi" w:cstheme="minorHAnsi"/>
          <w:b/>
          <w:color w:val="000000" w:themeColor="text1"/>
          <w:lang w:val="el-GR"/>
        </w:rPr>
      </w:pPr>
      <w:r w:rsidRPr="00466073">
        <w:rPr>
          <w:rFonts w:asciiTheme="minorHAnsi" w:hAnsiTheme="minorHAnsi" w:cstheme="minorHAnsi"/>
          <w:b/>
          <w:color w:val="000000" w:themeColor="text1"/>
          <w:lang w:val="el-GR"/>
        </w:rPr>
        <w:t>-Τρόφιμα</w:t>
      </w:r>
    </w:p>
    <w:p w:rsidR="0061145D" w:rsidRPr="00466073" w:rsidRDefault="0061145D" w:rsidP="00D41322">
      <w:pPr>
        <w:jc w:val="both"/>
        <w:rPr>
          <w:rFonts w:asciiTheme="minorHAnsi" w:hAnsiTheme="minorHAnsi" w:cstheme="minorHAnsi"/>
          <w:lang w:val="el-GR"/>
        </w:rPr>
      </w:pPr>
      <w:r w:rsidRPr="00466073">
        <w:rPr>
          <w:rFonts w:asciiTheme="minorHAnsi" w:hAnsiTheme="minorHAnsi" w:cstheme="minorHAnsi"/>
          <w:lang w:val="el-GR"/>
        </w:rPr>
        <w:t xml:space="preserve">Έστω και με μειωμένη συμμετοχή στη συνολική βιομηχανική παραγωγή των τελευταίων ετών, η βιομηχανία τροφίμων παραμένει εκ των </w:t>
      </w:r>
      <w:r w:rsidR="007D7953" w:rsidRPr="00466073">
        <w:rPr>
          <w:rFonts w:asciiTheme="minorHAnsi" w:hAnsiTheme="minorHAnsi" w:cstheme="minorHAnsi"/>
          <w:lang w:val="el-GR"/>
        </w:rPr>
        <w:t>σημαντικότε</w:t>
      </w:r>
      <w:r w:rsidRPr="00466073">
        <w:rPr>
          <w:rFonts w:asciiTheme="minorHAnsi" w:hAnsiTheme="minorHAnsi" w:cstheme="minorHAnsi"/>
          <w:lang w:val="el-GR"/>
        </w:rPr>
        <w:t>ρων στην Ουγγαρία και</w:t>
      </w:r>
      <w:r w:rsidR="00EA401C" w:rsidRPr="00466073">
        <w:rPr>
          <w:rFonts w:asciiTheme="minorHAnsi" w:hAnsiTheme="minorHAnsi" w:cstheme="minorHAnsi"/>
          <w:lang w:val="el-GR"/>
        </w:rPr>
        <w:t xml:space="preserve"> απασχολεί περισσότερους από 1</w:t>
      </w:r>
      <w:r w:rsidR="00EA401C" w:rsidRPr="00466073">
        <w:rPr>
          <w:rFonts w:asciiTheme="minorHAnsi" w:hAnsiTheme="minorHAnsi" w:cstheme="minorHAnsi"/>
          <w:lang w:val="hu-HU"/>
        </w:rPr>
        <w:t>40</w:t>
      </w:r>
      <w:r w:rsidRPr="00466073">
        <w:rPr>
          <w:rFonts w:asciiTheme="minorHAnsi" w:hAnsiTheme="minorHAnsi" w:cstheme="minorHAnsi"/>
          <w:lang w:val="el-GR"/>
        </w:rPr>
        <w:t xml:space="preserve">.00 εργαζομένους. Ο τομέας συμμετέχει με 6% στις συνολικές εξαγωγές της χώρας με </w:t>
      </w:r>
      <w:r w:rsidR="00541BCF" w:rsidRPr="00466073">
        <w:rPr>
          <w:rFonts w:asciiTheme="minorHAnsi" w:hAnsiTheme="minorHAnsi" w:cstheme="minorHAnsi"/>
          <w:lang w:val="el-GR"/>
        </w:rPr>
        <w:t xml:space="preserve">συνεχή </w:t>
      </w:r>
      <w:r w:rsidRPr="00466073">
        <w:rPr>
          <w:rFonts w:asciiTheme="minorHAnsi" w:hAnsiTheme="minorHAnsi" w:cstheme="minorHAnsi"/>
          <w:lang w:val="el-GR"/>
        </w:rPr>
        <w:t>πλεονασματικό εμπορικό ισοζύγιο στα προϊόντα τροφίμων.</w:t>
      </w:r>
    </w:p>
    <w:p w:rsidR="00D41322" w:rsidRPr="00466073" w:rsidRDefault="00541BCF" w:rsidP="00D41322">
      <w:pPr>
        <w:jc w:val="both"/>
        <w:rPr>
          <w:rFonts w:asciiTheme="minorHAnsi" w:hAnsiTheme="minorHAnsi" w:cstheme="minorHAnsi"/>
          <w:lang w:val="el-GR"/>
        </w:rPr>
      </w:pPr>
      <w:r w:rsidRPr="00466073">
        <w:rPr>
          <w:rFonts w:asciiTheme="minorHAnsi" w:hAnsiTheme="minorHAnsi" w:cstheme="minorHAnsi"/>
          <w:lang w:val="el-GR"/>
        </w:rPr>
        <w:t>Το  85% στο σύνολο</w:t>
      </w:r>
      <w:r w:rsidR="0061145D" w:rsidRPr="00466073">
        <w:rPr>
          <w:rFonts w:asciiTheme="minorHAnsi" w:hAnsiTheme="minorHAnsi" w:cstheme="minorHAnsi"/>
          <w:lang w:val="el-GR"/>
        </w:rPr>
        <w:t xml:space="preserve"> των επιχειρήσεων του κλάδου (είναι μικρές και απασχολούν λιγότερους από 10 υπαλλήλους. Το 47% του επενδυμένου κεφαλαίου προέρχεται από το εξωτερικό. Το μεγαλύτερο μερίδιο των άμεσων ξένων επενδύσεων συγκεντρώνουν: η επεξεργασία κρέατος, </w:t>
      </w:r>
      <w:r w:rsidR="006972E0" w:rsidRPr="00466073">
        <w:rPr>
          <w:rFonts w:asciiTheme="minorHAnsi" w:hAnsiTheme="minorHAnsi" w:cstheme="minorHAnsi"/>
          <w:lang w:val="el-GR"/>
        </w:rPr>
        <w:t xml:space="preserve">καφέ και τσαγιού και η παραγωγή-εμφιάλωση αναψυκτικών. Από τις περίπου 200 μεγάλες εταιρείες επεξεργασίας τροφίμων, σχεδόν οι 150 ανήκουν σε ξένους επενδυτές. Συνήθως, οι μεγάλες πολυεθνικές που δραστηριοποιούνται παραγωγικά στην Ουγγαρία, χρησιμοποιούν εγχώριες πρώτες ύλες. </w:t>
      </w:r>
      <w:r w:rsidRPr="00466073">
        <w:rPr>
          <w:rFonts w:asciiTheme="minorHAnsi" w:hAnsiTheme="minorHAnsi" w:cstheme="minorHAnsi"/>
          <w:lang w:val="el-GR"/>
        </w:rPr>
        <w:t>Αξίζει να σημειωθεί, ότι τ</w:t>
      </w:r>
      <w:r w:rsidR="006972E0" w:rsidRPr="00466073">
        <w:rPr>
          <w:rFonts w:asciiTheme="minorHAnsi" w:hAnsiTheme="minorHAnsi" w:cstheme="minorHAnsi"/>
          <w:lang w:val="el-GR"/>
        </w:rPr>
        <w:t xml:space="preserve">η μερίδα του λέοντος στην προσέλκυση ξένων επενδύσεων κατέχει ο τομέας της </w:t>
      </w:r>
      <w:r w:rsidR="006972E0" w:rsidRPr="00466073">
        <w:rPr>
          <w:rFonts w:asciiTheme="minorHAnsi" w:hAnsiTheme="minorHAnsi" w:cstheme="minorHAnsi"/>
          <w:lang w:val="el-GR"/>
        </w:rPr>
        <w:lastRenderedPageBreak/>
        <w:t xml:space="preserve">επεξεργασίας φυτικών ελαίων (σχεδόν το 50% των εισερχόμενων ξένων κεφαλαίων). Μεταξύ των μεγάλων ξένων επενδυτών είναι οι εταιρείες </w:t>
      </w:r>
      <w:proofErr w:type="spellStart"/>
      <w:r w:rsidR="00D41322" w:rsidRPr="00466073">
        <w:rPr>
          <w:rFonts w:asciiTheme="minorHAnsi" w:hAnsiTheme="minorHAnsi" w:cstheme="minorHAnsi"/>
          <w:lang w:val="el-GR"/>
        </w:rPr>
        <w:t>Bonduelle</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Bunge</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Givaudan</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Globus</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Mars</w:t>
      </w:r>
      <w:proofErr w:type="spellEnd"/>
      <w:r w:rsidR="00D41322" w:rsidRPr="00466073">
        <w:rPr>
          <w:rFonts w:asciiTheme="minorHAnsi" w:hAnsiTheme="minorHAnsi" w:cstheme="minorHAnsi"/>
          <w:lang w:val="el-GR"/>
        </w:rPr>
        <w:t xml:space="preserve">, </w:t>
      </w:r>
      <w:proofErr w:type="spellStart"/>
      <w:r w:rsidR="00D41322" w:rsidRPr="00466073">
        <w:rPr>
          <w:rFonts w:asciiTheme="minorHAnsi" w:hAnsiTheme="minorHAnsi" w:cstheme="minorHAnsi"/>
          <w:lang w:val="el-GR"/>
        </w:rPr>
        <w:t>Nestlé</w:t>
      </w:r>
      <w:proofErr w:type="spellEnd"/>
      <w:r w:rsidR="00D41322" w:rsidRPr="00466073">
        <w:rPr>
          <w:rFonts w:asciiTheme="minorHAnsi" w:hAnsiTheme="minorHAnsi" w:cstheme="minorHAnsi"/>
          <w:lang w:val="el-GR"/>
        </w:rPr>
        <w:t xml:space="preserve">, POPZ, </w:t>
      </w:r>
      <w:r w:rsidR="006972E0" w:rsidRPr="00466073">
        <w:rPr>
          <w:rFonts w:asciiTheme="minorHAnsi" w:hAnsiTheme="minorHAnsi" w:cstheme="minorHAnsi"/>
        </w:rPr>
        <w:t>Coca</w:t>
      </w:r>
      <w:r w:rsidR="006972E0" w:rsidRPr="00466073">
        <w:rPr>
          <w:rFonts w:asciiTheme="minorHAnsi" w:hAnsiTheme="minorHAnsi" w:cstheme="minorHAnsi"/>
          <w:lang w:val="el-GR"/>
        </w:rPr>
        <w:t xml:space="preserve"> </w:t>
      </w:r>
      <w:r w:rsidR="006972E0" w:rsidRPr="00466073">
        <w:rPr>
          <w:rFonts w:asciiTheme="minorHAnsi" w:hAnsiTheme="minorHAnsi" w:cstheme="minorHAnsi"/>
        </w:rPr>
        <w:t>Cola</w:t>
      </w:r>
      <w:r w:rsidR="006972E0" w:rsidRPr="00466073">
        <w:rPr>
          <w:rFonts w:asciiTheme="minorHAnsi" w:hAnsiTheme="minorHAnsi" w:cstheme="minorHAnsi"/>
          <w:lang w:val="el-GR"/>
        </w:rPr>
        <w:t xml:space="preserve"> 3</w:t>
      </w:r>
      <w:r w:rsidR="006972E0" w:rsidRPr="00466073">
        <w:rPr>
          <w:rFonts w:asciiTheme="minorHAnsi" w:hAnsiTheme="minorHAnsi" w:cstheme="minorHAnsi"/>
        </w:rPr>
        <w:t>E</w:t>
      </w:r>
      <w:r w:rsidR="006F16F6" w:rsidRPr="00466073">
        <w:rPr>
          <w:rFonts w:asciiTheme="minorHAnsi" w:hAnsiTheme="minorHAnsi" w:cstheme="minorHAnsi"/>
          <w:lang w:val="el-GR"/>
        </w:rPr>
        <w:t xml:space="preserve"> και η </w:t>
      </w:r>
      <w:proofErr w:type="spellStart"/>
      <w:r w:rsidR="00D41322" w:rsidRPr="00466073">
        <w:rPr>
          <w:rFonts w:asciiTheme="minorHAnsi" w:hAnsiTheme="minorHAnsi" w:cstheme="minorHAnsi"/>
          <w:lang w:val="el-GR"/>
        </w:rPr>
        <w:t>Unilever</w:t>
      </w:r>
      <w:proofErr w:type="spellEnd"/>
      <w:r w:rsidR="00D41322" w:rsidRPr="00466073">
        <w:rPr>
          <w:rFonts w:asciiTheme="minorHAnsi" w:hAnsiTheme="minorHAnsi" w:cstheme="minorHAnsi"/>
          <w:lang w:val="el-GR"/>
        </w:rPr>
        <w:t>.</w:t>
      </w:r>
    </w:p>
    <w:p w:rsidR="00D41322" w:rsidRPr="00466073" w:rsidRDefault="00D41322" w:rsidP="007D6B64">
      <w:pPr>
        <w:jc w:val="both"/>
        <w:rPr>
          <w:rFonts w:asciiTheme="minorHAnsi" w:hAnsiTheme="minorHAnsi" w:cstheme="minorHAnsi"/>
          <w:lang w:val="el-GR"/>
        </w:rPr>
      </w:pPr>
    </w:p>
    <w:p w:rsidR="00EC206F" w:rsidRPr="00466073" w:rsidRDefault="00A64BF2" w:rsidP="007D6B64">
      <w:pPr>
        <w:jc w:val="both"/>
        <w:rPr>
          <w:rFonts w:asciiTheme="minorHAnsi" w:hAnsiTheme="minorHAnsi" w:cstheme="minorHAnsi"/>
          <w:lang w:val="el-GR"/>
        </w:rPr>
      </w:pPr>
      <w:r w:rsidRPr="00466073">
        <w:rPr>
          <w:rFonts w:asciiTheme="minorHAnsi" w:hAnsiTheme="minorHAnsi" w:cstheme="minorHAnsi"/>
          <w:lang w:val="el-GR"/>
        </w:rPr>
        <w:t xml:space="preserve">Στο παρακάτω γράφημα φαίνεται η σύνθεση του βιομηχανικού τομέα, βάσει της αξίας παραγωγής των κυριότερων υποομάδων. </w:t>
      </w:r>
    </w:p>
    <w:p w:rsidR="00305741" w:rsidRPr="00466073" w:rsidRDefault="00305741" w:rsidP="007D6B64">
      <w:pPr>
        <w:jc w:val="both"/>
        <w:rPr>
          <w:rFonts w:asciiTheme="minorHAnsi" w:hAnsiTheme="minorHAnsi" w:cstheme="minorHAnsi"/>
          <w:lang w:val="el-GR"/>
        </w:rPr>
      </w:pPr>
    </w:p>
    <w:p w:rsidR="00305741" w:rsidRPr="00466073" w:rsidRDefault="00305741" w:rsidP="007D6B64">
      <w:pPr>
        <w:jc w:val="both"/>
        <w:rPr>
          <w:rFonts w:asciiTheme="minorHAnsi" w:hAnsiTheme="minorHAnsi" w:cstheme="minorHAnsi"/>
          <w:lang w:val="el-GR"/>
        </w:rPr>
      </w:pPr>
    </w:p>
    <w:p w:rsidR="00EC206F" w:rsidRPr="00466073" w:rsidRDefault="00305741" w:rsidP="007D6B64">
      <w:pPr>
        <w:jc w:val="both"/>
        <w:rPr>
          <w:rFonts w:asciiTheme="minorHAnsi" w:hAnsiTheme="minorHAnsi" w:cstheme="minorHAnsi"/>
          <w:lang w:val="el-GR"/>
        </w:rPr>
      </w:pPr>
      <w:r w:rsidRPr="00466073">
        <w:rPr>
          <w:rFonts w:asciiTheme="minorHAnsi" w:hAnsiTheme="minorHAnsi" w:cstheme="minorHAnsi"/>
          <w:noProof/>
        </w:rPr>
        <w:drawing>
          <wp:inline distT="0" distB="0" distL="0" distR="0">
            <wp:extent cx="6304112" cy="2682815"/>
            <wp:effectExtent l="19050" t="0" r="20488" b="3235"/>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F6720" w:rsidRPr="00466073" w:rsidRDefault="005F6720" w:rsidP="00EC206F">
      <w:pPr>
        <w:widowControl w:val="0"/>
        <w:autoSpaceDE w:val="0"/>
        <w:autoSpaceDN w:val="0"/>
        <w:adjustRightInd w:val="0"/>
        <w:spacing w:line="233" w:lineRule="auto"/>
        <w:rPr>
          <w:rFonts w:asciiTheme="minorHAnsi" w:hAnsiTheme="minorHAnsi" w:cstheme="minorHAnsi"/>
          <w:bCs/>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 xml:space="preserve">. </w:t>
      </w:r>
    </w:p>
    <w:p w:rsidR="00441E06" w:rsidRPr="00466073" w:rsidRDefault="00441E06" w:rsidP="007D6B64">
      <w:pPr>
        <w:jc w:val="both"/>
        <w:rPr>
          <w:rFonts w:asciiTheme="minorHAnsi" w:hAnsiTheme="minorHAnsi" w:cstheme="minorHAnsi"/>
          <w:lang w:val="el-GR"/>
        </w:rPr>
      </w:pPr>
    </w:p>
    <w:p w:rsidR="00D17A00" w:rsidRPr="00466073" w:rsidRDefault="00D17A00" w:rsidP="007D6B64">
      <w:pPr>
        <w:jc w:val="both"/>
        <w:rPr>
          <w:rFonts w:asciiTheme="minorHAnsi" w:hAnsiTheme="minorHAnsi" w:cstheme="minorHAnsi"/>
          <w:lang w:val="el-GR"/>
        </w:rPr>
      </w:pPr>
    </w:p>
    <w:p w:rsidR="00EC206F" w:rsidRPr="00466073" w:rsidRDefault="00EC206F" w:rsidP="007D6B64">
      <w:pPr>
        <w:jc w:val="both"/>
        <w:rPr>
          <w:rFonts w:asciiTheme="minorHAnsi" w:hAnsiTheme="minorHAnsi" w:cstheme="minorHAnsi"/>
          <w:lang w:val="el-GR"/>
        </w:rPr>
      </w:pPr>
    </w:p>
    <w:p w:rsidR="00D65D4B" w:rsidRPr="00466073" w:rsidRDefault="008921E6" w:rsidP="00D65D4B">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u w:val="single"/>
          <w:lang w:val="el-GR"/>
        </w:rPr>
      </w:pPr>
      <w:r w:rsidRPr="00466073">
        <w:rPr>
          <w:rFonts w:asciiTheme="minorHAnsi" w:hAnsiTheme="minorHAnsi" w:cstheme="minorHAnsi"/>
          <w:u w:val="single"/>
          <w:lang w:val="el-GR"/>
        </w:rPr>
        <w:t>Υπηρεσίες</w:t>
      </w:r>
      <w:r w:rsidR="005B79E6" w:rsidRPr="00466073">
        <w:rPr>
          <w:rFonts w:asciiTheme="minorHAnsi" w:hAnsiTheme="minorHAnsi" w:cstheme="minorHAnsi"/>
          <w:u w:val="single"/>
          <w:lang w:val="el-GR"/>
        </w:rPr>
        <w:t xml:space="preserve"> (μεταφορές, επικοινωνίες</w:t>
      </w:r>
      <w:r w:rsidR="00A707D5" w:rsidRPr="00466073">
        <w:rPr>
          <w:rFonts w:asciiTheme="minorHAnsi" w:hAnsiTheme="minorHAnsi" w:cstheme="minorHAnsi"/>
          <w:u w:val="single"/>
          <w:lang w:val="el-GR"/>
        </w:rPr>
        <w:t>,</w:t>
      </w:r>
      <w:r w:rsidR="005B79E6" w:rsidRPr="00466073">
        <w:rPr>
          <w:rFonts w:asciiTheme="minorHAnsi" w:hAnsiTheme="minorHAnsi" w:cstheme="minorHAnsi"/>
          <w:u w:val="single"/>
          <w:lang w:val="el-GR"/>
        </w:rPr>
        <w:t xml:space="preserve"> τουρισμός</w:t>
      </w:r>
      <w:r w:rsidR="002C5560" w:rsidRPr="00466073">
        <w:rPr>
          <w:rFonts w:asciiTheme="minorHAnsi" w:hAnsiTheme="minorHAnsi" w:cstheme="minorHAnsi"/>
          <w:u w:val="single"/>
          <w:lang w:val="el-GR"/>
        </w:rPr>
        <w:t>, εμπόριο</w:t>
      </w:r>
      <w:r w:rsidR="005B79E6" w:rsidRPr="00466073">
        <w:rPr>
          <w:rFonts w:asciiTheme="minorHAnsi" w:hAnsiTheme="minorHAnsi" w:cstheme="minorHAnsi"/>
          <w:u w:val="single"/>
          <w:lang w:val="el-GR"/>
        </w:rPr>
        <w:t>)</w:t>
      </w:r>
    </w:p>
    <w:p w:rsidR="00A83006" w:rsidRPr="00466073" w:rsidRDefault="00A83006" w:rsidP="008921E6">
      <w:pPr>
        <w:widowControl w:val="0"/>
        <w:autoSpaceDE w:val="0"/>
        <w:autoSpaceDN w:val="0"/>
        <w:adjustRightInd w:val="0"/>
        <w:rPr>
          <w:rFonts w:asciiTheme="minorHAnsi" w:hAnsiTheme="minorHAnsi" w:cstheme="minorHAnsi"/>
          <w:lang w:val="el-GR"/>
        </w:rPr>
      </w:pPr>
    </w:p>
    <w:p w:rsidR="00305741" w:rsidRPr="00466073" w:rsidRDefault="001D1291" w:rsidP="00A707D5">
      <w:pPr>
        <w:jc w:val="both"/>
        <w:rPr>
          <w:rFonts w:asciiTheme="minorHAnsi" w:hAnsiTheme="minorHAnsi" w:cstheme="minorHAnsi"/>
          <w:lang w:val="el-GR"/>
        </w:rPr>
      </w:pPr>
      <w:r w:rsidRPr="00466073">
        <w:rPr>
          <w:rFonts w:asciiTheme="minorHAnsi" w:hAnsiTheme="minorHAnsi" w:cstheme="minorHAnsi"/>
          <w:lang w:val="el-GR"/>
        </w:rPr>
        <w:t>Μεταξύ των κυριοτέρων κατηγοριών του κλάδου των υπηρεσιών, ξεχωρίζει με τις επιδόσεις του ο τουρισμός</w:t>
      </w:r>
      <w:r w:rsidR="00564275" w:rsidRPr="00466073">
        <w:rPr>
          <w:rFonts w:asciiTheme="minorHAnsi" w:hAnsiTheme="minorHAnsi" w:cstheme="minorHAnsi"/>
          <w:lang w:val="el-GR"/>
        </w:rPr>
        <w:t xml:space="preserve"> που τα τελευταία χρόνια αναπτύσσεται ταχύτατα. Από το 2016 κι ένθεν ο ετήσιος ρυθμός ανάπτυξής του κυμαίνεται στο 10% </w:t>
      </w:r>
      <w:r w:rsidR="007066CB" w:rsidRPr="00466073">
        <w:rPr>
          <w:rFonts w:asciiTheme="minorHAnsi" w:hAnsiTheme="minorHAnsi" w:cstheme="minorHAnsi"/>
          <w:lang w:val="el-GR"/>
        </w:rPr>
        <w:t xml:space="preserve">(ποσοστό διπλάσιο του ρυθμού ανάπτυξης της ουγγρικής οικονομίας). </w:t>
      </w:r>
      <w:r w:rsidR="000D2917" w:rsidRPr="00466073">
        <w:rPr>
          <w:rFonts w:asciiTheme="minorHAnsi" w:hAnsiTheme="minorHAnsi" w:cstheme="minorHAnsi"/>
          <w:lang w:val="el-GR"/>
        </w:rPr>
        <w:t>Το 2019 ήταν εξαιρετικό έτος για τις τουρ</w:t>
      </w:r>
      <w:r w:rsidR="009446BD" w:rsidRPr="00466073">
        <w:rPr>
          <w:rFonts w:asciiTheme="minorHAnsi" w:hAnsiTheme="minorHAnsi" w:cstheme="minorHAnsi"/>
          <w:lang w:val="el-GR"/>
        </w:rPr>
        <w:t>ιστικές επιδόσεις της Ουγγαρίας.</w:t>
      </w:r>
      <w:r w:rsidR="000D2917" w:rsidRPr="00466073">
        <w:rPr>
          <w:rFonts w:asciiTheme="minorHAnsi" w:hAnsiTheme="minorHAnsi" w:cstheme="minorHAnsi"/>
          <w:lang w:val="el-GR"/>
        </w:rPr>
        <w:t xml:space="preserve"> Σύμφωνα με στοιχεία της Εθνικής Στατιστικής Υπηρεσίας (KSH), ο τουριστικός τομέας σημείωσε ρεκόρ, καθώς ο αριθμός των φιλοξενούμενων στα εμπορικά καταλύματα ανήλθε σε 12,8 εκατομμύρια και ο αριθμός των διανυκτερεύσεων ξεπέρασε τα 31,3 εκατομμύρια. Οι διανυκτερεύσεις των ξένων επισκεπτών αυξήθηκαν κατά 2,3% σε ετήσια βάση, αγγίζοντας τα 15,7 εκ., τη στιγμή που οι διανυκτερεύσεις των Ούγγρων επισκεπτών μειώθηκαν κατά 0,6% στα 15,6 εκ. Επίσης, η πληρότητα των δωματίων αυξήθηκε κατά 0,5%, ανερχόμενη στο 61,7%, και τα συνολικά έσοδα των ξενοδοχείων διαμορφώθηκαν στα 557 </w:t>
      </w:r>
      <w:proofErr w:type="spellStart"/>
      <w:r w:rsidR="000D2917" w:rsidRPr="00466073">
        <w:rPr>
          <w:rFonts w:asciiTheme="minorHAnsi" w:hAnsiTheme="minorHAnsi" w:cstheme="minorHAnsi"/>
          <w:lang w:val="el-GR"/>
        </w:rPr>
        <w:t>δισεκ</w:t>
      </w:r>
      <w:proofErr w:type="spellEnd"/>
      <w:r w:rsidR="000D2917" w:rsidRPr="00466073">
        <w:rPr>
          <w:rFonts w:asciiTheme="minorHAnsi" w:hAnsiTheme="minorHAnsi" w:cstheme="minorHAnsi"/>
          <w:lang w:val="el-GR"/>
        </w:rPr>
        <w:t xml:space="preserve">. HUF (€1,7 </w:t>
      </w:r>
      <w:proofErr w:type="spellStart"/>
      <w:r w:rsidR="000D2917" w:rsidRPr="00466073">
        <w:rPr>
          <w:rFonts w:asciiTheme="minorHAnsi" w:hAnsiTheme="minorHAnsi" w:cstheme="minorHAnsi"/>
          <w:lang w:val="el-GR"/>
        </w:rPr>
        <w:t>δισεκ</w:t>
      </w:r>
      <w:proofErr w:type="spellEnd"/>
      <w:r w:rsidR="000D2917" w:rsidRPr="00466073">
        <w:rPr>
          <w:rFonts w:asciiTheme="minorHAnsi" w:hAnsiTheme="minorHAnsi" w:cstheme="minorHAnsi"/>
          <w:lang w:val="el-GR"/>
        </w:rPr>
        <w:t xml:space="preserve">.), αυξημένα κατά 8,8% σε σχέση με το 2018. Τον Δεκέμβριο 2019, οι αφίξεις και οι διανυκτερεύσεις των Ούγγρων τουριστών μειώθηκαν κατά 0,4% και 3,4% αντίστοιχα, με τις πρώτες να υπολογίζονται σε 431.000 και τις δεύτερες σε 920.000. Επιπλέον, ιστορικό ρεκόρ κατεγράφη στις αφίξεις ξένων επισκεπτών, ο αριθμός των οποίων αυξήθηκε κατά 15% τον Δεκέμβριο 2019, φθάνοντας τις 453.000, με τις αντίστοιχες διανυκτερεύσεις να αυξάνονται επίσης κατά 13%, στα 1,1 εκ. για τον ίδιο μήνα. </w:t>
      </w:r>
    </w:p>
    <w:p w:rsidR="002E7491" w:rsidRDefault="002E7491" w:rsidP="00A707D5">
      <w:pPr>
        <w:jc w:val="both"/>
        <w:rPr>
          <w:rFonts w:asciiTheme="minorHAnsi" w:hAnsiTheme="minorHAnsi" w:cstheme="minorHAnsi"/>
          <w:lang w:val="el-GR"/>
        </w:rPr>
      </w:pPr>
    </w:p>
    <w:p w:rsidR="002E7491" w:rsidRDefault="002E7491" w:rsidP="00A707D5">
      <w:pPr>
        <w:jc w:val="both"/>
        <w:rPr>
          <w:rFonts w:asciiTheme="minorHAnsi" w:hAnsiTheme="minorHAnsi" w:cstheme="minorHAnsi"/>
          <w:lang w:val="el-GR"/>
        </w:rPr>
      </w:pPr>
    </w:p>
    <w:p w:rsidR="000D2917" w:rsidRPr="00466073" w:rsidRDefault="000D2917" w:rsidP="00A707D5">
      <w:pPr>
        <w:jc w:val="both"/>
        <w:rPr>
          <w:rFonts w:asciiTheme="minorHAnsi" w:hAnsiTheme="minorHAnsi" w:cstheme="minorHAnsi"/>
          <w:lang w:val="el-GR"/>
        </w:rPr>
      </w:pPr>
      <w:r w:rsidRPr="00466073">
        <w:rPr>
          <w:rFonts w:asciiTheme="minorHAnsi" w:hAnsiTheme="minorHAnsi" w:cstheme="minorHAnsi"/>
          <w:lang w:val="el-GR"/>
        </w:rPr>
        <w:lastRenderedPageBreak/>
        <w:t xml:space="preserve">Με βάση την Ουγγρική Υπηρεσία Τουρισμού (MTÜ), οι τουριστικές αφίξεις από τις ΗΠΑ, το Ηνωμένο Βασίλειο, την Ιταλία, το Ισραήλ και την Κίνα αυξήθηκαν με διψήφια ποσοστά κατά το Δεκέμβριο 2019, με την τουριστική δαπάνη των πολιτών των συγκεκριμένων χωρών να βρίσκεται άνω του μέσου όρου. Σημειώνεται πως για το διάστημα 2010-2020, ο αριθμός των επισκεπτών και των διανυκτερεύσεων αυξήθηκε κατά 50%, οδηγώντας σε αύξηση 150% των εσόδων των καταλυμάτων. </w:t>
      </w:r>
    </w:p>
    <w:p w:rsidR="00305741" w:rsidRPr="00466073" w:rsidRDefault="00F76AFB" w:rsidP="00A707D5">
      <w:pPr>
        <w:jc w:val="both"/>
        <w:rPr>
          <w:rFonts w:asciiTheme="minorHAnsi" w:hAnsiTheme="minorHAnsi" w:cstheme="minorHAnsi"/>
          <w:lang w:val="el-GR"/>
        </w:rPr>
      </w:pPr>
      <w:r w:rsidRPr="00466073">
        <w:rPr>
          <w:rFonts w:asciiTheme="minorHAnsi" w:hAnsiTheme="minorHAnsi" w:cstheme="minorHAnsi"/>
          <w:lang w:val="el-GR"/>
        </w:rPr>
        <w:t xml:space="preserve">Το 2020 ο τομέας επλήγη σημαντικά εξαιτίας της πανδημίας και των μέτρων καταπολέμησής της που οδήγησαν σε απαγορεύσεις μετακινήσεων, κλείσιμο συνόρων, αναστολή λειτουργίας ξενοδοχειακών μονάδων και καταλυμάτων, αναστολή λειτουργίας εστιατορίων και κέντρων διασκέδασης, αναστολή αεροπορικών πτήσεων κλπ. Πολλές τουριστικές εταιρείες ανέστειλαν και κάποιες από αυτές έπαυσαν οριστικά τη λειτουργία τους. </w:t>
      </w:r>
    </w:p>
    <w:p w:rsidR="00305741" w:rsidRPr="00466073" w:rsidRDefault="00305741" w:rsidP="00A707D5">
      <w:pPr>
        <w:jc w:val="both"/>
        <w:rPr>
          <w:rFonts w:asciiTheme="minorHAnsi" w:hAnsiTheme="minorHAnsi" w:cstheme="minorHAnsi"/>
          <w:lang w:val="el-GR"/>
        </w:rPr>
      </w:pPr>
    </w:p>
    <w:p w:rsidR="000D2917" w:rsidRPr="00466073" w:rsidRDefault="00F76AFB" w:rsidP="00A707D5">
      <w:pPr>
        <w:jc w:val="both"/>
        <w:rPr>
          <w:rFonts w:asciiTheme="minorHAnsi" w:hAnsiTheme="minorHAnsi" w:cstheme="minorHAnsi"/>
          <w:lang w:val="el-GR"/>
        </w:rPr>
      </w:pPr>
      <w:r w:rsidRPr="00466073">
        <w:rPr>
          <w:rFonts w:asciiTheme="minorHAnsi" w:hAnsiTheme="minorHAnsi" w:cstheme="minorHAnsi"/>
          <w:lang w:val="el-GR"/>
        </w:rPr>
        <w:t>Χαρακτηριστικό παράδειγμα, το ταξιδιωτικό πρακτορείο «</w:t>
      </w:r>
      <w:proofErr w:type="spellStart"/>
      <w:r w:rsidRPr="00466073">
        <w:rPr>
          <w:rFonts w:asciiTheme="minorHAnsi" w:hAnsiTheme="minorHAnsi" w:cstheme="minorHAnsi"/>
          <w:lang w:val="el-GR"/>
        </w:rPr>
        <w:t>Robinson</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Tours</w:t>
      </w:r>
      <w:proofErr w:type="spellEnd"/>
      <w:r w:rsidRPr="00466073">
        <w:rPr>
          <w:rFonts w:asciiTheme="minorHAnsi" w:hAnsiTheme="minorHAnsi" w:cstheme="minorHAnsi"/>
          <w:lang w:val="el-GR"/>
        </w:rPr>
        <w:t xml:space="preserve">», που μετά από δύο και πλέον δεκαετίες,  έπαυσε τη λειτουργία του μη μπορώντας να ανταπεξέλθει στις οικονομικές επιπτώσεις της πανδημίας. Η κρατική ενίσχυση που έλαβε ο κλάδος το 2020, ξεπέρασε τα 800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HUF (€2,22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ποσό εξαιρετικά υψηλό σε σχέση με τα ευρωπαϊκά δεδομένα. Στα μέτρα ενίσχυσης των επιχειρήσεων του κλάδου συμπεριλαμβάνονταν, για παράδειγμα, η αναστολή καταβολής φόρων και μισθών. Ο τουριστικός κλάδος της Ουγγαρίας, στηρίζ</w:t>
      </w:r>
      <w:r w:rsidR="009446BD" w:rsidRPr="00466073">
        <w:rPr>
          <w:rFonts w:asciiTheme="minorHAnsi" w:hAnsiTheme="minorHAnsi" w:cstheme="minorHAnsi"/>
          <w:lang w:val="el-GR"/>
        </w:rPr>
        <w:t>ει οικονομικά περισσότερα από 42</w:t>
      </w:r>
      <w:r w:rsidRPr="00466073">
        <w:rPr>
          <w:rFonts w:asciiTheme="minorHAnsi" w:hAnsiTheme="minorHAnsi" w:cstheme="minorHAnsi"/>
          <w:lang w:val="el-GR"/>
        </w:rPr>
        <w:t>0 χ</w:t>
      </w:r>
      <w:r w:rsidR="009446BD" w:rsidRPr="00466073">
        <w:rPr>
          <w:rFonts w:asciiTheme="minorHAnsi" w:hAnsiTheme="minorHAnsi" w:cstheme="minorHAnsi"/>
          <w:lang w:val="el-GR"/>
        </w:rPr>
        <w:t>ιλ. άτομα και συμμετέχει με 13,8</w:t>
      </w:r>
      <w:r w:rsidRPr="00466073">
        <w:rPr>
          <w:rFonts w:asciiTheme="minorHAnsi" w:hAnsiTheme="minorHAnsi" w:cstheme="minorHAnsi"/>
          <w:lang w:val="el-GR"/>
        </w:rPr>
        <w:t xml:space="preserve">% στο ΑΕΠ της ουγγρικής οικονομίας. </w:t>
      </w:r>
    </w:p>
    <w:p w:rsidR="00A64BF2" w:rsidRPr="00466073" w:rsidRDefault="00A64BF2" w:rsidP="00A707D5">
      <w:pPr>
        <w:jc w:val="both"/>
        <w:rPr>
          <w:rFonts w:asciiTheme="minorHAnsi" w:hAnsiTheme="minorHAnsi" w:cstheme="minorHAnsi"/>
          <w:b/>
          <w:u w:val="single"/>
          <w:lang w:val="el-GR"/>
        </w:rPr>
      </w:pPr>
    </w:p>
    <w:p w:rsidR="005D7399" w:rsidRPr="00466073" w:rsidRDefault="005D7399" w:rsidP="00A707D5">
      <w:pPr>
        <w:jc w:val="both"/>
        <w:rPr>
          <w:rFonts w:asciiTheme="minorHAnsi" w:hAnsiTheme="minorHAnsi" w:cstheme="minorHAnsi"/>
          <w:b/>
          <w:u w:val="single"/>
          <w:lang w:val="el-GR"/>
        </w:rPr>
      </w:pPr>
      <w:r w:rsidRPr="00466073">
        <w:rPr>
          <w:rFonts w:asciiTheme="minorHAnsi" w:hAnsiTheme="minorHAnsi" w:cstheme="minorHAnsi"/>
          <w:b/>
          <w:u w:val="single"/>
          <w:lang w:val="el-GR"/>
        </w:rPr>
        <w:t xml:space="preserve">Μεταφορές </w:t>
      </w:r>
    </w:p>
    <w:p w:rsidR="0088113C" w:rsidRPr="00466073" w:rsidRDefault="0088113C" w:rsidP="00A707D5">
      <w:pPr>
        <w:jc w:val="both"/>
        <w:rPr>
          <w:rFonts w:asciiTheme="minorHAnsi" w:hAnsiTheme="minorHAnsi" w:cstheme="minorHAnsi"/>
          <w:lang w:val="hu-HU"/>
        </w:rPr>
      </w:pPr>
      <w:r w:rsidRPr="00466073">
        <w:rPr>
          <w:rFonts w:asciiTheme="minorHAnsi" w:hAnsiTheme="minorHAnsi" w:cstheme="minorHAnsi"/>
          <w:lang w:val="el-GR"/>
        </w:rPr>
        <w:t xml:space="preserve">Στην Ουγγαρία διασταυρώνονται τρεις </w:t>
      </w:r>
      <w:r w:rsidR="00D65D4B" w:rsidRPr="00466073">
        <w:rPr>
          <w:rFonts w:asciiTheme="minorHAnsi" w:hAnsiTheme="minorHAnsi" w:cstheme="minorHAnsi"/>
        </w:rPr>
        <w:t>TEN</w:t>
      </w:r>
      <w:r w:rsidR="00D65D4B" w:rsidRPr="00466073">
        <w:rPr>
          <w:rFonts w:asciiTheme="minorHAnsi" w:hAnsiTheme="minorHAnsi" w:cstheme="minorHAnsi"/>
          <w:lang w:val="el-GR"/>
        </w:rPr>
        <w:t>-</w:t>
      </w:r>
      <w:r w:rsidR="00D65D4B" w:rsidRPr="00466073">
        <w:rPr>
          <w:rFonts w:asciiTheme="minorHAnsi" w:hAnsiTheme="minorHAnsi" w:cstheme="minorHAnsi"/>
        </w:rPr>
        <w:t>T</w:t>
      </w:r>
      <w:r w:rsidRPr="00466073">
        <w:rPr>
          <w:rFonts w:asciiTheme="minorHAnsi" w:hAnsiTheme="minorHAnsi" w:cstheme="minorHAnsi"/>
          <w:lang w:val="el-GR"/>
        </w:rPr>
        <w:t xml:space="preserve"> αυτοκινητόδρομοι</w:t>
      </w:r>
      <w:r w:rsidR="00D65D4B" w:rsidRPr="00466073">
        <w:rPr>
          <w:rFonts w:asciiTheme="minorHAnsi" w:hAnsiTheme="minorHAnsi" w:cstheme="minorHAnsi"/>
          <w:lang w:val="el-GR"/>
        </w:rPr>
        <w:t xml:space="preserve">, </w:t>
      </w:r>
      <w:r w:rsidRPr="00466073">
        <w:rPr>
          <w:rFonts w:asciiTheme="minorHAnsi" w:hAnsiTheme="minorHAnsi" w:cstheme="minorHAnsi"/>
          <w:lang w:val="el-GR"/>
        </w:rPr>
        <w:t xml:space="preserve">που επιτρέπουν εύκολη πρόσβαση στην αγορά των 500 εκ. καταναλωτών της Ε.Ε., ενώ οι αγορές των Βαλκανίων, της Τουρκίας και των χωρών </w:t>
      </w:r>
      <w:r w:rsidRPr="00466073">
        <w:rPr>
          <w:rFonts w:asciiTheme="minorHAnsi" w:hAnsiTheme="minorHAnsi" w:cstheme="minorHAnsi"/>
          <w:lang w:val="hu-HU"/>
        </w:rPr>
        <w:t>KAK</w:t>
      </w:r>
      <w:r w:rsidRPr="00466073">
        <w:rPr>
          <w:rFonts w:asciiTheme="minorHAnsi" w:hAnsiTheme="minorHAnsi" w:cstheme="minorHAnsi"/>
          <w:lang w:val="el-GR"/>
        </w:rPr>
        <w:t xml:space="preserve"> είναι επίσης </w:t>
      </w:r>
      <w:proofErr w:type="spellStart"/>
      <w:r w:rsidRPr="00466073">
        <w:rPr>
          <w:rFonts w:asciiTheme="minorHAnsi" w:hAnsiTheme="minorHAnsi" w:cstheme="minorHAnsi"/>
          <w:lang w:val="el-GR"/>
        </w:rPr>
        <w:t>προσβάσιμες</w:t>
      </w:r>
      <w:proofErr w:type="spellEnd"/>
      <w:r w:rsidRPr="00466073">
        <w:rPr>
          <w:rFonts w:asciiTheme="minorHAnsi" w:hAnsiTheme="minorHAnsi" w:cstheme="minorHAnsi"/>
          <w:lang w:val="el-GR"/>
        </w:rPr>
        <w:t>. Η Ουγγαρία έχει την τρίτη μετά το Βέλγιο και την Ολλανδία πυκνότερη διέλευση οχημάτων στους αυτοκινητόδρομους. Έξι ευρωπαϊκές πρωτεύουσες βρίσκονται μόλις λίγες ώρες οδήγησης μακριά από την Βουδαπέστη</w:t>
      </w:r>
      <w:r w:rsidR="00A854B8" w:rsidRPr="00466073">
        <w:rPr>
          <w:rFonts w:asciiTheme="minorHAnsi" w:hAnsiTheme="minorHAnsi" w:cstheme="minorHAnsi"/>
          <w:lang w:val="el-GR"/>
        </w:rPr>
        <w:t>.</w:t>
      </w:r>
    </w:p>
    <w:p w:rsidR="0088113C" w:rsidRPr="00466073" w:rsidRDefault="0088113C" w:rsidP="00A707D5">
      <w:pPr>
        <w:jc w:val="both"/>
        <w:rPr>
          <w:rFonts w:asciiTheme="minorHAnsi" w:hAnsiTheme="minorHAnsi" w:cstheme="minorHAnsi"/>
          <w:lang w:val="el-GR"/>
        </w:rPr>
      </w:pPr>
    </w:p>
    <w:p w:rsidR="00A854B8" w:rsidRPr="00466073" w:rsidRDefault="00A854B8" w:rsidP="00A707D5">
      <w:pPr>
        <w:jc w:val="both"/>
        <w:rPr>
          <w:rFonts w:asciiTheme="minorHAnsi" w:hAnsiTheme="minorHAnsi" w:cstheme="minorHAnsi"/>
          <w:lang w:val="el-GR"/>
        </w:rPr>
      </w:pPr>
      <w:r w:rsidRPr="00466073">
        <w:rPr>
          <w:rFonts w:asciiTheme="minorHAnsi" w:hAnsiTheme="minorHAnsi" w:cstheme="minorHAnsi"/>
          <w:lang w:val="el-GR"/>
        </w:rPr>
        <w:t>Το εκτεταμένο σ</w:t>
      </w:r>
      <w:r w:rsidR="00D65D4B" w:rsidRPr="00466073">
        <w:rPr>
          <w:rFonts w:asciiTheme="minorHAnsi" w:hAnsiTheme="minorHAnsi" w:cstheme="minorHAnsi"/>
          <w:lang w:val="el-GR"/>
        </w:rPr>
        <w:t>ιδηροδρομικό δίκτυο</w:t>
      </w:r>
      <w:r w:rsidRPr="00466073">
        <w:rPr>
          <w:rFonts w:asciiTheme="minorHAnsi" w:hAnsiTheme="minorHAnsi" w:cstheme="minorHAnsi"/>
          <w:lang w:val="el-GR"/>
        </w:rPr>
        <w:t xml:space="preserve"> της χώρας, μήκους 7.718 </w:t>
      </w:r>
      <w:proofErr w:type="spellStart"/>
      <w:r w:rsidRPr="00466073">
        <w:rPr>
          <w:rFonts w:asciiTheme="minorHAnsi" w:hAnsiTheme="minorHAnsi" w:cstheme="minorHAnsi"/>
          <w:lang w:val="el-GR"/>
        </w:rPr>
        <w:t>χλμ</w:t>
      </w:r>
      <w:proofErr w:type="spellEnd"/>
      <w:r w:rsidRPr="00466073">
        <w:rPr>
          <w:rFonts w:asciiTheme="minorHAnsi" w:hAnsiTheme="minorHAnsi" w:cstheme="minorHAnsi"/>
          <w:lang w:val="el-GR"/>
        </w:rPr>
        <w:t>. (εκ των οποίων τα 1.180 είναι διπλές γραμμές), επιτρέπει την πρόσβαση στους κυριότερους σταθμούς και λιμένες της Ευρώπης. Πολλαπλές γραμμές συνδέουν την Ουγγαρία με την Δυτική Ευρώπη (π.χ. Αμβούργο, Ρότερνταμ, Μπρέμερχαφεν), την Αδριατική (</w:t>
      </w:r>
      <w:proofErr w:type="spellStart"/>
      <w:r w:rsidRPr="00466073">
        <w:rPr>
          <w:rFonts w:asciiTheme="minorHAnsi" w:hAnsiTheme="minorHAnsi" w:cstheme="minorHAnsi"/>
          <w:lang w:val="el-GR"/>
        </w:rPr>
        <w:t>Κόπε</w:t>
      </w:r>
      <w:r w:rsidR="00523F96" w:rsidRPr="00466073">
        <w:rPr>
          <w:rFonts w:asciiTheme="minorHAnsi" w:hAnsiTheme="minorHAnsi" w:cstheme="minorHAnsi"/>
          <w:lang w:val="el-GR"/>
        </w:rPr>
        <w:t>ρ</w:t>
      </w:r>
      <w:proofErr w:type="spellEnd"/>
      <w:r w:rsidRPr="00466073">
        <w:rPr>
          <w:rFonts w:asciiTheme="minorHAnsi" w:hAnsiTheme="minorHAnsi" w:cstheme="minorHAnsi"/>
          <w:lang w:val="el-GR"/>
        </w:rPr>
        <w:t xml:space="preserve">, Ριέκα, Τεργέστη) </w:t>
      </w:r>
      <w:r w:rsidR="00523F96" w:rsidRPr="00466073">
        <w:rPr>
          <w:rFonts w:asciiTheme="minorHAnsi" w:hAnsiTheme="minorHAnsi" w:cstheme="minorHAnsi"/>
          <w:lang w:val="el-GR"/>
        </w:rPr>
        <w:t>και τον Εύξεινο Πόντο (Κωστάντζα).</w:t>
      </w:r>
    </w:p>
    <w:p w:rsidR="00B71A0A" w:rsidRPr="00466073" w:rsidRDefault="00B71A0A" w:rsidP="00A707D5">
      <w:pPr>
        <w:jc w:val="both"/>
        <w:rPr>
          <w:rFonts w:asciiTheme="minorHAnsi" w:hAnsiTheme="minorHAnsi" w:cstheme="minorHAnsi"/>
          <w:lang w:val="el-GR"/>
        </w:rPr>
      </w:pPr>
    </w:p>
    <w:p w:rsidR="009525C2" w:rsidRPr="00466073" w:rsidRDefault="009525C2" w:rsidP="00A707D5">
      <w:pPr>
        <w:jc w:val="both"/>
        <w:rPr>
          <w:rFonts w:asciiTheme="minorHAnsi" w:hAnsiTheme="minorHAnsi" w:cstheme="minorHAnsi"/>
          <w:lang w:val="el-GR"/>
        </w:rPr>
      </w:pPr>
      <w:r w:rsidRPr="00466073">
        <w:rPr>
          <w:rFonts w:asciiTheme="minorHAnsi" w:hAnsiTheme="minorHAnsi" w:cstheme="minorHAnsi"/>
          <w:lang w:val="el-GR"/>
        </w:rPr>
        <w:t xml:space="preserve">Επίσης, </w:t>
      </w:r>
      <w:r w:rsidR="00854741" w:rsidRPr="00466073">
        <w:rPr>
          <w:rFonts w:asciiTheme="minorHAnsi" w:hAnsiTheme="minorHAnsi" w:cstheme="minorHAnsi"/>
          <w:lang w:val="el-GR"/>
        </w:rPr>
        <w:t xml:space="preserve">μέσω ποτάμιας ναυσιπλοΐας και αξιοποιώντας το σύστημα καναλιών Ρήνου-Μάιν-Δούναβη, </w:t>
      </w:r>
      <w:r w:rsidRPr="00466073">
        <w:rPr>
          <w:rFonts w:asciiTheme="minorHAnsi" w:hAnsiTheme="minorHAnsi" w:cstheme="minorHAnsi"/>
          <w:lang w:val="el-GR"/>
        </w:rPr>
        <w:t xml:space="preserve">υπάρχει δυνατότητα </w:t>
      </w:r>
      <w:r w:rsidR="00854741" w:rsidRPr="00466073">
        <w:rPr>
          <w:rFonts w:asciiTheme="minorHAnsi" w:hAnsiTheme="minorHAnsi" w:cstheme="minorHAnsi"/>
          <w:lang w:val="el-GR"/>
        </w:rPr>
        <w:t>διασύνδεσης της Βορείου</w:t>
      </w:r>
      <w:r w:rsidRPr="00466073">
        <w:rPr>
          <w:rFonts w:asciiTheme="minorHAnsi" w:hAnsiTheme="minorHAnsi" w:cstheme="minorHAnsi"/>
          <w:lang w:val="el-GR"/>
        </w:rPr>
        <w:t xml:space="preserve"> Θάλασσα</w:t>
      </w:r>
      <w:r w:rsidR="00854741" w:rsidRPr="00466073">
        <w:rPr>
          <w:rFonts w:asciiTheme="minorHAnsi" w:hAnsiTheme="minorHAnsi" w:cstheme="minorHAnsi"/>
          <w:lang w:val="el-GR"/>
        </w:rPr>
        <w:t>ς</w:t>
      </w:r>
      <w:r w:rsidRPr="00466073">
        <w:rPr>
          <w:rFonts w:asciiTheme="minorHAnsi" w:hAnsiTheme="minorHAnsi" w:cstheme="minorHAnsi"/>
          <w:lang w:val="el-GR"/>
        </w:rPr>
        <w:t xml:space="preserve"> </w:t>
      </w:r>
      <w:r w:rsidR="00854741" w:rsidRPr="00466073">
        <w:rPr>
          <w:rFonts w:asciiTheme="minorHAnsi" w:hAnsiTheme="minorHAnsi" w:cstheme="minorHAnsi"/>
          <w:lang w:val="el-GR"/>
        </w:rPr>
        <w:t>και των βιομηχανικών κέντρων της Δυτικής Ευρώπης με τον Εύξεινο Πόντο.</w:t>
      </w:r>
    </w:p>
    <w:p w:rsidR="00D65D4B" w:rsidRPr="00466073" w:rsidRDefault="00D65D4B" w:rsidP="00D65D4B">
      <w:pPr>
        <w:widowControl w:val="0"/>
        <w:autoSpaceDE w:val="0"/>
        <w:autoSpaceDN w:val="0"/>
        <w:adjustRightInd w:val="0"/>
        <w:rPr>
          <w:rFonts w:asciiTheme="minorHAnsi" w:hAnsiTheme="minorHAnsi" w:cstheme="minorHAnsi"/>
          <w:lang w:val="el-GR"/>
        </w:rPr>
      </w:pPr>
    </w:p>
    <w:p w:rsidR="00854741" w:rsidRPr="00466073" w:rsidRDefault="00854741" w:rsidP="00854741">
      <w:pPr>
        <w:jc w:val="both"/>
        <w:rPr>
          <w:rFonts w:asciiTheme="minorHAnsi" w:hAnsiTheme="minorHAnsi" w:cstheme="minorHAnsi"/>
          <w:lang w:val="el-GR"/>
        </w:rPr>
      </w:pPr>
      <w:r w:rsidRPr="00466073">
        <w:rPr>
          <w:rFonts w:asciiTheme="minorHAnsi" w:hAnsiTheme="minorHAnsi" w:cstheme="minorHAnsi"/>
          <w:lang w:val="el-GR"/>
        </w:rPr>
        <w:t>Το διεθνές αεροδρόμιο της Βουδαπέστης «</w:t>
      </w:r>
      <w:proofErr w:type="spellStart"/>
      <w:r w:rsidR="00D65D4B" w:rsidRPr="00466073">
        <w:rPr>
          <w:rFonts w:asciiTheme="minorHAnsi" w:hAnsiTheme="minorHAnsi" w:cstheme="minorHAnsi"/>
          <w:lang w:val="el-GR"/>
        </w:rPr>
        <w:t>Liszt</w:t>
      </w:r>
      <w:proofErr w:type="spellEnd"/>
      <w:r w:rsidR="00D65D4B" w:rsidRPr="00466073">
        <w:rPr>
          <w:rFonts w:asciiTheme="minorHAnsi" w:hAnsiTheme="minorHAnsi" w:cstheme="minorHAnsi"/>
          <w:lang w:val="el-GR"/>
        </w:rPr>
        <w:t xml:space="preserve"> </w:t>
      </w:r>
      <w:proofErr w:type="spellStart"/>
      <w:r w:rsidR="00D65D4B" w:rsidRPr="00466073">
        <w:rPr>
          <w:rFonts w:asciiTheme="minorHAnsi" w:hAnsiTheme="minorHAnsi" w:cstheme="minorHAnsi"/>
          <w:lang w:val="el-GR"/>
        </w:rPr>
        <w:t>Ferenc</w:t>
      </w:r>
      <w:proofErr w:type="spellEnd"/>
      <w:r w:rsidRPr="00466073">
        <w:rPr>
          <w:rFonts w:asciiTheme="minorHAnsi" w:hAnsiTheme="minorHAnsi" w:cstheme="minorHAnsi"/>
          <w:lang w:val="el-GR"/>
        </w:rPr>
        <w:t>», εμφανίζει ανοδικές τάσεις στον αριθμό</w:t>
      </w:r>
      <w:r w:rsidR="003C4280" w:rsidRPr="00466073">
        <w:rPr>
          <w:rFonts w:asciiTheme="minorHAnsi" w:hAnsiTheme="minorHAnsi" w:cstheme="minorHAnsi"/>
          <w:lang w:val="el-GR"/>
        </w:rPr>
        <w:t xml:space="preserve"> επιβατών τα τελευταία χρόνια</w:t>
      </w:r>
      <w:r w:rsidR="00D718F5" w:rsidRPr="00466073">
        <w:rPr>
          <w:rFonts w:asciiTheme="minorHAnsi" w:hAnsiTheme="minorHAnsi" w:cstheme="minorHAnsi"/>
          <w:lang w:val="el-GR"/>
        </w:rPr>
        <w:t xml:space="preserve">. Συνολικά, διακινούνται </w:t>
      </w:r>
      <w:r w:rsidR="003C4280" w:rsidRPr="00466073">
        <w:rPr>
          <w:rFonts w:asciiTheme="minorHAnsi" w:hAnsiTheme="minorHAnsi" w:cstheme="minorHAnsi"/>
          <w:lang w:val="el-GR"/>
        </w:rPr>
        <w:t xml:space="preserve">ετησίως </w:t>
      </w:r>
      <w:r w:rsidR="00D718F5" w:rsidRPr="00466073">
        <w:rPr>
          <w:rFonts w:asciiTheme="minorHAnsi" w:hAnsiTheme="minorHAnsi" w:cstheme="minorHAnsi"/>
          <w:lang w:val="el-GR"/>
        </w:rPr>
        <w:t>περ</w:t>
      </w:r>
      <w:r w:rsidR="00CA45E7" w:rsidRPr="00466073">
        <w:rPr>
          <w:rFonts w:asciiTheme="minorHAnsi" w:hAnsiTheme="minorHAnsi" w:cstheme="minorHAnsi"/>
          <w:lang w:val="el-GR"/>
        </w:rPr>
        <w:t xml:space="preserve">ισσότεροι από 10 εκ. επιβάτες, </w:t>
      </w:r>
      <w:r w:rsidR="00B71A0A" w:rsidRPr="00466073">
        <w:rPr>
          <w:rFonts w:asciiTheme="minorHAnsi" w:hAnsiTheme="minorHAnsi" w:cstheme="minorHAnsi"/>
          <w:lang w:val="el-GR"/>
        </w:rPr>
        <w:t xml:space="preserve">κυρίως </w:t>
      </w:r>
      <w:r w:rsidR="00CA45E7" w:rsidRPr="00466073">
        <w:rPr>
          <w:rFonts w:asciiTheme="minorHAnsi" w:hAnsiTheme="minorHAnsi" w:cstheme="minorHAnsi"/>
          <w:lang w:val="el-GR"/>
        </w:rPr>
        <w:t>προερχόμενοι από το Ην.</w:t>
      </w:r>
      <w:r w:rsidR="00B71A0A" w:rsidRPr="00466073">
        <w:rPr>
          <w:rFonts w:asciiTheme="minorHAnsi" w:hAnsiTheme="minorHAnsi" w:cstheme="minorHAnsi"/>
          <w:lang w:val="el-GR"/>
        </w:rPr>
        <w:t xml:space="preserve"> Βασίλειο, την Γερμανία, και την Ιταλία</w:t>
      </w:r>
      <w:r w:rsidR="00CA45E7" w:rsidRPr="00466073">
        <w:rPr>
          <w:rFonts w:asciiTheme="minorHAnsi" w:hAnsiTheme="minorHAnsi" w:cstheme="minorHAnsi"/>
          <w:lang w:val="el-GR"/>
        </w:rPr>
        <w:t xml:space="preserve">. </w:t>
      </w:r>
    </w:p>
    <w:p w:rsidR="00CA45E7" w:rsidRPr="00466073" w:rsidRDefault="00CA45E7" w:rsidP="00A17872">
      <w:pPr>
        <w:widowControl w:val="0"/>
        <w:autoSpaceDE w:val="0"/>
        <w:autoSpaceDN w:val="0"/>
        <w:adjustRightInd w:val="0"/>
        <w:rPr>
          <w:rFonts w:asciiTheme="minorHAnsi" w:hAnsiTheme="minorHAnsi" w:cstheme="minorHAnsi"/>
          <w:lang w:val="el-GR"/>
        </w:rPr>
      </w:pPr>
      <w:r w:rsidRPr="00466073">
        <w:rPr>
          <w:rFonts w:asciiTheme="minorHAnsi" w:hAnsiTheme="minorHAnsi" w:cstheme="minorHAnsi"/>
          <w:lang w:val="el-GR"/>
        </w:rPr>
        <w:t xml:space="preserve">Το μεγαλύτερο ποσοστό </w:t>
      </w:r>
      <w:r w:rsidR="00B71A0A" w:rsidRPr="00466073">
        <w:rPr>
          <w:rFonts w:asciiTheme="minorHAnsi" w:hAnsiTheme="minorHAnsi" w:cstheme="minorHAnsi"/>
          <w:lang w:val="el-GR"/>
        </w:rPr>
        <w:t xml:space="preserve">μετακίνησης επιβατών </w:t>
      </w:r>
      <w:r w:rsidRPr="00466073">
        <w:rPr>
          <w:rFonts w:asciiTheme="minorHAnsi" w:hAnsiTheme="minorHAnsi" w:cstheme="minorHAnsi"/>
          <w:lang w:val="el-GR"/>
        </w:rPr>
        <w:t>καταγρ</w:t>
      </w:r>
      <w:r w:rsidR="009446BD" w:rsidRPr="00466073">
        <w:rPr>
          <w:rFonts w:asciiTheme="minorHAnsi" w:hAnsiTheme="minorHAnsi" w:cstheme="minorHAnsi"/>
          <w:lang w:val="el-GR"/>
        </w:rPr>
        <w:t>άφεται στις οδικές μεταφορές (54</w:t>
      </w:r>
      <w:r w:rsidRPr="00466073">
        <w:rPr>
          <w:rFonts w:asciiTheme="minorHAnsi" w:hAnsiTheme="minorHAnsi" w:cstheme="minorHAnsi"/>
          <w:lang w:val="el-GR"/>
        </w:rPr>
        <w:t xml:space="preserve">%) και </w:t>
      </w:r>
      <w:r w:rsidR="009446BD" w:rsidRPr="00466073">
        <w:rPr>
          <w:rFonts w:asciiTheme="minorHAnsi" w:hAnsiTheme="minorHAnsi" w:cstheme="minorHAnsi"/>
          <w:lang w:val="el-GR"/>
        </w:rPr>
        <w:t>ακολουθούν οι σιδηροδρομικές (28</w:t>
      </w:r>
      <w:r w:rsidRPr="00466073">
        <w:rPr>
          <w:rFonts w:asciiTheme="minorHAnsi" w:hAnsiTheme="minorHAnsi" w:cstheme="minorHAnsi"/>
          <w:lang w:val="el-GR"/>
        </w:rPr>
        <w:t>%) και οι αεροπορικέ</w:t>
      </w:r>
      <w:r w:rsidR="00B71A0A" w:rsidRPr="00466073">
        <w:rPr>
          <w:rFonts w:asciiTheme="minorHAnsi" w:hAnsiTheme="minorHAnsi" w:cstheme="minorHAnsi"/>
          <w:lang w:val="el-GR"/>
        </w:rPr>
        <w:t>ς (18</w:t>
      </w:r>
      <w:r w:rsidRPr="00466073">
        <w:rPr>
          <w:rFonts w:asciiTheme="minorHAnsi" w:hAnsiTheme="minorHAnsi" w:cstheme="minorHAnsi"/>
          <w:lang w:val="el-GR"/>
        </w:rPr>
        <w:t>%).</w:t>
      </w:r>
    </w:p>
    <w:p w:rsidR="00CA45E7" w:rsidRPr="00466073" w:rsidRDefault="00CA45E7" w:rsidP="00CA45E7">
      <w:pPr>
        <w:jc w:val="both"/>
        <w:rPr>
          <w:rFonts w:asciiTheme="minorHAnsi" w:hAnsiTheme="minorHAnsi" w:cstheme="minorHAnsi"/>
          <w:lang w:val="el-GR"/>
        </w:rPr>
      </w:pPr>
    </w:p>
    <w:p w:rsidR="00CA45E7" w:rsidRPr="00466073" w:rsidRDefault="00CA45E7" w:rsidP="00CA45E7">
      <w:pPr>
        <w:jc w:val="both"/>
        <w:rPr>
          <w:rFonts w:asciiTheme="minorHAnsi" w:hAnsiTheme="minorHAnsi" w:cstheme="minorHAnsi"/>
          <w:lang w:val="el-GR"/>
        </w:rPr>
      </w:pPr>
      <w:r w:rsidRPr="00466073">
        <w:rPr>
          <w:rFonts w:asciiTheme="minorHAnsi" w:hAnsiTheme="minorHAnsi" w:cstheme="minorHAnsi"/>
          <w:lang w:val="el-GR"/>
        </w:rPr>
        <w:t xml:space="preserve">Ο κλάδος </w:t>
      </w:r>
      <w:r w:rsidR="00E83971" w:rsidRPr="00466073">
        <w:rPr>
          <w:rFonts w:asciiTheme="minorHAnsi" w:hAnsiTheme="minorHAnsi" w:cstheme="minorHAnsi"/>
          <w:lang w:val="el-GR"/>
        </w:rPr>
        <w:t>Εφοδιασμού &amp;</w:t>
      </w:r>
      <w:r w:rsidRPr="00466073">
        <w:rPr>
          <w:rFonts w:asciiTheme="minorHAnsi" w:hAnsiTheme="minorHAnsi" w:cstheme="minorHAnsi"/>
          <w:lang w:val="el-GR"/>
        </w:rPr>
        <w:t xml:space="preserve"> </w:t>
      </w:r>
      <w:r w:rsidR="00E83971" w:rsidRPr="00466073">
        <w:rPr>
          <w:rFonts w:asciiTheme="minorHAnsi" w:hAnsiTheme="minorHAnsi" w:cstheme="minorHAnsi"/>
          <w:lang w:val="el-GR"/>
        </w:rPr>
        <w:t>Μ</w:t>
      </w:r>
      <w:r w:rsidRPr="00466073">
        <w:rPr>
          <w:rFonts w:asciiTheme="minorHAnsi" w:hAnsiTheme="minorHAnsi" w:cstheme="minorHAnsi"/>
          <w:lang w:val="el-GR"/>
        </w:rPr>
        <w:t>εταφορών (</w:t>
      </w:r>
      <w:r w:rsidRPr="00466073">
        <w:rPr>
          <w:rFonts w:asciiTheme="minorHAnsi" w:hAnsiTheme="minorHAnsi" w:cstheme="minorHAnsi"/>
          <w:lang w:val="hu-HU"/>
        </w:rPr>
        <w:t>logistics</w:t>
      </w:r>
      <w:r w:rsidR="009446BD" w:rsidRPr="00466073">
        <w:rPr>
          <w:rFonts w:asciiTheme="minorHAnsi" w:hAnsiTheme="minorHAnsi" w:cstheme="minorHAnsi"/>
          <w:lang w:val="el-GR"/>
        </w:rPr>
        <w:t>) συνεισφέρει το 5,4</w:t>
      </w:r>
      <w:r w:rsidR="00E83971" w:rsidRPr="00466073">
        <w:rPr>
          <w:rFonts w:asciiTheme="minorHAnsi" w:hAnsiTheme="minorHAnsi" w:cstheme="minorHAnsi"/>
          <w:lang w:val="el-GR"/>
        </w:rPr>
        <w:t>% στο ΑΕΠ της Ουγγαρίας</w:t>
      </w:r>
      <w:r w:rsidR="009446BD" w:rsidRPr="00466073">
        <w:rPr>
          <w:rFonts w:asciiTheme="minorHAnsi" w:hAnsiTheme="minorHAnsi" w:cstheme="minorHAnsi"/>
          <w:lang w:val="el-GR"/>
        </w:rPr>
        <w:t xml:space="preserve"> (2021), απασχολώντας περίπου 285</w:t>
      </w:r>
      <w:r w:rsidR="00E83971" w:rsidRPr="00466073">
        <w:rPr>
          <w:rFonts w:asciiTheme="minorHAnsi" w:hAnsiTheme="minorHAnsi" w:cstheme="minorHAnsi"/>
          <w:lang w:val="el-GR"/>
        </w:rPr>
        <w:t xml:space="preserve"> χιλ. υπαλλήλους. Σύμφωνα με δημοσιευμένα στοιχεία του Οργανισμού Προσέλκυσης Επενδύσεων της Ουγγαρίας, η Βουδαπέστη ανακηρύχθηκε το 2015 ως η πιο ανταγωνιστική πόλη του κλάδου μεταξύ των χωρών της Κεντρικής και Ανατολικής Ευρώπης, και Κεντρικής Ασίας (στην δεύτερη θέση εμφανίζεται η Αγ. Πετρούπολη και ακολουθούν, Μόσχα, Κωνσταντινούπολη και Πράγα). </w:t>
      </w:r>
    </w:p>
    <w:p w:rsidR="00695D9D" w:rsidRPr="00466073" w:rsidRDefault="00695D9D" w:rsidP="00CA45E7">
      <w:pPr>
        <w:jc w:val="both"/>
        <w:rPr>
          <w:rFonts w:asciiTheme="minorHAnsi" w:hAnsiTheme="minorHAnsi" w:cstheme="minorHAnsi"/>
          <w:lang w:val="el-GR"/>
        </w:rPr>
      </w:pPr>
    </w:p>
    <w:p w:rsidR="005D7399" w:rsidRPr="00466073" w:rsidRDefault="005D7399" w:rsidP="0068698A">
      <w:pPr>
        <w:jc w:val="both"/>
        <w:rPr>
          <w:rFonts w:asciiTheme="minorHAnsi" w:hAnsiTheme="minorHAnsi" w:cstheme="minorHAnsi"/>
          <w:b/>
          <w:u w:val="single"/>
          <w:lang w:val="el-GR"/>
        </w:rPr>
      </w:pPr>
      <w:r w:rsidRPr="00466073">
        <w:rPr>
          <w:rFonts w:asciiTheme="minorHAnsi" w:hAnsiTheme="minorHAnsi" w:cstheme="minorHAnsi"/>
          <w:b/>
          <w:u w:val="single"/>
          <w:lang w:val="el-GR"/>
        </w:rPr>
        <w:t>Επικοινωνίες</w:t>
      </w:r>
    </w:p>
    <w:p w:rsidR="00003FDA" w:rsidRPr="00466073" w:rsidRDefault="00810267" w:rsidP="00003FDA">
      <w:pPr>
        <w:jc w:val="both"/>
        <w:rPr>
          <w:rFonts w:asciiTheme="minorHAnsi" w:hAnsiTheme="minorHAnsi" w:cstheme="minorHAnsi"/>
          <w:lang w:val="el-GR"/>
        </w:rPr>
      </w:pPr>
      <w:r w:rsidRPr="00466073">
        <w:rPr>
          <w:rFonts w:asciiTheme="minorHAnsi" w:hAnsiTheme="minorHAnsi" w:cstheme="minorHAnsi"/>
          <w:lang w:val="el-GR"/>
        </w:rPr>
        <w:t>Η Ουγγαρία υλοποίησε</w:t>
      </w:r>
      <w:r w:rsidR="0068698A" w:rsidRPr="00466073">
        <w:rPr>
          <w:rFonts w:asciiTheme="minorHAnsi" w:hAnsiTheme="minorHAnsi" w:cstheme="minorHAnsi"/>
          <w:lang w:val="el-GR"/>
        </w:rPr>
        <w:t xml:space="preserve"> για την περίοδο 2014-2020, </w:t>
      </w:r>
      <w:r w:rsidRPr="00466073">
        <w:rPr>
          <w:rFonts w:asciiTheme="minorHAnsi" w:hAnsiTheme="minorHAnsi" w:cstheme="minorHAnsi"/>
          <w:lang w:val="el-GR"/>
        </w:rPr>
        <w:t xml:space="preserve">το </w:t>
      </w:r>
      <w:r w:rsidR="0068698A" w:rsidRPr="00466073">
        <w:rPr>
          <w:rFonts w:asciiTheme="minorHAnsi" w:hAnsiTheme="minorHAnsi" w:cstheme="minorHAnsi"/>
          <w:lang w:val="el-GR"/>
        </w:rPr>
        <w:t>στρατηγικό αναπτυξιακό σχέδιο (</w:t>
      </w:r>
      <w:proofErr w:type="spellStart"/>
      <w:r w:rsidR="0068698A" w:rsidRPr="00466073">
        <w:rPr>
          <w:rFonts w:asciiTheme="minorHAnsi" w:hAnsiTheme="minorHAnsi" w:cstheme="minorHAnsi"/>
          <w:lang w:val="el-GR"/>
        </w:rPr>
        <w:t>National</w:t>
      </w:r>
      <w:proofErr w:type="spellEnd"/>
      <w:r w:rsidR="0068698A" w:rsidRPr="00466073">
        <w:rPr>
          <w:rFonts w:asciiTheme="minorHAnsi" w:hAnsiTheme="minorHAnsi" w:cstheme="minorHAnsi"/>
          <w:lang w:val="el-GR"/>
        </w:rPr>
        <w:t xml:space="preserve"> </w:t>
      </w:r>
      <w:proofErr w:type="spellStart"/>
      <w:r w:rsidR="0068698A" w:rsidRPr="00466073">
        <w:rPr>
          <w:rFonts w:asciiTheme="minorHAnsi" w:hAnsiTheme="minorHAnsi" w:cstheme="minorHAnsi"/>
          <w:lang w:val="el-GR"/>
        </w:rPr>
        <w:t>Info</w:t>
      </w:r>
      <w:proofErr w:type="spellEnd"/>
      <w:r w:rsidR="0068698A" w:rsidRPr="00466073">
        <w:rPr>
          <w:rFonts w:asciiTheme="minorHAnsi" w:hAnsiTheme="minorHAnsi" w:cstheme="minorHAnsi"/>
          <w:lang w:val="el-GR"/>
        </w:rPr>
        <w:t>-</w:t>
      </w:r>
      <w:proofErr w:type="spellStart"/>
      <w:r w:rsidR="0068698A" w:rsidRPr="00466073">
        <w:rPr>
          <w:rFonts w:asciiTheme="minorHAnsi" w:hAnsiTheme="minorHAnsi" w:cstheme="minorHAnsi"/>
          <w:lang w:val="el-GR"/>
        </w:rPr>
        <w:t>communications</w:t>
      </w:r>
      <w:proofErr w:type="spellEnd"/>
      <w:r w:rsidR="0068698A" w:rsidRPr="00466073">
        <w:rPr>
          <w:rFonts w:asciiTheme="minorHAnsi" w:hAnsiTheme="minorHAnsi" w:cstheme="minorHAnsi"/>
          <w:lang w:val="el-GR"/>
        </w:rPr>
        <w:t xml:space="preserve"> </w:t>
      </w:r>
      <w:proofErr w:type="spellStart"/>
      <w:r w:rsidR="0068698A" w:rsidRPr="00466073">
        <w:rPr>
          <w:rFonts w:asciiTheme="minorHAnsi" w:hAnsiTheme="minorHAnsi" w:cstheme="minorHAnsi"/>
          <w:lang w:val="el-GR"/>
        </w:rPr>
        <w:t>Strategy</w:t>
      </w:r>
      <w:proofErr w:type="spellEnd"/>
      <w:r w:rsidR="0068698A" w:rsidRPr="00466073">
        <w:rPr>
          <w:rFonts w:asciiTheme="minorHAnsi" w:hAnsiTheme="minorHAnsi" w:cstheme="minorHAnsi"/>
          <w:lang w:val="el-GR"/>
        </w:rPr>
        <w:t>) για τις εγχώριες τηλεπικοινωνίες και υπηρεσίες πληροφορικής</w:t>
      </w:r>
      <w:r w:rsidRPr="00466073">
        <w:rPr>
          <w:rFonts w:asciiTheme="minorHAnsi" w:hAnsiTheme="minorHAnsi" w:cstheme="minorHAnsi"/>
          <w:lang w:val="el-GR"/>
        </w:rPr>
        <w:t>. Τ</w:t>
      </w:r>
      <w:r w:rsidR="0068698A" w:rsidRPr="00466073">
        <w:rPr>
          <w:rFonts w:asciiTheme="minorHAnsi" w:hAnsiTheme="minorHAnsi" w:cstheme="minorHAnsi"/>
          <w:lang w:val="el-GR"/>
        </w:rPr>
        <w:t xml:space="preserve">ο </w:t>
      </w:r>
      <w:r w:rsidRPr="00466073">
        <w:rPr>
          <w:rFonts w:asciiTheme="minorHAnsi" w:hAnsiTheme="minorHAnsi" w:cstheme="minorHAnsi"/>
          <w:lang w:val="el-GR"/>
        </w:rPr>
        <w:t xml:space="preserve">Σχέδιο </w:t>
      </w:r>
      <w:proofErr w:type="spellStart"/>
      <w:r w:rsidRPr="00466073">
        <w:rPr>
          <w:rFonts w:asciiTheme="minorHAnsi" w:hAnsiTheme="minorHAnsi" w:cstheme="minorHAnsi"/>
          <w:lang w:val="el-GR"/>
        </w:rPr>
        <w:t>ήαν</w:t>
      </w:r>
      <w:proofErr w:type="spellEnd"/>
      <w:r w:rsidRPr="00466073">
        <w:rPr>
          <w:rFonts w:asciiTheme="minorHAnsi" w:hAnsiTheme="minorHAnsi" w:cstheme="minorHAnsi"/>
          <w:lang w:val="el-GR"/>
        </w:rPr>
        <w:t xml:space="preserve"> </w:t>
      </w:r>
      <w:r w:rsidR="0068698A" w:rsidRPr="00466073">
        <w:rPr>
          <w:rFonts w:asciiTheme="minorHAnsi" w:hAnsiTheme="minorHAnsi" w:cstheme="minorHAnsi"/>
          <w:lang w:val="el-GR"/>
        </w:rPr>
        <w:t xml:space="preserve">εναρμονισμένο με κοινοτικές οδηγίες και την προοπτική της Ε.Ε. για την Ενιαία Ψηφιακή Αγορά. Το πλαίσιο του στρατηγικού σχεδίου δράσης καθορίζεται από το Εθνικό Ψηφιακό Αναπτυξιακό Πρόγραμμα </w:t>
      </w:r>
      <w:r w:rsidR="005D7399" w:rsidRPr="00466073">
        <w:rPr>
          <w:rFonts w:asciiTheme="minorHAnsi" w:hAnsiTheme="minorHAnsi" w:cstheme="minorHAnsi"/>
          <w:lang w:val="el-GR"/>
        </w:rPr>
        <w:t>(DNDP).</w:t>
      </w:r>
      <w:r w:rsidR="00003FDA" w:rsidRPr="00466073">
        <w:rPr>
          <w:rFonts w:asciiTheme="minorHAnsi" w:hAnsiTheme="minorHAnsi" w:cstheme="minorHAnsi"/>
          <w:lang w:val="el-GR"/>
        </w:rPr>
        <w:t xml:space="preserve"> Το σύστημα</w:t>
      </w:r>
      <w:r w:rsidR="00003FDA" w:rsidRPr="00466073">
        <w:rPr>
          <w:rFonts w:asciiTheme="minorHAnsi" w:hAnsiTheme="minorHAnsi" w:cstheme="minorHAnsi"/>
          <w:lang w:val="hu-HU"/>
        </w:rPr>
        <w:t xml:space="preserve"> </w:t>
      </w:r>
      <w:r w:rsidR="00003FDA" w:rsidRPr="00466073">
        <w:rPr>
          <w:rFonts w:asciiTheme="minorHAnsi" w:hAnsiTheme="minorHAnsi" w:cstheme="minorHAnsi"/>
          <w:lang w:val="el-GR"/>
        </w:rPr>
        <w:t>συχνοτήτων GSM παρέχει 100% τηλεπικοινωνιακή  κάλυψη στην Ουγγαρία, ενώ το 4</w:t>
      </w:r>
      <w:r w:rsidR="00003FDA" w:rsidRPr="00466073">
        <w:rPr>
          <w:rFonts w:asciiTheme="minorHAnsi" w:hAnsiTheme="minorHAnsi" w:cstheme="minorHAnsi"/>
          <w:lang w:val="hu-HU"/>
        </w:rPr>
        <w:t>G</w:t>
      </w:r>
      <w:r w:rsidR="00003FDA" w:rsidRPr="00466073">
        <w:rPr>
          <w:rFonts w:asciiTheme="minorHAnsi" w:hAnsiTheme="minorHAnsi" w:cstheme="minorHAnsi"/>
          <w:lang w:val="el-GR"/>
        </w:rPr>
        <w:t xml:space="preserve"> είναι ευρέως διαδεδομένο. Ο κλάδος των τηλεπικοινωνιών είναι πλήρως απελευθερωμένος με πολλές εταιρείες να δραστηριοποιούνται στην παροχή υπηρεσιών διαδικτύου και κινητής τηλεφωνίας.  </w:t>
      </w:r>
    </w:p>
    <w:p w:rsidR="005F6720" w:rsidRPr="00466073" w:rsidRDefault="0068698A" w:rsidP="0068698A">
      <w:pPr>
        <w:jc w:val="both"/>
        <w:rPr>
          <w:rFonts w:asciiTheme="minorHAnsi" w:hAnsiTheme="minorHAnsi" w:cstheme="minorHAnsi"/>
          <w:lang w:val="el-GR"/>
        </w:rPr>
      </w:pPr>
      <w:r w:rsidRPr="00466073">
        <w:rPr>
          <w:rFonts w:asciiTheme="minorHAnsi" w:hAnsiTheme="minorHAnsi" w:cstheme="minorHAnsi"/>
          <w:lang w:val="el-GR"/>
        </w:rPr>
        <w:t>Επί σειρά ετών η Ουγγαρία πρωταγωνιστ</w:t>
      </w:r>
      <w:r w:rsidR="004B566D" w:rsidRPr="00466073">
        <w:rPr>
          <w:rFonts w:asciiTheme="minorHAnsi" w:hAnsiTheme="minorHAnsi" w:cstheme="minorHAnsi"/>
          <w:lang w:val="el-GR"/>
        </w:rPr>
        <w:t>εί σ</w:t>
      </w:r>
      <w:r w:rsidRPr="00466073">
        <w:rPr>
          <w:rFonts w:asciiTheme="minorHAnsi" w:hAnsiTheme="minorHAnsi" w:cstheme="minorHAnsi"/>
          <w:lang w:val="el-GR"/>
        </w:rPr>
        <w:t>τις κατά κεφαλήν δαπάνες για Τεχνολογίες Πληροφορικής</w:t>
      </w:r>
      <w:r w:rsidR="00C2596E" w:rsidRPr="00466073">
        <w:rPr>
          <w:rFonts w:asciiTheme="minorHAnsi" w:hAnsiTheme="minorHAnsi" w:cstheme="minorHAnsi"/>
          <w:lang w:val="el-GR"/>
        </w:rPr>
        <w:t xml:space="preserve"> &amp; Επικοινωνιών</w:t>
      </w:r>
      <w:r w:rsidRPr="00466073">
        <w:rPr>
          <w:rFonts w:asciiTheme="minorHAnsi" w:hAnsiTheme="minorHAnsi" w:cstheme="minorHAnsi"/>
          <w:lang w:val="el-GR"/>
        </w:rPr>
        <w:t xml:space="preserve"> </w:t>
      </w:r>
      <w:r w:rsidR="00C2596E" w:rsidRPr="00466073">
        <w:rPr>
          <w:rFonts w:asciiTheme="minorHAnsi" w:hAnsiTheme="minorHAnsi" w:cstheme="minorHAnsi"/>
          <w:lang w:val="el-GR"/>
        </w:rPr>
        <w:t xml:space="preserve">(ICT) </w:t>
      </w:r>
      <w:r w:rsidRPr="00466073">
        <w:rPr>
          <w:rFonts w:asciiTheme="minorHAnsi" w:hAnsiTheme="minorHAnsi" w:cstheme="minorHAnsi"/>
          <w:lang w:val="el-GR"/>
        </w:rPr>
        <w:t>μεταξύ των κρατών της Κεντρικής και Ανατολικής Ευρώπης</w:t>
      </w:r>
      <w:r w:rsidR="004B566D" w:rsidRPr="00466073">
        <w:rPr>
          <w:rFonts w:asciiTheme="minorHAnsi" w:hAnsiTheme="minorHAnsi" w:cstheme="minorHAnsi"/>
          <w:lang w:val="el-GR"/>
        </w:rPr>
        <w:t>.</w:t>
      </w:r>
      <w:r w:rsidRPr="00466073">
        <w:rPr>
          <w:rFonts w:asciiTheme="minorHAnsi" w:hAnsiTheme="minorHAnsi" w:cstheme="minorHAnsi"/>
          <w:lang w:val="el-GR"/>
        </w:rPr>
        <w:t xml:space="preserve"> </w:t>
      </w:r>
      <w:r w:rsidR="00C2596E" w:rsidRPr="00466073">
        <w:rPr>
          <w:rFonts w:asciiTheme="minorHAnsi" w:hAnsiTheme="minorHAnsi" w:cstheme="minorHAnsi"/>
          <w:lang w:val="el-GR"/>
        </w:rPr>
        <w:t xml:space="preserve">Η ουγγρική αγορά τεχνολογιών πληροφορικής αποτελεί το 8,3% του συνόλου των αγορών των χωρών της Κεντρικής και Ανατολικής Ευρώπης και κατέχει την τέταρτη θέση από άποψη μεγέθους στην Κεντρική Ευρώπη. </w:t>
      </w:r>
      <w:r w:rsidR="0000207A" w:rsidRPr="00466073">
        <w:rPr>
          <w:rFonts w:asciiTheme="minorHAnsi" w:hAnsiTheme="minorHAnsi" w:cstheme="minorHAnsi"/>
          <w:lang w:val="el-GR"/>
        </w:rPr>
        <w:t>Μεταξύ των ετών 2009-2014 και παρά την παγκόσμια οικονομική κρίση, ο τομέα</w:t>
      </w:r>
      <w:r w:rsidR="005E493E" w:rsidRPr="00466073">
        <w:rPr>
          <w:rFonts w:asciiTheme="minorHAnsi" w:hAnsiTheme="minorHAnsi" w:cstheme="minorHAnsi"/>
          <w:lang w:val="el-GR"/>
        </w:rPr>
        <w:t>ς</w:t>
      </w:r>
      <w:r w:rsidR="0000207A" w:rsidRPr="00466073">
        <w:rPr>
          <w:rFonts w:asciiTheme="minorHAnsi" w:hAnsiTheme="minorHAnsi" w:cstheme="minorHAnsi"/>
          <w:lang w:val="el-GR"/>
        </w:rPr>
        <w:t xml:space="preserve"> πληροφορικής στην Ουγγαρία αυξήθηκε κατά 24% ξεπερνώντας τα €2,2 </w:t>
      </w:r>
      <w:proofErr w:type="spellStart"/>
      <w:r w:rsidR="0000207A" w:rsidRPr="00466073">
        <w:rPr>
          <w:rFonts w:asciiTheme="minorHAnsi" w:hAnsiTheme="minorHAnsi" w:cstheme="minorHAnsi"/>
          <w:lang w:val="el-GR"/>
        </w:rPr>
        <w:t>δισ</w:t>
      </w:r>
      <w:r w:rsidR="00FD56E0" w:rsidRPr="00466073">
        <w:rPr>
          <w:rFonts w:asciiTheme="minorHAnsi" w:hAnsiTheme="minorHAnsi" w:cstheme="minorHAnsi"/>
          <w:lang w:val="el-GR"/>
        </w:rPr>
        <w:t>εκ</w:t>
      </w:r>
      <w:proofErr w:type="spellEnd"/>
      <w:r w:rsidR="0000207A" w:rsidRPr="00466073">
        <w:rPr>
          <w:rFonts w:asciiTheme="minorHAnsi" w:hAnsiTheme="minorHAnsi" w:cstheme="minorHAnsi"/>
          <w:lang w:val="el-GR"/>
        </w:rPr>
        <w:t xml:space="preserve">., εκ των οποίων ποσοστό 51,7% αφορούσε σε υλικοτεχνικό εξοπλισμό, 21,4% σε λογισμικό και το υπόλοιπο 26,9 σε σχετιζόμενες υπηρεσίες. </w:t>
      </w:r>
      <w:r w:rsidR="004B566D" w:rsidRPr="00466073">
        <w:rPr>
          <w:rFonts w:asciiTheme="minorHAnsi" w:hAnsiTheme="minorHAnsi" w:cstheme="minorHAnsi"/>
          <w:lang w:val="el-GR"/>
        </w:rPr>
        <w:t>Σήμερα, ο τομέας συνεισφέρει περίπου 12% στο ΑΕΠ της Ουγγαρίας, με το 80-90% των εταιρειών του να είναι μικρομεσαίου μεγέθους.</w:t>
      </w:r>
    </w:p>
    <w:p w:rsidR="001B1890" w:rsidRPr="00466073" w:rsidRDefault="004B566D" w:rsidP="0068698A">
      <w:pPr>
        <w:jc w:val="both"/>
        <w:rPr>
          <w:rFonts w:asciiTheme="minorHAnsi" w:hAnsiTheme="minorHAnsi" w:cstheme="minorHAnsi"/>
          <w:lang w:val="el-GR"/>
        </w:rPr>
      </w:pPr>
      <w:r w:rsidRPr="00466073">
        <w:rPr>
          <w:rFonts w:asciiTheme="minorHAnsi" w:hAnsiTheme="minorHAnsi" w:cstheme="minorHAnsi"/>
          <w:lang w:val="el-GR"/>
        </w:rPr>
        <w:t>Σ</w:t>
      </w:r>
      <w:r w:rsidR="001B1890" w:rsidRPr="00466073">
        <w:rPr>
          <w:rFonts w:asciiTheme="minorHAnsi" w:hAnsiTheme="minorHAnsi" w:cstheme="minorHAnsi"/>
          <w:lang w:val="el-GR"/>
        </w:rPr>
        <w:t>την Ουγγαρία καταμετρ</w:t>
      </w:r>
      <w:r w:rsidR="00C96DA3" w:rsidRPr="00466073">
        <w:rPr>
          <w:rFonts w:asciiTheme="minorHAnsi" w:hAnsiTheme="minorHAnsi" w:cstheme="minorHAnsi"/>
          <w:lang w:val="el-GR"/>
        </w:rPr>
        <w:t xml:space="preserve">ούνται περίπου </w:t>
      </w:r>
      <w:r w:rsidR="001B1890" w:rsidRPr="00466073">
        <w:rPr>
          <w:rFonts w:asciiTheme="minorHAnsi" w:hAnsiTheme="minorHAnsi" w:cstheme="minorHAnsi"/>
          <w:lang w:val="el-GR"/>
        </w:rPr>
        <w:t>5,</w:t>
      </w:r>
      <w:r w:rsidR="009446BD" w:rsidRPr="00466073">
        <w:rPr>
          <w:rFonts w:asciiTheme="minorHAnsi" w:hAnsiTheme="minorHAnsi" w:cstheme="minorHAnsi"/>
          <w:lang w:val="el-GR"/>
        </w:rPr>
        <w:t>7</w:t>
      </w:r>
      <w:r w:rsidR="001B1890" w:rsidRPr="00466073">
        <w:rPr>
          <w:rFonts w:asciiTheme="minorHAnsi" w:hAnsiTheme="minorHAnsi" w:cstheme="minorHAnsi"/>
          <w:lang w:val="el-GR"/>
        </w:rPr>
        <w:t xml:space="preserve"> εκ. συνδέσεις κινητών δικτύων (</w:t>
      </w:r>
      <w:r w:rsidR="001B1890" w:rsidRPr="00466073">
        <w:rPr>
          <w:rFonts w:asciiTheme="minorHAnsi" w:hAnsiTheme="minorHAnsi" w:cstheme="minorHAnsi"/>
          <w:lang w:val="hu-HU"/>
        </w:rPr>
        <w:t xml:space="preserve">mobile </w:t>
      </w:r>
      <w:r w:rsidR="001B1890" w:rsidRPr="00466073">
        <w:rPr>
          <w:rFonts w:asciiTheme="minorHAnsi" w:hAnsiTheme="minorHAnsi" w:cstheme="minorHAnsi"/>
          <w:lang w:val="el-GR"/>
        </w:rPr>
        <w:t>Ι</w:t>
      </w:r>
      <w:r w:rsidR="001B1890" w:rsidRPr="00466073">
        <w:rPr>
          <w:rFonts w:asciiTheme="minorHAnsi" w:hAnsiTheme="minorHAnsi" w:cstheme="minorHAnsi"/>
          <w:lang w:val="hu-HU"/>
        </w:rPr>
        <w:t>nternet</w:t>
      </w:r>
      <w:r w:rsidR="001B1890" w:rsidRPr="00466073">
        <w:rPr>
          <w:rFonts w:asciiTheme="minorHAnsi" w:hAnsiTheme="minorHAnsi" w:cstheme="minorHAnsi"/>
          <w:lang w:val="el-GR"/>
        </w:rPr>
        <w:t>), 1,3 εκ. συνδ</w:t>
      </w:r>
      <w:r w:rsidR="009446BD" w:rsidRPr="00466073">
        <w:rPr>
          <w:rFonts w:asciiTheme="minorHAnsi" w:hAnsiTheme="minorHAnsi" w:cstheme="minorHAnsi"/>
          <w:lang w:val="el-GR"/>
        </w:rPr>
        <w:t>έσεις καλωδιακής τηλεόρασης, 920</w:t>
      </w:r>
      <w:r w:rsidR="001B1890" w:rsidRPr="00466073">
        <w:rPr>
          <w:rFonts w:asciiTheme="minorHAnsi" w:hAnsiTheme="minorHAnsi" w:cstheme="minorHAnsi"/>
          <w:lang w:val="el-GR"/>
        </w:rPr>
        <w:t xml:space="preserve"> χιλ. συνδέσεις </w:t>
      </w:r>
      <w:proofErr w:type="spellStart"/>
      <w:r w:rsidR="001B1890" w:rsidRPr="00466073">
        <w:rPr>
          <w:rFonts w:asciiTheme="minorHAnsi" w:hAnsiTheme="minorHAnsi" w:cstheme="minorHAnsi"/>
        </w:rPr>
        <w:t>xDSL</w:t>
      </w:r>
      <w:proofErr w:type="spellEnd"/>
      <w:r w:rsidR="009446BD" w:rsidRPr="00466073">
        <w:rPr>
          <w:rFonts w:asciiTheme="minorHAnsi" w:hAnsiTheme="minorHAnsi" w:cstheme="minorHAnsi"/>
          <w:lang w:val="el-GR"/>
        </w:rPr>
        <w:t xml:space="preserve"> και 615</w:t>
      </w:r>
      <w:r w:rsidR="001B1890" w:rsidRPr="00466073">
        <w:rPr>
          <w:rFonts w:asciiTheme="minorHAnsi" w:hAnsiTheme="minorHAnsi" w:cstheme="minorHAnsi"/>
          <w:lang w:val="el-GR"/>
        </w:rPr>
        <w:t xml:space="preserve"> χιλ. συνδέσεις άλλων ειδών τεχνολογίας. </w:t>
      </w:r>
      <w:r w:rsidR="00A638FD" w:rsidRPr="00466073">
        <w:rPr>
          <w:rFonts w:asciiTheme="minorHAnsi" w:hAnsiTheme="minorHAnsi" w:cstheme="minorHAnsi"/>
          <w:lang w:val="el-GR"/>
        </w:rPr>
        <w:t>Το 76% των νοικοκυριών έχει πρόσβαση στο Διαδίκτυο (ποσοστό υψηλότερο της Πολωνίας, Ιταλίας, Κύπρου και Ελλάδος, αλλά χαμηλότερο του κοινοτικού μέσου όρου 83%)</w:t>
      </w:r>
      <w:r w:rsidR="00B6321D" w:rsidRPr="00466073">
        <w:rPr>
          <w:rFonts w:asciiTheme="minorHAnsi" w:hAnsiTheme="minorHAnsi" w:cstheme="minorHAnsi"/>
          <w:lang w:val="el-GR"/>
        </w:rPr>
        <w:t>. Ο συνολικός αριθμός συνδέσεων κινητής τηλε</w:t>
      </w:r>
      <w:r w:rsidR="00DE0DC9" w:rsidRPr="00466073">
        <w:rPr>
          <w:rFonts w:asciiTheme="minorHAnsi" w:hAnsiTheme="minorHAnsi" w:cstheme="minorHAnsi"/>
          <w:lang w:val="el-GR"/>
        </w:rPr>
        <w:t xml:space="preserve">φωνίας </w:t>
      </w:r>
      <w:r w:rsidR="00C96DA3" w:rsidRPr="00466073">
        <w:rPr>
          <w:rFonts w:asciiTheme="minorHAnsi" w:hAnsiTheme="minorHAnsi" w:cstheme="minorHAnsi"/>
          <w:lang w:val="el-GR"/>
        </w:rPr>
        <w:t xml:space="preserve">υπολογίζεται σε περίπου 12 </w:t>
      </w:r>
      <w:r w:rsidR="00DE0DC9" w:rsidRPr="00466073">
        <w:rPr>
          <w:rFonts w:asciiTheme="minorHAnsi" w:hAnsiTheme="minorHAnsi" w:cstheme="minorHAnsi"/>
          <w:lang w:val="el-GR"/>
        </w:rPr>
        <w:t>εκ.</w:t>
      </w:r>
      <w:r w:rsidR="00C96DA3" w:rsidRPr="00466073">
        <w:rPr>
          <w:rFonts w:asciiTheme="minorHAnsi" w:hAnsiTheme="minorHAnsi" w:cstheme="minorHAnsi"/>
          <w:lang w:val="el-GR"/>
        </w:rPr>
        <w:t xml:space="preserve">, ενώ της σταθερής τηλεφωνίας μόλις στα </w:t>
      </w:r>
      <w:r w:rsidR="00DE0DC9" w:rsidRPr="00466073">
        <w:rPr>
          <w:rFonts w:asciiTheme="minorHAnsi" w:hAnsiTheme="minorHAnsi" w:cstheme="minorHAnsi"/>
          <w:lang w:val="el-GR"/>
        </w:rPr>
        <w:t xml:space="preserve">3 εκ. Η διείσδυση της κινητής τηλεφωνίας </w:t>
      </w:r>
      <w:r w:rsidR="00C96DA3" w:rsidRPr="00466073">
        <w:rPr>
          <w:rFonts w:asciiTheme="minorHAnsi" w:hAnsiTheme="minorHAnsi" w:cstheme="minorHAnsi"/>
          <w:lang w:val="el-GR"/>
        </w:rPr>
        <w:t xml:space="preserve">έχει ξεπεράσει </w:t>
      </w:r>
      <w:r w:rsidR="00DE0DC9" w:rsidRPr="00466073">
        <w:rPr>
          <w:rFonts w:asciiTheme="minorHAnsi" w:hAnsiTheme="minorHAnsi" w:cstheme="minorHAnsi"/>
          <w:lang w:val="el-GR"/>
        </w:rPr>
        <w:t xml:space="preserve">το 120% του πληθυσμού, ενώ της σταθερής βρίσκεται πολύ χαμηλότερα, </w:t>
      </w:r>
      <w:r w:rsidR="00C96DA3" w:rsidRPr="00466073">
        <w:rPr>
          <w:rFonts w:asciiTheme="minorHAnsi" w:hAnsiTheme="minorHAnsi" w:cstheme="minorHAnsi"/>
          <w:lang w:val="el-GR"/>
        </w:rPr>
        <w:t>γύρω στο 31</w:t>
      </w:r>
      <w:r w:rsidR="00DE0DC9" w:rsidRPr="00466073">
        <w:rPr>
          <w:rFonts w:asciiTheme="minorHAnsi" w:hAnsiTheme="minorHAnsi" w:cstheme="minorHAnsi"/>
          <w:lang w:val="el-GR"/>
        </w:rPr>
        <w:t xml:space="preserve">%.  </w:t>
      </w:r>
    </w:p>
    <w:p w:rsidR="00DE0DC9" w:rsidRPr="00466073" w:rsidRDefault="00DE0DC9" w:rsidP="0068698A">
      <w:pPr>
        <w:jc w:val="both"/>
        <w:rPr>
          <w:rFonts w:asciiTheme="minorHAnsi" w:hAnsiTheme="minorHAnsi" w:cstheme="minorHAnsi"/>
          <w:lang w:val="el-GR"/>
        </w:rPr>
      </w:pPr>
    </w:p>
    <w:p w:rsidR="00DE0DC9" w:rsidRPr="00466073" w:rsidRDefault="00DE0DC9" w:rsidP="0068698A">
      <w:pPr>
        <w:jc w:val="both"/>
        <w:rPr>
          <w:rFonts w:asciiTheme="minorHAnsi" w:hAnsiTheme="minorHAnsi" w:cstheme="minorHAnsi"/>
          <w:lang w:val="el-GR"/>
        </w:rPr>
      </w:pPr>
      <w:r w:rsidRPr="00466073">
        <w:rPr>
          <w:rFonts w:asciiTheme="minorHAnsi" w:hAnsiTheme="minorHAnsi" w:cstheme="minorHAnsi"/>
          <w:lang w:val="el-GR"/>
        </w:rPr>
        <w:t>Στην δεκαετία του 1990 εμφανίστηκαν στην Ουγγαρία τα πρώτα περιφερειακά κέντρα παροχής τηλεφωνικών υπηρεσιών (</w:t>
      </w:r>
      <w:r w:rsidR="003F57D2" w:rsidRPr="00466073">
        <w:rPr>
          <w:rFonts w:asciiTheme="minorHAnsi" w:hAnsiTheme="minorHAnsi" w:cstheme="minorHAnsi"/>
        </w:rPr>
        <w:t>shared</w:t>
      </w:r>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service</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centres</w:t>
      </w:r>
      <w:proofErr w:type="spellEnd"/>
      <w:r w:rsidR="003F57D2" w:rsidRPr="00466073">
        <w:rPr>
          <w:rFonts w:asciiTheme="minorHAnsi" w:hAnsiTheme="minorHAnsi" w:cstheme="minorHAnsi"/>
          <w:lang w:val="el-GR"/>
        </w:rPr>
        <w:t xml:space="preserve"> -</w:t>
      </w:r>
      <w:r w:rsidR="003F57D2" w:rsidRPr="00466073">
        <w:rPr>
          <w:rFonts w:asciiTheme="minorHAnsi" w:hAnsiTheme="minorHAnsi" w:cstheme="minorHAnsi"/>
        </w:rPr>
        <w:t>SSC</w:t>
      </w:r>
      <w:r w:rsidRPr="00466073">
        <w:rPr>
          <w:rFonts w:asciiTheme="minorHAnsi" w:hAnsiTheme="minorHAnsi" w:cstheme="minorHAnsi"/>
          <w:lang w:val="el-GR"/>
        </w:rPr>
        <w:t>). Σήμερα, περισσότερες από 90 εταιρείες έχουν εγκαταστήσει πάνω από 100 κέντρα</w:t>
      </w:r>
      <w:r w:rsidR="003F57D2" w:rsidRPr="00466073">
        <w:rPr>
          <w:rFonts w:asciiTheme="minorHAnsi" w:hAnsiTheme="minorHAnsi" w:cstheme="minorHAnsi"/>
          <w:lang w:val="el-GR"/>
        </w:rPr>
        <w:t xml:space="preserve"> που απασχολούν περίπου 40.000 υπαλλήλους στους τομείς χρηματοοικονομικών, λογιστικής, ανεύρεσης</w:t>
      </w:r>
      <w:r w:rsidR="00C96DA3" w:rsidRPr="00466073">
        <w:rPr>
          <w:rFonts w:asciiTheme="minorHAnsi" w:hAnsiTheme="minorHAnsi" w:cstheme="minorHAnsi"/>
          <w:lang w:val="el-GR"/>
        </w:rPr>
        <w:t xml:space="preserve"> εργατικού δυναμικού</w:t>
      </w:r>
      <w:r w:rsidR="003F57D2" w:rsidRPr="00466073">
        <w:rPr>
          <w:rFonts w:asciiTheme="minorHAnsi" w:hAnsiTheme="minorHAnsi" w:cstheme="minorHAnsi"/>
          <w:lang w:val="el-GR"/>
        </w:rPr>
        <w:t>, τεχνολογιών πληροφορικής και επικοινωνιών, κ.ά.</w:t>
      </w:r>
    </w:p>
    <w:p w:rsidR="004B566D" w:rsidRPr="00466073" w:rsidRDefault="004B566D" w:rsidP="0068698A">
      <w:pPr>
        <w:jc w:val="both"/>
        <w:rPr>
          <w:rFonts w:asciiTheme="minorHAnsi" w:hAnsiTheme="minorHAnsi" w:cstheme="minorHAnsi"/>
          <w:lang w:val="el-GR"/>
        </w:rPr>
      </w:pPr>
    </w:p>
    <w:p w:rsidR="005D7399" w:rsidRPr="00466073" w:rsidRDefault="005D7399" w:rsidP="003F57D2">
      <w:pPr>
        <w:jc w:val="both"/>
        <w:rPr>
          <w:rFonts w:asciiTheme="minorHAnsi" w:hAnsiTheme="minorHAnsi" w:cstheme="minorHAnsi"/>
          <w:b/>
          <w:u w:val="single"/>
          <w:lang w:val="el-GR"/>
        </w:rPr>
      </w:pPr>
      <w:r w:rsidRPr="00466073">
        <w:rPr>
          <w:rFonts w:asciiTheme="minorHAnsi" w:hAnsiTheme="minorHAnsi" w:cstheme="minorHAnsi"/>
          <w:b/>
          <w:u w:val="single"/>
          <w:lang w:val="el-GR"/>
        </w:rPr>
        <w:t>Τουρισμός</w:t>
      </w:r>
    </w:p>
    <w:p w:rsidR="00255380" w:rsidRPr="00466073" w:rsidRDefault="00255380" w:rsidP="001D56A8">
      <w:pPr>
        <w:jc w:val="both"/>
        <w:rPr>
          <w:rFonts w:asciiTheme="minorHAnsi" w:hAnsiTheme="minorHAnsi" w:cstheme="minorHAnsi"/>
          <w:lang w:val="el-GR"/>
        </w:rPr>
      </w:pPr>
    </w:p>
    <w:p w:rsidR="0058383A" w:rsidRPr="00466073" w:rsidRDefault="001D56A8" w:rsidP="001D56A8">
      <w:pPr>
        <w:jc w:val="both"/>
        <w:rPr>
          <w:rFonts w:asciiTheme="minorHAnsi" w:hAnsiTheme="minorHAnsi" w:cstheme="minorHAnsi"/>
          <w:lang w:val="el-GR"/>
        </w:rPr>
      </w:pPr>
      <w:r w:rsidRPr="00466073">
        <w:rPr>
          <w:rFonts w:asciiTheme="minorHAnsi" w:hAnsiTheme="minorHAnsi" w:cstheme="minorHAnsi"/>
          <w:lang w:val="el-GR"/>
        </w:rPr>
        <w:t xml:space="preserve">Ο τουρισμός έχει εξελιχθεί σε μια σημαντική για την ουγγρική οικονομία πηγή εσόδων και παράλληλα, μοχλός οικονομικής ανάπτυξης. </w:t>
      </w:r>
      <w:r w:rsidR="00255380" w:rsidRPr="00466073">
        <w:rPr>
          <w:rFonts w:asciiTheme="minorHAnsi" w:hAnsiTheme="minorHAnsi" w:cstheme="minorHAnsi"/>
          <w:lang w:val="el-GR"/>
        </w:rPr>
        <w:t xml:space="preserve"> </w:t>
      </w:r>
      <w:r w:rsidR="0058383A" w:rsidRPr="00466073">
        <w:rPr>
          <w:rFonts w:asciiTheme="minorHAnsi" w:hAnsiTheme="minorHAnsi" w:cstheme="minorHAnsi"/>
          <w:lang w:val="el-GR"/>
        </w:rPr>
        <w:t>Η κυβέρνηση αντιλαμβανόμενη τις δυνατότητες της τουριστικής βιομηχανίας, διέθεσε τ</w:t>
      </w:r>
      <w:r w:rsidR="006D306F" w:rsidRPr="00466073">
        <w:rPr>
          <w:rFonts w:asciiTheme="minorHAnsi" w:hAnsiTheme="minorHAnsi" w:cstheme="minorHAnsi"/>
          <w:lang w:val="el-GR"/>
        </w:rPr>
        <w:t>ο 2010 μέσω του κρατικού προϋπολογισμού 7,6 δις HUF (περίπου €25 εκ.)</w:t>
      </w:r>
      <w:r w:rsidR="0058383A" w:rsidRPr="00466073">
        <w:rPr>
          <w:rFonts w:asciiTheme="minorHAnsi" w:hAnsiTheme="minorHAnsi" w:cstheme="minorHAnsi"/>
          <w:lang w:val="el-GR"/>
        </w:rPr>
        <w:t>.</w:t>
      </w:r>
      <w:r w:rsidR="006D306F" w:rsidRPr="00466073">
        <w:rPr>
          <w:rFonts w:asciiTheme="minorHAnsi" w:hAnsiTheme="minorHAnsi" w:cstheme="minorHAnsi"/>
          <w:lang w:val="el-GR"/>
        </w:rPr>
        <w:t xml:space="preserve"> </w:t>
      </w:r>
      <w:r w:rsidR="0058383A" w:rsidRPr="00466073">
        <w:rPr>
          <w:rFonts w:asciiTheme="minorHAnsi" w:hAnsiTheme="minorHAnsi" w:cstheme="minorHAnsi"/>
          <w:lang w:val="el-GR"/>
        </w:rPr>
        <w:t>Τ</w:t>
      </w:r>
      <w:r w:rsidR="006D306F" w:rsidRPr="00466073">
        <w:rPr>
          <w:rFonts w:asciiTheme="minorHAnsi" w:hAnsiTheme="minorHAnsi" w:cstheme="minorHAnsi"/>
          <w:lang w:val="el-GR"/>
        </w:rPr>
        <w:t>ο 2017 το ποσό αυτό ανήλθε σε 21 δις HUF (€70 ε</w:t>
      </w:r>
      <w:r w:rsidR="00F954BC" w:rsidRPr="00466073">
        <w:rPr>
          <w:rFonts w:asciiTheme="minorHAnsi" w:hAnsiTheme="minorHAnsi" w:cstheme="minorHAnsi"/>
          <w:lang w:val="el-GR"/>
        </w:rPr>
        <w:t>κ.)</w:t>
      </w:r>
      <w:r w:rsidR="00255380" w:rsidRPr="00466073">
        <w:rPr>
          <w:rFonts w:asciiTheme="minorHAnsi" w:hAnsiTheme="minorHAnsi" w:cstheme="minorHAnsi"/>
          <w:lang w:val="hu-HU"/>
        </w:rPr>
        <w:t xml:space="preserve">, </w:t>
      </w:r>
      <w:r w:rsidR="006D306F" w:rsidRPr="00466073">
        <w:rPr>
          <w:rFonts w:asciiTheme="minorHAnsi" w:hAnsiTheme="minorHAnsi" w:cstheme="minorHAnsi"/>
          <w:lang w:val="el-GR"/>
        </w:rPr>
        <w:t xml:space="preserve">το 2018 </w:t>
      </w:r>
      <w:r w:rsidR="0058383A" w:rsidRPr="00466073">
        <w:rPr>
          <w:rFonts w:asciiTheme="minorHAnsi" w:hAnsiTheme="minorHAnsi" w:cstheme="minorHAnsi"/>
          <w:lang w:val="el-GR"/>
        </w:rPr>
        <w:t xml:space="preserve">σε </w:t>
      </w:r>
      <w:r w:rsidR="00255380" w:rsidRPr="00466073">
        <w:rPr>
          <w:rFonts w:asciiTheme="minorHAnsi" w:hAnsiTheme="minorHAnsi" w:cstheme="minorHAnsi"/>
          <w:lang w:val="el-GR"/>
        </w:rPr>
        <w:t>53 δις HUF (€175 εκ.)</w:t>
      </w:r>
      <w:r w:rsidR="00255380" w:rsidRPr="00466073">
        <w:rPr>
          <w:rFonts w:asciiTheme="minorHAnsi" w:hAnsiTheme="minorHAnsi" w:cstheme="minorHAnsi"/>
          <w:lang w:val="hu-HU"/>
        </w:rPr>
        <w:t xml:space="preserve">, </w:t>
      </w:r>
      <w:r w:rsidR="00255380" w:rsidRPr="00466073">
        <w:rPr>
          <w:rFonts w:asciiTheme="minorHAnsi" w:hAnsiTheme="minorHAnsi" w:cstheme="minorHAnsi"/>
          <w:lang w:val="el-GR"/>
        </w:rPr>
        <w:t xml:space="preserve">ενώ το 2022, στα πλαίσια αναβάθμισης του τομέα για την μετά </w:t>
      </w:r>
      <w:proofErr w:type="spellStart"/>
      <w:r w:rsidR="00255380" w:rsidRPr="00466073">
        <w:rPr>
          <w:rFonts w:asciiTheme="minorHAnsi" w:hAnsiTheme="minorHAnsi" w:cstheme="minorHAnsi"/>
        </w:rPr>
        <w:t>Covid</w:t>
      </w:r>
      <w:proofErr w:type="spellEnd"/>
      <w:r w:rsidR="00255380" w:rsidRPr="00466073">
        <w:rPr>
          <w:rFonts w:asciiTheme="minorHAnsi" w:hAnsiTheme="minorHAnsi" w:cstheme="minorHAnsi"/>
          <w:lang w:val="el-GR"/>
        </w:rPr>
        <w:t xml:space="preserve">-19 εποχή, η κυβέρνηση  αύξησε το ποσό στα 81 δις HUF (περίπου €207 εκ.). </w:t>
      </w:r>
      <w:r w:rsidR="00F954BC" w:rsidRPr="00466073">
        <w:rPr>
          <w:rFonts w:asciiTheme="minorHAnsi" w:hAnsiTheme="minorHAnsi" w:cstheme="minorHAnsi"/>
          <w:lang w:val="el-GR"/>
        </w:rPr>
        <w:t xml:space="preserve"> </w:t>
      </w:r>
    </w:p>
    <w:p w:rsidR="00255380" w:rsidRPr="00466073" w:rsidRDefault="00255380" w:rsidP="001D56A8">
      <w:pPr>
        <w:jc w:val="both"/>
        <w:rPr>
          <w:rFonts w:asciiTheme="minorHAnsi" w:hAnsiTheme="minorHAnsi" w:cstheme="minorHAnsi"/>
          <w:lang w:val="hu-HU"/>
        </w:rPr>
      </w:pPr>
    </w:p>
    <w:p w:rsidR="00DD58CD" w:rsidRPr="00466073" w:rsidRDefault="00F954BC" w:rsidP="001D56A8">
      <w:pPr>
        <w:jc w:val="both"/>
        <w:rPr>
          <w:rFonts w:asciiTheme="minorHAnsi" w:hAnsiTheme="minorHAnsi" w:cstheme="minorHAnsi"/>
          <w:lang w:val="el-GR"/>
        </w:rPr>
      </w:pPr>
      <w:r w:rsidRPr="00466073">
        <w:rPr>
          <w:rFonts w:asciiTheme="minorHAnsi" w:hAnsiTheme="minorHAnsi" w:cstheme="minorHAnsi"/>
          <w:lang w:val="el-GR"/>
        </w:rPr>
        <w:t>Ο αριθμός των ξένων επισκεπτών αυξάνεται συνεχώς τα τελευταία χρόνια, ακόμα και με ρυθμούς τετραπλάσιους του παγκόσμιου μέσου όρου (</w:t>
      </w:r>
      <w:r w:rsidR="0058383A" w:rsidRPr="00466073">
        <w:rPr>
          <w:rFonts w:asciiTheme="minorHAnsi" w:hAnsiTheme="minorHAnsi" w:cstheme="minorHAnsi"/>
          <w:lang w:val="el-GR"/>
        </w:rPr>
        <w:t xml:space="preserve">π.χ. </w:t>
      </w:r>
      <w:r w:rsidRPr="00466073">
        <w:rPr>
          <w:rFonts w:asciiTheme="minorHAnsi" w:hAnsiTheme="minorHAnsi" w:cstheme="minorHAnsi"/>
          <w:lang w:val="el-GR"/>
        </w:rPr>
        <w:t>2014-2015). Από τις ευρωπαϊκές χώρες σημειώθηκε αύξηση των επισκεπτών κατά 29% (80% από Σλοβακία, 50% από Βρετανία και επίσης 50% από Πολωνία). Αύξηση των επισκεπτών σημειώθηκε και από την Ασία (60%), όπως και από την Αμερική (56%).</w:t>
      </w:r>
      <w:r w:rsidR="004B7298" w:rsidRPr="00466073">
        <w:rPr>
          <w:rFonts w:asciiTheme="minorHAnsi" w:hAnsiTheme="minorHAnsi" w:cstheme="minorHAnsi"/>
          <w:lang w:val="el-GR"/>
        </w:rPr>
        <w:t xml:space="preserve"> Οι επισκέπτες από Κίνα αυξήθηκαν κατά 10%. </w:t>
      </w:r>
    </w:p>
    <w:p w:rsidR="004B7298" w:rsidRPr="00466073" w:rsidRDefault="004B7298" w:rsidP="004B7298">
      <w:pPr>
        <w:jc w:val="both"/>
        <w:rPr>
          <w:rFonts w:asciiTheme="minorHAnsi" w:hAnsiTheme="minorHAnsi" w:cstheme="minorHAnsi"/>
          <w:lang w:val="el-GR"/>
        </w:rPr>
      </w:pPr>
    </w:p>
    <w:p w:rsidR="00B96F51" w:rsidRPr="00466073" w:rsidRDefault="00D165BC" w:rsidP="003F57D2">
      <w:pPr>
        <w:jc w:val="both"/>
        <w:rPr>
          <w:rFonts w:asciiTheme="minorHAnsi" w:hAnsiTheme="minorHAnsi" w:cstheme="minorHAnsi"/>
          <w:lang w:val="el-GR"/>
        </w:rPr>
      </w:pPr>
      <w:r w:rsidRPr="00466073">
        <w:rPr>
          <w:rFonts w:asciiTheme="minorHAnsi" w:hAnsiTheme="minorHAnsi" w:cstheme="minorHAnsi"/>
          <w:lang w:val="el-GR"/>
        </w:rPr>
        <w:t>Σύμφωνα με την ανακοινωθείσα νέα τουριστική στρατηγική της χώρας, μέχρι το 2030 οι άμεσες θέσεις εργασίας στον κλάδο θα αυξηθούν σε 450 χιλ. και η συνεισφορά του τουρισμού στο ΑΕΠ της Ουγγαρίας θα αγγίξει το 16%.</w:t>
      </w:r>
      <w:r w:rsidRPr="00466073">
        <w:rPr>
          <w:rFonts w:asciiTheme="minorHAnsi" w:hAnsiTheme="minorHAnsi" w:cstheme="minorHAnsi"/>
          <w:color w:val="943634" w:themeColor="accent2" w:themeShade="BF"/>
          <w:lang w:val="el-GR"/>
        </w:rPr>
        <w:t xml:space="preserve"> </w:t>
      </w:r>
      <w:r w:rsidRPr="00466073">
        <w:rPr>
          <w:rFonts w:asciiTheme="minorHAnsi" w:hAnsiTheme="minorHAnsi" w:cstheme="minorHAnsi"/>
          <w:lang w:val="el-GR"/>
        </w:rPr>
        <w:t>Για την υλοποίηση της νέας στρατηγικής έχουν δεσμευθεί 828 δις HUF (€2,7 δις). Τρία είναι τα βασικά πεδία εφαρμογής της νέας τουριστικής πολιτικής ανάπτυξης: αθλητικός τουρισμός, πολιτισμικός τουρισμός και ιατρικός τουρισμός.</w:t>
      </w:r>
      <w:r w:rsidR="00877887" w:rsidRPr="00466073">
        <w:rPr>
          <w:rFonts w:asciiTheme="minorHAnsi" w:hAnsiTheme="minorHAnsi" w:cstheme="minorHAnsi"/>
          <w:lang w:val="el-GR"/>
        </w:rPr>
        <w:t xml:space="preserve"> Στόχος της κυβέρνησης η αύξηση των θέσεων εργασίας στις 640 χιλ. μέχρι το 2027.</w:t>
      </w:r>
    </w:p>
    <w:p w:rsidR="00877887" w:rsidRPr="00466073" w:rsidRDefault="00877887" w:rsidP="003F57D2">
      <w:pPr>
        <w:jc w:val="both"/>
        <w:rPr>
          <w:rFonts w:asciiTheme="minorHAnsi" w:hAnsiTheme="minorHAnsi" w:cstheme="minorHAnsi"/>
          <w:lang w:val="el-GR"/>
        </w:rPr>
      </w:pPr>
    </w:p>
    <w:p w:rsidR="00D165BC" w:rsidRPr="00466073" w:rsidRDefault="00D165BC" w:rsidP="003F57D2">
      <w:pPr>
        <w:jc w:val="both"/>
        <w:rPr>
          <w:rFonts w:asciiTheme="minorHAnsi" w:hAnsiTheme="minorHAnsi" w:cstheme="minorHAnsi"/>
          <w:lang w:val="el-GR"/>
        </w:rPr>
      </w:pPr>
      <w:r w:rsidRPr="00466073">
        <w:rPr>
          <w:rFonts w:asciiTheme="minorHAnsi" w:hAnsiTheme="minorHAnsi" w:cstheme="minorHAnsi"/>
          <w:lang w:val="el-GR"/>
        </w:rPr>
        <w:t>Σημειώνεται</w:t>
      </w:r>
      <w:r w:rsidR="00C9783B" w:rsidRPr="00466073">
        <w:rPr>
          <w:rFonts w:asciiTheme="minorHAnsi" w:hAnsiTheme="minorHAnsi" w:cstheme="minorHAnsi"/>
          <w:lang w:val="el-GR"/>
        </w:rPr>
        <w:t>, τέλος,</w:t>
      </w:r>
      <w:r w:rsidRPr="00466073">
        <w:rPr>
          <w:rFonts w:asciiTheme="minorHAnsi" w:hAnsiTheme="minorHAnsi" w:cstheme="minorHAnsi"/>
          <w:lang w:val="el-GR"/>
        </w:rPr>
        <w:t xml:space="preserve"> ότι στο πλαίσιο συνεργασίας των χωρών </w:t>
      </w:r>
      <w:proofErr w:type="spellStart"/>
      <w:r w:rsidRPr="00466073">
        <w:rPr>
          <w:rFonts w:asciiTheme="minorHAnsi" w:hAnsiTheme="minorHAnsi" w:cstheme="minorHAnsi"/>
          <w:lang w:val="el-GR"/>
        </w:rPr>
        <w:t>Βίζεγκραντ</w:t>
      </w:r>
      <w:proofErr w:type="spellEnd"/>
      <w:r w:rsidRPr="00466073">
        <w:rPr>
          <w:rFonts w:asciiTheme="minorHAnsi" w:hAnsiTheme="minorHAnsi" w:cstheme="minorHAnsi"/>
          <w:lang w:val="el-GR"/>
        </w:rPr>
        <w:t xml:space="preserve"> (V4), έχει συμφωνηθεί κοινό σχέδιο δράσης για την προσέλκυση στις χώρες της περιοχής, επισκεπτών από τις ΗΠΑ, Ρωσία, Ν. Κορέα, Λατινική Αμερική, Ινδία, Κίνα και </w:t>
      </w:r>
      <w:proofErr w:type="spellStart"/>
      <w:r w:rsidRPr="00466073">
        <w:rPr>
          <w:rFonts w:asciiTheme="minorHAnsi" w:hAnsiTheme="minorHAnsi" w:cstheme="minorHAnsi"/>
          <w:lang w:val="el-GR"/>
        </w:rPr>
        <w:t>Νοτιο</w:t>
      </w:r>
      <w:proofErr w:type="spellEnd"/>
      <w:r w:rsidRPr="00466073">
        <w:rPr>
          <w:rFonts w:asciiTheme="minorHAnsi" w:hAnsiTheme="minorHAnsi" w:cstheme="minorHAnsi"/>
          <w:lang w:val="el-GR"/>
        </w:rPr>
        <w:t>-Ανατολική Ασία.</w:t>
      </w:r>
    </w:p>
    <w:p w:rsidR="00850AB8" w:rsidRPr="00466073" w:rsidRDefault="00E16CDB" w:rsidP="00850AB8">
      <w:pPr>
        <w:jc w:val="both"/>
        <w:rPr>
          <w:rFonts w:asciiTheme="minorHAnsi" w:hAnsiTheme="minorHAnsi" w:cstheme="minorHAnsi"/>
          <w:lang w:val="el-GR"/>
        </w:rPr>
      </w:pPr>
      <w:r w:rsidRPr="00466073">
        <w:rPr>
          <w:rFonts w:asciiTheme="minorHAnsi" w:hAnsiTheme="minorHAnsi" w:cstheme="minorHAnsi"/>
          <w:lang w:val="el-GR"/>
        </w:rPr>
        <w:t xml:space="preserve">Ο τουριστικός κλάδος στην Ουγγαρία σημειώνει σταθερή και αξιοσημείωτη μεγέθυνση, η οποία αναμένεται να συνεχιστεί και τα επόμενα χρόνια. </w:t>
      </w:r>
      <w:r w:rsidR="00D165BC" w:rsidRPr="00466073">
        <w:rPr>
          <w:rFonts w:asciiTheme="minorHAnsi" w:hAnsiTheme="minorHAnsi" w:cstheme="minorHAnsi"/>
          <w:lang w:val="el-GR"/>
        </w:rPr>
        <w:t xml:space="preserve">Εξάλλου, </w:t>
      </w:r>
      <w:bookmarkStart w:id="2" w:name="ΣΧΕΤΙΚΟ"/>
      <w:bookmarkEnd w:id="2"/>
      <w:r w:rsidR="00D165BC" w:rsidRPr="00466073">
        <w:rPr>
          <w:rFonts w:asciiTheme="minorHAnsi" w:hAnsiTheme="minorHAnsi" w:cstheme="minorHAnsi"/>
          <w:lang w:val="el-GR"/>
        </w:rPr>
        <w:t xml:space="preserve">η </w:t>
      </w:r>
      <w:r w:rsidR="00850AB8" w:rsidRPr="00466073">
        <w:rPr>
          <w:rFonts w:asciiTheme="minorHAnsi" w:hAnsiTheme="minorHAnsi" w:cstheme="minorHAnsi"/>
          <w:lang w:val="el-GR"/>
        </w:rPr>
        <w:t xml:space="preserve">Βουδαπέστη κατέκτησε τον τίτλο της Ευρωπαϊκής Πρωτεύουσας Αθλητισμού 2019, γεγονός που </w:t>
      </w:r>
      <w:r w:rsidR="003C4280" w:rsidRPr="00466073">
        <w:rPr>
          <w:rFonts w:asciiTheme="minorHAnsi" w:hAnsiTheme="minorHAnsi" w:cstheme="minorHAnsi"/>
          <w:lang w:val="el-GR"/>
        </w:rPr>
        <w:t>ενισχύ</w:t>
      </w:r>
      <w:r w:rsidR="00850AB8" w:rsidRPr="00466073">
        <w:rPr>
          <w:rFonts w:asciiTheme="minorHAnsi" w:hAnsiTheme="minorHAnsi" w:cstheme="minorHAnsi"/>
          <w:lang w:val="el-GR"/>
        </w:rPr>
        <w:t xml:space="preserve">ει </w:t>
      </w:r>
      <w:r w:rsidR="00D165BC" w:rsidRPr="00466073">
        <w:rPr>
          <w:rFonts w:asciiTheme="minorHAnsi" w:hAnsiTheme="minorHAnsi" w:cstheme="minorHAnsi"/>
          <w:lang w:val="el-GR"/>
        </w:rPr>
        <w:t xml:space="preserve">ακόμα περισσότερο </w:t>
      </w:r>
      <w:r w:rsidR="00850AB8" w:rsidRPr="00466073">
        <w:rPr>
          <w:rFonts w:asciiTheme="minorHAnsi" w:hAnsiTheme="minorHAnsi" w:cstheme="minorHAnsi"/>
          <w:lang w:val="el-GR"/>
        </w:rPr>
        <w:t xml:space="preserve">το τουριστικό ρεύμα προς την Ουγγαρία. </w:t>
      </w:r>
    </w:p>
    <w:p w:rsidR="00070FD0" w:rsidRPr="00466073" w:rsidRDefault="00070FD0" w:rsidP="00850AB8">
      <w:pPr>
        <w:jc w:val="both"/>
        <w:rPr>
          <w:rFonts w:asciiTheme="minorHAnsi" w:hAnsiTheme="minorHAnsi" w:cstheme="minorHAnsi"/>
          <w:lang w:val="el-GR"/>
        </w:rPr>
      </w:pPr>
    </w:p>
    <w:p w:rsidR="000C403D" w:rsidRPr="00466073" w:rsidRDefault="000C403D" w:rsidP="007D6B64">
      <w:pPr>
        <w:jc w:val="both"/>
        <w:rPr>
          <w:rFonts w:asciiTheme="minorHAnsi" w:hAnsiTheme="minorHAnsi" w:cstheme="minorHAnsi"/>
          <w:b/>
          <w:color w:val="000000" w:themeColor="text1"/>
          <w:u w:val="single"/>
          <w:lang w:val="el-GR"/>
        </w:rPr>
      </w:pPr>
      <w:r w:rsidRPr="00466073">
        <w:rPr>
          <w:rFonts w:asciiTheme="minorHAnsi" w:hAnsiTheme="minorHAnsi" w:cstheme="minorHAnsi"/>
          <w:b/>
          <w:color w:val="000000" w:themeColor="text1"/>
          <w:u w:val="single"/>
          <w:lang w:val="el-GR"/>
        </w:rPr>
        <w:t>Ε</w:t>
      </w:r>
      <w:r w:rsidR="00EC2FBA" w:rsidRPr="00466073">
        <w:rPr>
          <w:rFonts w:asciiTheme="minorHAnsi" w:hAnsiTheme="minorHAnsi" w:cstheme="minorHAnsi"/>
          <w:b/>
          <w:color w:val="000000" w:themeColor="text1"/>
          <w:u w:val="single"/>
          <w:lang w:val="el-GR"/>
        </w:rPr>
        <w:t>μπόριο</w:t>
      </w:r>
    </w:p>
    <w:p w:rsidR="00305741" w:rsidRPr="00466073" w:rsidRDefault="00305741" w:rsidP="007D6B64">
      <w:pPr>
        <w:jc w:val="both"/>
        <w:rPr>
          <w:rFonts w:asciiTheme="minorHAnsi" w:hAnsiTheme="minorHAnsi" w:cstheme="minorHAnsi"/>
          <w:b/>
          <w:color w:val="000000" w:themeColor="text1"/>
          <w:u w:val="single"/>
          <w:lang w:val="el-GR"/>
        </w:rPr>
      </w:pPr>
    </w:p>
    <w:p w:rsidR="00A33A62" w:rsidRPr="00466073" w:rsidRDefault="009445E5" w:rsidP="00646FAE">
      <w:pPr>
        <w:jc w:val="both"/>
        <w:rPr>
          <w:rFonts w:asciiTheme="minorHAnsi" w:hAnsiTheme="minorHAnsi" w:cstheme="minorHAnsi"/>
          <w:lang w:val="el-GR"/>
        </w:rPr>
      </w:pPr>
      <w:r w:rsidRPr="00466073">
        <w:rPr>
          <w:rFonts w:asciiTheme="minorHAnsi" w:hAnsiTheme="minorHAnsi" w:cstheme="minorHAnsi"/>
          <w:lang w:val="el-GR"/>
        </w:rPr>
        <w:t>Ένας από τους βασικούς μοχλού</w:t>
      </w:r>
      <w:r w:rsidR="00441E06" w:rsidRPr="00466073">
        <w:rPr>
          <w:rFonts w:asciiTheme="minorHAnsi" w:hAnsiTheme="minorHAnsi" w:cstheme="minorHAnsi"/>
          <w:lang w:val="el-GR"/>
        </w:rPr>
        <w:t>ς ανάπτυξης της χώρας είναι και το διεθνές εμπόριο. Από τα μέσα του 2013 κι ένθεν, ο όγκος εμπορίου της χώρας αυξάνεται με ρυθμούς 5-10% ετησίως. Η Ουγγαρία</w:t>
      </w:r>
      <w:r w:rsidR="00B51984" w:rsidRPr="00466073">
        <w:rPr>
          <w:rFonts w:asciiTheme="minorHAnsi" w:hAnsiTheme="minorHAnsi" w:cstheme="minorHAnsi"/>
          <w:lang w:val="el-GR"/>
        </w:rPr>
        <w:t xml:space="preserve">, διατηρούσε </w:t>
      </w:r>
      <w:r w:rsidR="00441E06" w:rsidRPr="00466073">
        <w:rPr>
          <w:rFonts w:asciiTheme="minorHAnsi" w:hAnsiTheme="minorHAnsi" w:cstheme="minorHAnsi"/>
          <w:lang w:val="el-GR"/>
        </w:rPr>
        <w:t xml:space="preserve">θετικό εμπορικό ισοζύγιο </w:t>
      </w:r>
      <w:r w:rsidR="00B51984" w:rsidRPr="00466073">
        <w:rPr>
          <w:rFonts w:asciiTheme="minorHAnsi" w:hAnsiTheme="minorHAnsi" w:cstheme="minorHAnsi"/>
          <w:lang w:val="el-GR"/>
        </w:rPr>
        <w:t>με διεύρυνση</w:t>
      </w:r>
      <w:r w:rsidR="00441E06" w:rsidRPr="00466073">
        <w:rPr>
          <w:rFonts w:asciiTheme="minorHAnsi" w:hAnsiTheme="minorHAnsi" w:cstheme="minorHAnsi"/>
          <w:lang w:val="el-GR"/>
        </w:rPr>
        <w:t xml:space="preserve"> το</w:t>
      </w:r>
      <w:r w:rsidR="00B51984" w:rsidRPr="00466073">
        <w:rPr>
          <w:rFonts w:asciiTheme="minorHAnsi" w:hAnsiTheme="minorHAnsi" w:cstheme="minorHAnsi"/>
          <w:lang w:val="el-GR"/>
        </w:rPr>
        <w:t xml:space="preserve">υ εμπορικού της πλεονάσματος (εκτός του 2022 που παρουσίασε </w:t>
      </w:r>
      <w:proofErr w:type="spellStart"/>
      <w:r w:rsidR="00B51984" w:rsidRPr="00466073">
        <w:rPr>
          <w:rFonts w:asciiTheme="minorHAnsi" w:hAnsiTheme="minorHAnsi" w:cstheme="minorHAnsi"/>
          <w:lang w:val="el-GR"/>
        </w:rPr>
        <w:t>έλλειμα</w:t>
      </w:r>
      <w:proofErr w:type="spellEnd"/>
      <w:r w:rsidR="00B51984" w:rsidRPr="00466073">
        <w:rPr>
          <w:rFonts w:asciiTheme="minorHAnsi" w:hAnsiTheme="minorHAnsi" w:cstheme="minorHAnsi"/>
          <w:lang w:val="el-GR"/>
        </w:rPr>
        <w:t>)</w:t>
      </w:r>
      <w:r w:rsidR="00441E06" w:rsidRPr="00466073">
        <w:rPr>
          <w:rFonts w:asciiTheme="minorHAnsi" w:hAnsiTheme="minorHAnsi" w:cstheme="minorHAnsi"/>
          <w:lang w:val="el-GR"/>
        </w:rPr>
        <w:t xml:space="preserve">. </w:t>
      </w:r>
      <w:r w:rsidR="00B51984" w:rsidRPr="00466073">
        <w:rPr>
          <w:rFonts w:asciiTheme="minorHAnsi" w:hAnsiTheme="minorHAnsi" w:cstheme="minorHAnsi"/>
          <w:lang w:val="el-GR"/>
        </w:rPr>
        <w:t>Αναλυτικότερα και σ</w:t>
      </w:r>
      <w:r w:rsidR="009A115F" w:rsidRPr="00466073">
        <w:rPr>
          <w:rFonts w:asciiTheme="minorHAnsi" w:hAnsiTheme="minorHAnsi" w:cstheme="minorHAnsi"/>
          <w:lang w:val="el-GR"/>
        </w:rPr>
        <w:t>ύμφωνα με στοιχεία της Στατιστικής Υπηρεσίας της  Ουγγαρίας</w:t>
      </w:r>
      <w:r w:rsidR="00A314C2" w:rsidRPr="00466073">
        <w:rPr>
          <w:rFonts w:asciiTheme="minorHAnsi" w:hAnsiTheme="minorHAnsi" w:cstheme="minorHAnsi"/>
          <w:lang w:val="el-GR"/>
        </w:rPr>
        <w:t xml:space="preserve">, το πλεόνασμα του εμπορικού ισοζυγίου της χώρας έχει διευρυνθεί με περισσότερα από €3 </w:t>
      </w:r>
      <w:proofErr w:type="spellStart"/>
      <w:r w:rsidR="00A314C2" w:rsidRPr="00466073">
        <w:rPr>
          <w:rFonts w:asciiTheme="minorHAnsi" w:hAnsiTheme="minorHAnsi" w:cstheme="minorHAnsi"/>
          <w:lang w:val="el-GR"/>
        </w:rPr>
        <w:t>δι</w:t>
      </w:r>
      <w:r w:rsidR="004809F2" w:rsidRPr="00466073">
        <w:rPr>
          <w:rFonts w:asciiTheme="minorHAnsi" w:hAnsiTheme="minorHAnsi" w:cstheme="minorHAnsi"/>
          <w:lang w:val="el-GR"/>
        </w:rPr>
        <w:t>σεκ</w:t>
      </w:r>
      <w:proofErr w:type="spellEnd"/>
      <w:r w:rsidR="004809F2" w:rsidRPr="00466073">
        <w:rPr>
          <w:rFonts w:asciiTheme="minorHAnsi" w:hAnsiTheme="minorHAnsi" w:cstheme="minorHAnsi"/>
          <w:lang w:val="el-GR"/>
        </w:rPr>
        <w:t>.</w:t>
      </w:r>
      <w:r w:rsidR="00A314C2" w:rsidRPr="00466073">
        <w:rPr>
          <w:rFonts w:asciiTheme="minorHAnsi" w:hAnsiTheme="minorHAnsi" w:cstheme="minorHAnsi"/>
          <w:lang w:val="el-GR"/>
        </w:rPr>
        <w:t xml:space="preserve"> (55,8%), μεταξύ των ετών 2010 και 2015. Το 2016 η χώρα, με εξαγωγές συνολικής αξίας €93 δις και εισαγωγές αξίας €83,1 δις σημείωσε το υψηλότερο εμπορικό πλεόνασμα όλων των εποχών. </w:t>
      </w:r>
      <w:r w:rsidR="00646FAE" w:rsidRPr="00466073">
        <w:rPr>
          <w:rFonts w:asciiTheme="minorHAnsi" w:hAnsiTheme="minorHAnsi" w:cstheme="minorHAnsi"/>
          <w:color w:val="000000"/>
          <w:lang w:val="el-GR"/>
        </w:rPr>
        <w:t xml:space="preserve">Το </w:t>
      </w:r>
      <w:r w:rsidR="00A33A62" w:rsidRPr="00466073">
        <w:rPr>
          <w:rFonts w:asciiTheme="minorHAnsi" w:hAnsiTheme="minorHAnsi" w:cstheme="minorHAnsi"/>
          <w:color w:val="000000"/>
          <w:lang w:val="el-GR"/>
        </w:rPr>
        <w:t>2018 η αξία των εξαγωγών της χώρας συνεχίζοντας την ανοδική πορεία των τελευταίων ετών, άγγιξε σχεδόν τα €105 δις σημειώνοντας αύξηση 4,3% σε σχέση με το 2017 (έτος κατά το οποίο</w:t>
      </w:r>
      <w:r w:rsidR="00646FAE" w:rsidRPr="00466073">
        <w:rPr>
          <w:rFonts w:asciiTheme="minorHAnsi" w:hAnsiTheme="minorHAnsi" w:cstheme="minorHAnsi"/>
          <w:color w:val="000000"/>
          <w:lang w:val="el-GR"/>
        </w:rPr>
        <w:t xml:space="preserve"> η αξία των εξαγωγών της χώρας </w:t>
      </w:r>
      <w:r w:rsidR="00646FAE" w:rsidRPr="00466073">
        <w:rPr>
          <w:rFonts w:asciiTheme="minorHAnsi" w:hAnsiTheme="minorHAnsi" w:cstheme="minorHAnsi"/>
          <w:lang w:val="el-GR"/>
        </w:rPr>
        <w:t xml:space="preserve">ξεπέρασε για πρώτη φορά </w:t>
      </w:r>
      <w:r w:rsidR="00A33A62" w:rsidRPr="00466073">
        <w:rPr>
          <w:rFonts w:asciiTheme="minorHAnsi" w:hAnsiTheme="minorHAnsi" w:cstheme="minorHAnsi"/>
          <w:lang w:val="el-GR"/>
        </w:rPr>
        <w:t xml:space="preserve">το ψυχολογικό όριο των </w:t>
      </w:r>
      <w:r w:rsidR="00E0300F" w:rsidRPr="00466073">
        <w:rPr>
          <w:rFonts w:asciiTheme="minorHAnsi" w:hAnsiTheme="minorHAnsi" w:cstheme="minorHAnsi"/>
          <w:lang w:val="el-GR"/>
        </w:rPr>
        <w:t xml:space="preserve">€100 </w:t>
      </w:r>
      <w:proofErr w:type="spellStart"/>
      <w:r w:rsidR="00E0300F" w:rsidRPr="00466073">
        <w:rPr>
          <w:rFonts w:asciiTheme="minorHAnsi" w:hAnsiTheme="minorHAnsi" w:cstheme="minorHAnsi"/>
          <w:lang w:val="el-GR"/>
        </w:rPr>
        <w:t>δισεκ</w:t>
      </w:r>
      <w:proofErr w:type="spellEnd"/>
      <w:r w:rsidR="00A33A62" w:rsidRPr="00466073">
        <w:rPr>
          <w:rFonts w:asciiTheme="minorHAnsi" w:hAnsiTheme="minorHAnsi" w:cstheme="minorHAnsi"/>
          <w:lang w:val="el-GR"/>
        </w:rPr>
        <w:t xml:space="preserve">). </w:t>
      </w:r>
    </w:p>
    <w:p w:rsidR="00810267" w:rsidRPr="00466073" w:rsidRDefault="004809F2" w:rsidP="00646FAE">
      <w:pPr>
        <w:jc w:val="both"/>
        <w:rPr>
          <w:rFonts w:asciiTheme="minorHAnsi" w:hAnsiTheme="minorHAnsi" w:cstheme="minorHAnsi"/>
          <w:lang w:val="el-GR"/>
        </w:rPr>
      </w:pPr>
      <w:r w:rsidRPr="00466073">
        <w:rPr>
          <w:rFonts w:asciiTheme="minorHAnsi" w:hAnsiTheme="minorHAnsi" w:cstheme="minorHAnsi"/>
          <w:lang w:val="el-GR"/>
        </w:rPr>
        <w:t xml:space="preserve">Το 2019 η αξία των ουγγρικών εξαγωγών προϊόντων άγγιξε σχεδόν τα €109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ενώ η αξία των εισαγωγών ξεπέρασε τα €104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δημιουργώντας πλεόνασμα €4,9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Το ίδιο έτος η αξία εξαγωγών υπηρεσιών κυμάνθηκε στα €27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και των εισαγωγών υπηρεσιών στα €18,2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(πλεόνασμα  €8,8 </w:t>
      </w:r>
      <w:proofErr w:type="spellStart"/>
      <w:r w:rsidRPr="00466073">
        <w:rPr>
          <w:rFonts w:asciiTheme="minorHAnsi" w:hAnsiTheme="minorHAnsi" w:cstheme="minorHAnsi"/>
          <w:lang w:val="el-GR"/>
        </w:rPr>
        <w:t>δισεκ</w:t>
      </w:r>
      <w:proofErr w:type="spellEnd"/>
      <w:r w:rsidRPr="00466073">
        <w:rPr>
          <w:rFonts w:asciiTheme="minorHAnsi" w:hAnsiTheme="minorHAnsi" w:cstheme="minorHAnsi"/>
          <w:lang w:val="el-GR"/>
        </w:rPr>
        <w:t xml:space="preserve">.). </w:t>
      </w:r>
      <w:r w:rsidR="00810267" w:rsidRPr="00466073">
        <w:rPr>
          <w:rFonts w:asciiTheme="minorHAnsi" w:hAnsiTheme="minorHAnsi" w:cstheme="minorHAnsi"/>
          <w:lang w:val="el-GR"/>
        </w:rPr>
        <w:t>Το 202</w:t>
      </w:r>
      <w:r w:rsidR="00CD20F3" w:rsidRPr="00466073">
        <w:rPr>
          <w:rFonts w:asciiTheme="minorHAnsi" w:hAnsiTheme="minorHAnsi" w:cstheme="minorHAnsi"/>
          <w:lang w:val="el-GR"/>
        </w:rPr>
        <w:t>0</w:t>
      </w:r>
      <w:r w:rsidR="00810267" w:rsidRPr="00466073">
        <w:rPr>
          <w:rFonts w:asciiTheme="minorHAnsi" w:hAnsiTheme="minorHAnsi" w:cstheme="minorHAnsi"/>
          <w:lang w:val="el-GR"/>
        </w:rPr>
        <w:t xml:space="preserve">, εξαιτίας της πανδημίας και των περιοριστικών μέτρων που ελήφθησαν για την αντιμετώπισή της, </w:t>
      </w:r>
      <w:r w:rsidR="00E0300F" w:rsidRPr="00466073">
        <w:rPr>
          <w:rFonts w:asciiTheme="minorHAnsi" w:hAnsiTheme="minorHAnsi" w:cstheme="minorHAnsi"/>
          <w:lang w:val="el-GR"/>
        </w:rPr>
        <w:t xml:space="preserve">ο όγκος εμπορικών συναλλαγών μειώθηκε. Εντούτοις, οι εξαγωγές της χώρας παρέμειναν σε ικανοποιητικά επίπεδα, άνω του ορίου των €100 </w:t>
      </w:r>
      <w:proofErr w:type="spellStart"/>
      <w:r w:rsidR="00E0300F" w:rsidRPr="00466073">
        <w:rPr>
          <w:rFonts w:asciiTheme="minorHAnsi" w:hAnsiTheme="minorHAnsi" w:cstheme="minorHAnsi"/>
          <w:lang w:val="el-GR"/>
        </w:rPr>
        <w:t>δισεκ</w:t>
      </w:r>
      <w:proofErr w:type="spellEnd"/>
      <w:r w:rsidR="00E0300F" w:rsidRPr="00466073">
        <w:rPr>
          <w:rFonts w:asciiTheme="minorHAnsi" w:hAnsiTheme="minorHAnsi" w:cstheme="minorHAnsi"/>
          <w:lang w:val="el-GR"/>
        </w:rPr>
        <w:t xml:space="preserve">., ενώ η μείωση των εισαγωγών ενίσχυσε το εμπορικό πλεόνασμα. </w:t>
      </w:r>
      <w:r w:rsidR="00CD20F3" w:rsidRPr="00466073">
        <w:rPr>
          <w:rFonts w:asciiTheme="minorHAnsi" w:hAnsiTheme="minorHAnsi" w:cstheme="minorHAnsi"/>
        </w:rPr>
        <w:t>To</w:t>
      </w:r>
      <w:r w:rsidR="00CD20F3" w:rsidRPr="00466073">
        <w:rPr>
          <w:rFonts w:asciiTheme="minorHAnsi" w:hAnsiTheme="minorHAnsi" w:cstheme="minorHAnsi"/>
          <w:lang w:val="el-GR"/>
        </w:rPr>
        <w:t xml:space="preserve"> 2021</w:t>
      </w:r>
      <w:r w:rsidR="008F3AC6" w:rsidRPr="00466073">
        <w:rPr>
          <w:rFonts w:asciiTheme="minorHAnsi" w:hAnsiTheme="minorHAnsi" w:cstheme="minorHAnsi"/>
          <w:lang w:val="el-GR"/>
        </w:rPr>
        <w:t xml:space="preserve">, ναι μεν οι εξαγωγές </w:t>
      </w:r>
      <w:r w:rsidR="00CD20F3" w:rsidRPr="00466073">
        <w:rPr>
          <w:rFonts w:asciiTheme="minorHAnsi" w:hAnsiTheme="minorHAnsi" w:cstheme="minorHAnsi"/>
          <w:lang w:val="el-GR"/>
        </w:rPr>
        <w:t>της χώρα</w:t>
      </w:r>
      <w:r w:rsidR="008F3AC6" w:rsidRPr="00466073">
        <w:rPr>
          <w:rFonts w:asciiTheme="minorHAnsi" w:hAnsiTheme="minorHAnsi" w:cstheme="minorHAnsi"/>
          <w:lang w:val="el-GR"/>
        </w:rPr>
        <w:t>ς</w:t>
      </w:r>
      <w:r w:rsidR="00CD20F3" w:rsidRPr="00466073">
        <w:rPr>
          <w:rFonts w:asciiTheme="minorHAnsi" w:hAnsiTheme="minorHAnsi" w:cstheme="minorHAnsi"/>
          <w:lang w:val="el-GR"/>
        </w:rPr>
        <w:t xml:space="preserve"> </w:t>
      </w:r>
      <w:r w:rsidR="008F3AC6" w:rsidRPr="00466073">
        <w:rPr>
          <w:rFonts w:asciiTheme="minorHAnsi" w:hAnsiTheme="minorHAnsi" w:cstheme="minorHAnsi"/>
          <w:lang w:val="el-GR"/>
        </w:rPr>
        <w:t>σημείωσαν σημαντική αύξηση της τάξης του 14</w:t>
      </w:r>
      <w:proofErr w:type="gramStart"/>
      <w:r w:rsidR="008F3AC6" w:rsidRPr="00466073">
        <w:rPr>
          <w:rFonts w:asciiTheme="minorHAnsi" w:hAnsiTheme="minorHAnsi" w:cstheme="minorHAnsi"/>
          <w:lang w:val="el-GR"/>
        </w:rPr>
        <w:t>,2</w:t>
      </w:r>
      <w:proofErr w:type="gramEnd"/>
      <w:r w:rsidR="008F3AC6" w:rsidRPr="00466073">
        <w:rPr>
          <w:rFonts w:asciiTheme="minorHAnsi" w:hAnsiTheme="minorHAnsi" w:cstheme="minorHAnsi"/>
          <w:lang w:val="el-GR"/>
        </w:rPr>
        <w:t>%, ωστόσο σημειώθηκε αλματώδης αύξηση στις εισαγωγές (+ 19,0) το πλεόνασμα των εξωτερικών εμπορικών συν</w:t>
      </w:r>
      <w:r w:rsidR="00B51984" w:rsidRPr="00466073">
        <w:rPr>
          <w:rFonts w:asciiTheme="minorHAnsi" w:hAnsiTheme="minorHAnsi" w:cstheme="minorHAnsi"/>
          <w:lang w:val="el-GR"/>
        </w:rPr>
        <w:t>αλλαγών της χώρας, την τελευταί</w:t>
      </w:r>
      <w:r w:rsidR="008F3AC6" w:rsidRPr="00466073">
        <w:rPr>
          <w:rFonts w:asciiTheme="minorHAnsi" w:hAnsiTheme="minorHAnsi" w:cstheme="minorHAnsi"/>
          <w:lang w:val="el-GR"/>
        </w:rPr>
        <w:t>α εξαετία να παρουσιάζει μία φθίνουσα πορεία, κλείνοντας στα 1,9 δισ. ευρώ.</w:t>
      </w:r>
      <w:r w:rsidR="00B51984" w:rsidRPr="00466073">
        <w:rPr>
          <w:rFonts w:asciiTheme="minorHAnsi" w:hAnsiTheme="minorHAnsi" w:cstheme="minorHAnsi"/>
          <w:lang w:val="el-GR"/>
        </w:rPr>
        <w:t xml:space="preserve"> Το 2022, κυρίως εξαιτίας της </w:t>
      </w:r>
      <w:proofErr w:type="spellStart"/>
      <w:r w:rsidR="00B51984" w:rsidRPr="00466073">
        <w:rPr>
          <w:rFonts w:asciiTheme="minorHAnsi" w:hAnsiTheme="minorHAnsi" w:cstheme="minorHAnsi"/>
          <w:lang w:val="el-GR"/>
        </w:rPr>
        <w:t>ρωσο</w:t>
      </w:r>
      <w:proofErr w:type="spellEnd"/>
      <w:r w:rsidR="00B51984" w:rsidRPr="00466073">
        <w:rPr>
          <w:rFonts w:asciiTheme="minorHAnsi" w:hAnsiTheme="minorHAnsi" w:cstheme="minorHAnsi"/>
          <w:lang w:val="hu-HU"/>
        </w:rPr>
        <w:t>/</w:t>
      </w:r>
      <w:r w:rsidR="00B51984" w:rsidRPr="00466073">
        <w:rPr>
          <w:rFonts w:asciiTheme="minorHAnsi" w:hAnsiTheme="minorHAnsi" w:cstheme="minorHAnsi"/>
          <w:lang w:val="el-GR"/>
        </w:rPr>
        <w:t xml:space="preserve">ουκρανικής σύρραξης, αλλά και των κυρώσεων της Ε.Ε., η χώρα παρουσίασε ελλειμματικό εμπορικό ισοζύγιο της τάξης των €8,6 </w:t>
      </w:r>
      <w:proofErr w:type="spellStart"/>
      <w:r w:rsidR="00B51984" w:rsidRPr="00466073">
        <w:rPr>
          <w:rFonts w:asciiTheme="minorHAnsi" w:hAnsiTheme="minorHAnsi" w:cstheme="minorHAnsi"/>
          <w:lang w:val="el-GR"/>
        </w:rPr>
        <w:t>δισεκ</w:t>
      </w:r>
      <w:proofErr w:type="spellEnd"/>
      <w:r w:rsidR="00B51984" w:rsidRPr="00466073">
        <w:rPr>
          <w:rFonts w:asciiTheme="minorHAnsi" w:hAnsiTheme="minorHAnsi" w:cstheme="minorHAnsi"/>
          <w:lang w:val="el-GR"/>
        </w:rPr>
        <w:t>. (σημειώνουμε</w:t>
      </w:r>
      <w:r w:rsidR="009446BD" w:rsidRPr="00466073">
        <w:rPr>
          <w:rFonts w:asciiTheme="minorHAnsi" w:hAnsiTheme="minorHAnsi" w:cstheme="minorHAnsi"/>
          <w:lang w:val="el-GR"/>
        </w:rPr>
        <w:t>,</w:t>
      </w:r>
      <w:r w:rsidR="00B51984" w:rsidRPr="00466073">
        <w:rPr>
          <w:rFonts w:asciiTheme="minorHAnsi" w:hAnsiTheme="minorHAnsi" w:cstheme="minorHAnsi"/>
          <w:lang w:val="el-GR"/>
        </w:rPr>
        <w:t xml:space="preserve"> ότι η χώρα σχεδόν διπλασίασε τις εισαγωγές της σε προϊόντα ενέργειας </w:t>
      </w:r>
      <w:r w:rsidR="009446BD" w:rsidRPr="00466073">
        <w:rPr>
          <w:rFonts w:asciiTheme="minorHAnsi" w:hAnsiTheme="minorHAnsi" w:cstheme="minorHAnsi"/>
          <w:lang w:val="el-GR"/>
        </w:rPr>
        <w:t xml:space="preserve">- </w:t>
      </w:r>
      <w:r w:rsidR="00B51984" w:rsidRPr="00466073">
        <w:rPr>
          <w:rFonts w:asciiTheme="minorHAnsi" w:hAnsiTheme="minorHAnsi" w:cstheme="minorHAnsi"/>
          <w:lang w:val="el-GR"/>
        </w:rPr>
        <w:t>φ</w:t>
      </w:r>
      <w:r w:rsidR="00B51984" w:rsidRPr="00466073">
        <w:rPr>
          <w:rFonts w:asciiTheme="minorHAnsi" w:hAnsiTheme="minorHAnsi" w:cstheme="minorHAnsi"/>
          <w:lang w:val="hu-HU"/>
        </w:rPr>
        <w:t>/</w:t>
      </w:r>
      <w:r w:rsidR="00B51984" w:rsidRPr="00466073">
        <w:rPr>
          <w:rFonts w:asciiTheme="minorHAnsi" w:hAnsiTheme="minorHAnsi" w:cstheme="minorHAnsi"/>
          <w:lang w:val="el-GR"/>
        </w:rPr>
        <w:t xml:space="preserve">α, πετρέλαιο </w:t>
      </w:r>
      <w:proofErr w:type="spellStart"/>
      <w:r w:rsidR="00B51984" w:rsidRPr="00466073">
        <w:rPr>
          <w:rFonts w:asciiTheme="minorHAnsi" w:hAnsiTheme="minorHAnsi" w:cstheme="minorHAnsi"/>
          <w:lang w:val="el-GR"/>
        </w:rPr>
        <w:t>κ.ά</w:t>
      </w:r>
      <w:proofErr w:type="spellEnd"/>
      <w:r w:rsidR="009446BD" w:rsidRPr="00466073">
        <w:rPr>
          <w:rFonts w:asciiTheme="minorHAnsi" w:hAnsiTheme="minorHAnsi" w:cstheme="minorHAnsi"/>
          <w:lang w:val="el-GR"/>
        </w:rPr>
        <w:t xml:space="preserve"> .-</w:t>
      </w:r>
      <w:r w:rsidR="00B51984" w:rsidRPr="00466073">
        <w:rPr>
          <w:rFonts w:asciiTheme="minorHAnsi" w:hAnsiTheme="minorHAnsi" w:cstheme="minorHAnsi"/>
          <w:lang w:val="el-GR"/>
        </w:rPr>
        <w:t xml:space="preserve"> </w:t>
      </w:r>
      <w:r w:rsidR="009446BD" w:rsidRPr="00466073">
        <w:rPr>
          <w:rFonts w:asciiTheme="minorHAnsi" w:hAnsiTheme="minorHAnsi" w:cstheme="minorHAnsi"/>
          <w:lang w:val="el-GR"/>
        </w:rPr>
        <w:t xml:space="preserve">φτάνοντας σε αξίες τα €22,1 </w:t>
      </w:r>
      <w:proofErr w:type="spellStart"/>
      <w:r w:rsidR="009446BD" w:rsidRPr="00466073">
        <w:rPr>
          <w:rFonts w:asciiTheme="minorHAnsi" w:hAnsiTheme="minorHAnsi" w:cstheme="minorHAnsi"/>
          <w:lang w:val="el-GR"/>
        </w:rPr>
        <w:t>δισεκ</w:t>
      </w:r>
      <w:proofErr w:type="spellEnd"/>
      <w:r w:rsidR="009446BD" w:rsidRPr="00466073">
        <w:rPr>
          <w:rFonts w:asciiTheme="minorHAnsi" w:hAnsiTheme="minorHAnsi" w:cstheme="minorHAnsi"/>
          <w:lang w:val="el-GR"/>
        </w:rPr>
        <w:t xml:space="preserve">. - βλ. παρακάτω σχ. ανάλυση) </w:t>
      </w:r>
    </w:p>
    <w:p w:rsidR="00CD20F3" w:rsidRPr="00466073" w:rsidRDefault="00CD20F3" w:rsidP="00646FAE">
      <w:pPr>
        <w:jc w:val="both"/>
        <w:rPr>
          <w:rFonts w:asciiTheme="minorHAnsi" w:hAnsiTheme="minorHAnsi" w:cstheme="minorHAnsi"/>
          <w:lang w:val="el-GR"/>
        </w:rPr>
      </w:pPr>
    </w:p>
    <w:p w:rsidR="004D1276" w:rsidRDefault="004D1276" w:rsidP="00646FAE">
      <w:pPr>
        <w:widowControl w:val="0"/>
        <w:autoSpaceDE w:val="0"/>
        <w:autoSpaceDN w:val="0"/>
        <w:adjustRightInd w:val="0"/>
        <w:spacing w:line="292" w:lineRule="exact"/>
        <w:jc w:val="center"/>
        <w:rPr>
          <w:rFonts w:asciiTheme="minorHAnsi" w:hAnsiTheme="minorHAnsi" w:cstheme="minorHAnsi"/>
          <w:b/>
          <w:lang w:val="el-GR"/>
        </w:rPr>
      </w:pPr>
    </w:p>
    <w:p w:rsidR="004D1276" w:rsidRDefault="004D1276" w:rsidP="00646FAE">
      <w:pPr>
        <w:widowControl w:val="0"/>
        <w:autoSpaceDE w:val="0"/>
        <w:autoSpaceDN w:val="0"/>
        <w:adjustRightInd w:val="0"/>
        <w:spacing w:line="292" w:lineRule="exact"/>
        <w:jc w:val="center"/>
        <w:rPr>
          <w:rFonts w:asciiTheme="minorHAnsi" w:hAnsiTheme="minorHAnsi" w:cstheme="minorHAnsi"/>
          <w:b/>
          <w:lang w:val="el-GR"/>
        </w:rPr>
      </w:pPr>
    </w:p>
    <w:p w:rsidR="004D1276" w:rsidRDefault="004D1276" w:rsidP="00646FAE">
      <w:pPr>
        <w:widowControl w:val="0"/>
        <w:autoSpaceDE w:val="0"/>
        <w:autoSpaceDN w:val="0"/>
        <w:adjustRightInd w:val="0"/>
        <w:spacing w:line="292" w:lineRule="exact"/>
        <w:jc w:val="center"/>
        <w:rPr>
          <w:rFonts w:asciiTheme="minorHAnsi" w:hAnsiTheme="minorHAnsi" w:cstheme="minorHAnsi"/>
          <w:b/>
          <w:lang w:val="el-GR"/>
        </w:rPr>
      </w:pPr>
    </w:p>
    <w:p w:rsidR="004D1276" w:rsidRDefault="004D1276" w:rsidP="00646FAE">
      <w:pPr>
        <w:widowControl w:val="0"/>
        <w:autoSpaceDE w:val="0"/>
        <w:autoSpaceDN w:val="0"/>
        <w:adjustRightInd w:val="0"/>
        <w:spacing w:line="292" w:lineRule="exact"/>
        <w:jc w:val="center"/>
        <w:rPr>
          <w:rFonts w:asciiTheme="minorHAnsi" w:hAnsiTheme="minorHAnsi" w:cstheme="minorHAnsi"/>
          <w:b/>
          <w:lang w:val="el-GR"/>
        </w:rPr>
      </w:pPr>
    </w:p>
    <w:p w:rsidR="004D1276" w:rsidRDefault="004D1276" w:rsidP="00646FAE">
      <w:pPr>
        <w:widowControl w:val="0"/>
        <w:autoSpaceDE w:val="0"/>
        <w:autoSpaceDN w:val="0"/>
        <w:adjustRightInd w:val="0"/>
        <w:spacing w:line="292" w:lineRule="exact"/>
        <w:jc w:val="center"/>
        <w:rPr>
          <w:rFonts w:asciiTheme="minorHAnsi" w:hAnsiTheme="minorHAnsi" w:cstheme="minorHAnsi"/>
          <w:b/>
          <w:lang w:val="el-GR"/>
        </w:rPr>
      </w:pPr>
    </w:p>
    <w:p w:rsidR="004D1276" w:rsidRDefault="004D1276" w:rsidP="00646FAE">
      <w:pPr>
        <w:widowControl w:val="0"/>
        <w:autoSpaceDE w:val="0"/>
        <w:autoSpaceDN w:val="0"/>
        <w:adjustRightInd w:val="0"/>
        <w:spacing w:line="292" w:lineRule="exact"/>
        <w:jc w:val="center"/>
        <w:rPr>
          <w:rFonts w:asciiTheme="minorHAnsi" w:hAnsiTheme="minorHAnsi" w:cstheme="minorHAnsi"/>
          <w:b/>
          <w:lang w:val="el-GR"/>
        </w:rPr>
      </w:pPr>
    </w:p>
    <w:p w:rsidR="00646FAE" w:rsidRDefault="00646FAE" w:rsidP="00646FAE">
      <w:pPr>
        <w:widowControl w:val="0"/>
        <w:autoSpaceDE w:val="0"/>
        <w:autoSpaceDN w:val="0"/>
        <w:adjustRightInd w:val="0"/>
        <w:spacing w:line="292" w:lineRule="exact"/>
        <w:jc w:val="center"/>
        <w:rPr>
          <w:rFonts w:asciiTheme="minorHAnsi" w:hAnsiTheme="minorHAnsi" w:cstheme="minorHAnsi"/>
          <w:b/>
          <w:lang w:val="el-GR"/>
        </w:rPr>
      </w:pPr>
      <w:r w:rsidRPr="00466073">
        <w:rPr>
          <w:rFonts w:asciiTheme="minorHAnsi" w:hAnsiTheme="minorHAnsi" w:cstheme="minorHAnsi"/>
          <w:b/>
          <w:lang w:val="el-GR"/>
        </w:rPr>
        <w:t>Εξωτερικό Εμπόριο Ουγγαρίας</w:t>
      </w:r>
    </w:p>
    <w:p w:rsidR="004D1276" w:rsidRPr="00466073" w:rsidRDefault="004D1276" w:rsidP="00646FAE">
      <w:pPr>
        <w:widowControl w:val="0"/>
        <w:autoSpaceDE w:val="0"/>
        <w:autoSpaceDN w:val="0"/>
        <w:adjustRightInd w:val="0"/>
        <w:spacing w:line="292" w:lineRule="exact"/>
        <w:jc w:val="center"/>
        <w:rPr>
          <w:rFonts w:asciiTheme="minorHAnsi" w:hAnsiTheme="minorHAnsi" w:cstheme="minorHAnsi"/>
          <w:b/>
          <w:lang w:val="el-GR"/>
        </w:rPr>
      </w:pPr>
    </w:p>
    <w:tbl>
      <w:tblPr>
        <w:tblW w:w="10650" w:type="dxa"/>
        <w:jc w:val="center"/>
        <w:tblInd w:w="-34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350"/>
        <w:gridCol w:w="1680"/>
        <w:gridCol w:w="1504"/>
        <w:gridCol w:w="1536"/>
        <w:gridCol w:w="1536"/>
        <w:gridCol w:w="1536"/>
        <w:gridCol w:w="1508"/>
      </w:tblGrid>
      <w:tr w:rsidR="00616DC2" w:rsidRPr="00466073" w:rsidTr="0095699B">
        <w:trPr>
          <w:trHeight w:val="416"/>
          <w:jc w:val="center"/>
        </w:trPr>
        <w:tc>
          <w:tcPr>
            <w:tcW w:w="1350" w:type="dxa"/>
            <w:shd w:val="clear" w:color="auto" w:fill="D9D9D9" w:themeFill="background1" w:themeFillShade="D9"/>
            <w:vAlign w:val="center"/>
          </w:tcPr>
          <w:p w:rsidR="00616DC2" w:rsidRPr="00466073" w:rsidRDefault="00616DC2" w:rsidP="00CD20F3">
            <w:pPr>
              <w:spacing w:before="100" w:after="100"/>
              <w:ind w:left="-217"/>
              <w:jc w:val="center"/>
              <w:rPr>
                <w:rFonts w:asciiTheme="minorHAnsi" w:hAnsiTheme="minorHAnsi" w:cstheme="minorHAnsi"/>
                <w:bCs/>
                <w:color w:val="000000"/>
              </w:rPr>
            </w:pPr>
            <w:r w:rsidRPr="00466073">
              <w:rPr>
                <w:rFonts w:asciiTheme="minorHAnsi" w:hAnsiTheme="minorHAnsi" w:cstheme="minorHAnsi"/>
                <w:bCs/>
                <w:color w:val="000000"/>
              </w:rPr>
              <w:t>(</w:t>
            </w:r>
            <w:proofErr w:type="spellStart"/>
            <w:r w:rsidRPr="00466073">
              <w:rPr>
                <w:rFonts w:asciiTheme="minorHAnsi" w:hAnsiTheme="minorHAnsi" w:cstheme="minorHAnsi"/>
                <w:bCs/>
                <w:color w:val="000000"/>
              </w:rPr>
              <w:t>σε</w:t>
            </w:r>
            <w:proofErr w:type="spellEnd"/>
            <w:r w:rsidRPr="00466073">
              <w:rPr>
                <w:rFonts w:asciiTheme="minorHAnsi" w:hAnsiTheme="minorHAnsi" w:cstheme="minorHAnsi"/>
                <w:bCs/>
                <w:color w:val="000000"/>
              </w:rPr>
              <w:t xml:space="preserve"> €)</w:t>
            </w:r>
          </w:p>
        </w:tc>
        <w:tc>
          <w:tcPr>
            <w:tcW w:w="1680" w:type="dxa"/>
            <w:shd w:val="clear" w:color="auto" w:fill="D9D9D9" w:themeFill="background1" w:themeFillShade="D9"/>
          </w:tcPr>
          <w:p w:rsidR="00616DC2" w:rsidRPr="00466073" w:rsidRDefault="00616DC2" w:rsidP="009446BD">
            <w:pPr>
              <w:spacing w:before="100" w:after="100"/>
              <w:ind w:firstLine="60"/>
              <w:jc w:val="center"/>
              <w:rPr>
                <w:rFonts w:asciiTheme="minorHAnsi" w:hAnsiTheme="minorHAnsi" w:cstheme="minorHAnsi"/>
                <w:b/>
                <w:bCs/>
                <w:color w:val="000000"/>
              </w:rPr>
            </w:pPr>
            <w:r w:rsidRPr="00466073">
              <w:rPr>
                <w:rFonts w:asciiTheme="minorHAnsi" w:hAnsiTheme="minorHAnsi" w:cstheme="minorHAnsi"/>
                <w:b/>
                <w:bCs/>
                <w:color w:val="000000"/>
              </w:rPr>
              <w:t>2017</w:t>
            </w:r>
          </w:p>
        </w:tc>
        <w:tc>
          <w:tcPr>
            <w:tcW w:w="1504" w:type="dxa"/>
            <w:shd w:val="clear" w:color="auto" w:fill="D9D9D9" w:themeFill="background1" w:themeFillShade="D9"/>
            <w:vAlign w:val="center"/>
          </w:tcPr>
          <w:p w:rsidR="00616DC2" w:rsidRPr="00466073" w:rsidRDefault="00616DC2" w:rsidP="009446BD">
            <w:pPr>
              <w:spacing w:before="100" w:after="100"/>
              <w:ind w:firstLine="60"/>
              <w:jc w:val="center"/>
              <w:rPr>
                <w:rFonts w:asciiTheme="minorHAnsi" w:hAnsiTheme="minorHAnsi" w:cstheme="minorHAnsi"/>
                <w:b/>
                <w:bCs/>
                <w:color w:val="000000"/>
              </w:rPr>
            </w:pPr>
            <w:r w:rsidRPr="00466073">
              <w:rPr>
                <w:rFonts w:asciiTheme="minorHAnsi" w:hAnsiTheme="minorHAnsi" w:cstheme="minorHAnsi"/>
                <w:b/>
                <w:bCs/>
                <w:color w:val="000000"/>
              </w:rPr>
              <w:t>2018</w:t>
            </w:r>
          </w:p>
        </w:tc>
        <w:tc>
          <w:tcPr>
            <w:tcW w:w="1536" w:type="dxa"/>
            <w:shd w:val="clear" w:color="auto" w:fill="D9D9D9" w:themeFill="background1" w:themeFillShade="D9"/>
            <w:vAlign w:val="center"/>
          </w:tcPr>
          <w:p w:rsidR="00616DC2" w:rsidRPr="00466073" w:rsidRDefault="00616DC2" w:rsidP="009446BD">
            <w:pPr>
              <w:spacing w:before="100" w:after="100"/>
              <w:ind w:firstLine="60"/>
              <w:jc w:val="center"/>
              <w:rPr>
                <w:rFonts w:asciiTheme="minorHAnsi" w:hAnsiTheme="minorHAnsi" w:cstheme="minorHAnsi"/>
                <w:b/>
                <w:bCs/>
                <w:color w:val="000000"/>
                <w:lang w:val="el-GR"/>
              </w:rPr>
            </w:pPr>
            <w:r w:rsidRPr="00466073">
              <w:rPr>
                <w:rFonts w:asciiTheme="minorHAnsi" w:hAnsiTheme="minorHAnsi" w:cstheme="minorHAnsi"/>
                <w:b/>
                <w:bCs/>
                <w:color w:val="000000"/>
                <w:lang w:val="el-GR"/>
              </w:rPr>
              <w:t>2019</w:t>
            </w:r>
          </w:p>
        </w:tc>
        <w:tc>
          <w:tcPr>
            <w:tcW w:w="1536" w:type="dxa"/>
            <w:shd w:val="clear" w:color="auto" w:fill="D9D9D9" w:themeFill="background1" w:themeFillShade="D9"/>
            <w:vAlign w:val="center"/>
          </w:tcPr>
          <w:p w:rsidR="00616DC2" w:rsidRPr="00466073" w:rsidRDefault="00616DC2" w:rsidP="009446BD">
            <w:pPr>
              <w:spacing w:before="100" w:after="100"/>
              <w:ind w:firstLine="60"/>
              <w:jc w:val="center"/>
              <w:rPr>
                <w:rFonts w:asciiTheme="minorHAnsi" w:hAnsiTheme="minorHAnsi" w:cstheme="minorHAnsi"/>
                <w:b/>
                <w:bCs/>
                <w:color w:val="000000"/>
                <w:lang w:val="el-GR"/>
              </w:rPr>
            </w:pPr>
            <w:r w:rsidRPr="00466073">
              <w:rPr>
                <w:rFonts w:asciiTheme="minorHAnsi" w:hAnsiTheme="minorHAnsi" w:cstheme="minorHAnsi"/>
                <w:b/>
                <w:bCs/>
                <w:color w:val="000000"/>
                <w:lang w:val="el-GR"/>
              </w:rPr>
              <w:t>2020</w:t>
            </w:r>
          </w:p>
        </w:tc>
        <w:tc>
          <w:tcPr>
            <w:tcW w:w="1536" w:type="dxa"/>
            <w:shd w:val="clear" w:color="auto" w:fill="D9D9D9" w:themeFill="background1" w:themeFillShade="D9"/>
            <w:vAlign w:val="center"/>
          </w:tcPr>
          <w:p w:rsidR="00616DC2" w:rsidRPr="00466073" w:rsidRDefault="00616DC2" w:rsidP="009446BD">
            <w:pPr>
              <w:spacing w:before="100" w:after="100"/>
              <w:ind w:firstLine="60"/>
              <w:jc w:val="center"/>
              <w:rPr>
                <w:rFonts w:asciiTheme="minorHAnsi" w:hAnsiTheme="minorHAnsi" w:cstheme="minorHAnsi"/>
                <w:b/>
                <w:bCs/>
                <w:color w:val="000000"/>
              </w:rPr>
            </w:pPr>
            <w:r w:rsidRPr="00466073">
              <w:rPr>
                <w:rFonts w:asciiTheme="minorHAnsi" w:hAnsiTheme="minorHAnsi" w:cstheme="minorHAnsi"/>
                <w:b/>
                <w:bCs/>
                <w:color w:val="000000"/>
                <w:lang w:val="el-GR"/>
              </w:rPr>
              <w:t>202</w:t>
            </w:r>
            <w:r w:rsidRPr="00466073">
              <w:rPr>
                <w:rFonts w:asciiTheme="minorHAnsi" w:hAnsiTheme="minorHAnsi" w:cstheme="minorHAnsi"/>
                <w:b/>
                <w:bCs/>
                <w:color w:val="000000"/>
              </w:rPr>
              <w:t>1</w:t>
            </w:r>
          </w:p>
        </w:tc>
        <w:tc>
          <w:tcPr>
            <w:tcW w:w="1508" w:type="dxa"/>
            <w:shd w:val="clear" w:color="auto" w:fill="D9D9D9" w:themeFill="background1" w:themeFillShade="D9"/>
            <w:vAlign w:val="center"/>
          </w:tcPr>
          <w:p w:rsidR="00616DC2" w:rsidRPr="00466073" w:rsidRDefault="00616DC2" w:rsidP="00CD20F3">
            <w:pPr>
              <w:spacing w:before="100" w:after="100"/>
              <w:ind w:firstLine="60"/>
              <w:jc w:val="center"/>
              <w:rPr>
                <w:rFonts w:asciiTheme="minorHAnsi" w:hAnsiTheme="minorHAnsi" w:cstheme="minorHAnsi"/>
                <w:b/>
                <w:bCs/>
                <w:color w:val="000000"/>
                <w:lang w:val="el-GR"/>
              </w:rPr>
            </w:pPr>
            <w:r w:rsidRPr="00466073">
              <w:rPr>
                <w:rFonts w:asciiTheme="minorHAnsi" w:hAnsiTheme="minorHAnsi" w:cstheme="minorHAnsi"/>
                <w:b/>
                <w:bCs/>
                <w:color w:val="000000"/>
                <w:lang w:val="el-GR"/>
              </w:rPr>
              <w:t>2022</w:t>
            </w:r>
          </w:p>
        </w:tc>
      </w:tr>
      <w:tr w:rsidR="00616DC2" w:rsidRPr="00466073" w:rsidTr="0095699B">
        <w:trPr>
          <w:trHeight w:val="245"/>
          <w:jc w:val="center"/>
        </w:trPr>
        <w:tc>
          <w:tcPr>
            <w:tcW w:w="1350" w:type="dxa"/>
            <w:vAlign w:val="center"/>
          </w:tcPr>
          <w:p w:rsidR="00616DC2" w:rsidRPr="00466073" w:rsidRDefault="00616DC2" w:rsidP="00CD20F3">
            <w:pPr>
              <w:ind w:left="-217"/>
              <w:jc w:val="center"/>
              <w:rPr>
                <w:rFonts w:asciiTheme="minorHAnsi" w:hAnsiTheme="minorHAnsi" w:cstheme="minorHAnsi"/>
              </w:rPr>
            </w:pPr>
            <w:r w:rsidRPr="00466073">
              <w:rPr>
                <w:rFonts w:asciiTheme="minorHAnsi" w:hAnsiTheme="minorHAnsi" w:cstheme="minorHAnsi"/>
              </w:rPr>
              <w:t>ΕΞΑΓΩΓΕΣ</w:t>
            </w:r>
          </w:p>
        </w:tc>
        <w:tc>
          <w:tcPr>
            <w:tcW w:w="1680" w:type="dxa"/>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rPr>
              <w:t>100.580.761.798</w:t>
            </w:r>
          </w:p>
        </w:tc>
        <w:tc>
          <w:tcPr>
            <w:tcW w:w="1504" w:type="dxa"/>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rPr>
              <w:t>104.884.820.307</w:t>
            </w:r>
          </w:p>
        </w:tc>
        <w:tc>
          <w:tcPr>
            <w:tcW w:w="1536" w:type="dxa"/>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rPr>
              <w:t>108</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929</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180</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879</w:t>
            </w:r>
          </w:p>
        </w:tc>
        <w:tc>
          <w:tcPr>
            <w:tcW w:w="1536" w:type="dxa"/>
            <w:vAlign w:val="center"/>
          </w:tcPr>
          <w:p w:rsidR="00616DC2" w:rsidRPr="0095699B" w:rsidRDefault="00616DC2" w:rsidP="009446BD">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104.489.905.876</w:t>
            </w:r>
          </w:p>
        </w:tc>
        <w:tc>
          <w:tcPr>
            <w:tcW w:w="1536" w:type="dxa"/>
            <w:vAlign w:val="center"/>
          </w:tcPr>
          <w:p w:rsidR="00616DC2" w:rsidRPr="0095699B" w:rsidRDefault="00616DC2" w:rsidP="009446BD">
            <w:pPr>
              <w:ind w:firstLine="60"/>
              <w:jc w:val="center"/>
              <w:rPr>
                <w:rFonts w:asciiTheme="minorHAnsi" w:hAnsiTheme="minorHAnsi" w:cstheme="minorHAnsi"/>
                <w:color w:val="000000" w:themeColor="text1"/>
                <w:sz w:val="16"/>
                <w:szCs w:val="16"/>
                <w:lang w:val="el-GR"/>
              </w:rPr>
            </w:pPr>
            <w:r w:rsidRPr="0095699B">
              <w:rPr>
                <w:rFonts w:asciiTheme="minorHAnsi" w:hAnsiTheme="minorHAnsi" w:cstheme="minorHAnsi"/>
                <w:color w:val="000000" w:themeColor="text1"/>
                <w:sz w:val="16"/>
                <w:szCs w:val="16"/>
                <w:shd w:val="clear" w:color="auto" w:fill="FFFFFF"/>
              </w:rPr>
              <w:t>119.309.345.697</w:t>
            </w:r>
          </w:p>
        </w:tc>
        <w:tc>
          <w:tcPr>
            <w:tcW w:w="1508" w:type="dxa"/>
            <w:vAlign w:val="center"/>
          </w:tcPr>
          <w:p w:rsidR="00616DC2" w:rsidRPr="0095699B" w:rsidRDefault="00616DC2" w:rsidP="00CD20F3">
            <w:pPr>
              <w:ind w:firstLine="60"/>
              <w:jc w:val="center"/>
              <w:rPr>
                <w:rFonts w:asciiTheme="minorHAnsi" w:hAnsiTheme="minorHAnsi" w:cstheme="minorHAnsi"/>
                <w:sz w:val="16"/>
                <w:szCs w:val="16"/>
                <w:lang w:val="el-GR"/>
              </w:rPr>
            </w:pPr>
            <w:r w:rsidRPr="0095699B">
              <w:rPr>
                <w:rFonts w:asciiTheme="minorHAnsi" w:hAnsiTheme="minorHAnsi" w:cstheme="minorHAnsi"/>
                <w:color w:val="3C3C3C"/>
                <w:sz w:val="16"/>
                <w:szCs w:val="16"/>
                <w:shd w:val="clear" w:color="auto" w:fill="FFFFFF"/>
              </w:rPr>
              <w:t>142 188 696 704</w:t>
            </w:r>
          </w:p>
        </w:tc>
      </w:tr>
      <w:tr w:rsidR="00616DC2" w:rsidRPr="00466073" w:rsidTr="0095699B">
        <w:trPr>
          <w:trHeight w:val="245"/>
          <w:jc w:val="center"/>
        </w:trPr>
        <w:tc>
          <w:tcPr>
            <w:tcW w:w="1350" w:type="dxa"/>
            <w:vAlign w:val="center"/>
          </w:tcPr>
          <w:p w:rsidR="00616DC2" w:rsidRPr="00466073" w:rsidRDefault="00616DC2" w:rsidP="00CD20F3">
            <w:pPr>
              <w:ind w:left="-217"/>
              <w:jc w:val="center"/>
              <w:rPr>
                <w:rFonts w:asciiTheme="minorHAnsi" w:hAnsiTheme="minorHAnsi" w:cstheme="minorHAnsi"/>
              </w:rPr>
            </w:pPr>
            <w:r w:rsidRPr="00466073">
              <w:rPr>
                <w:rFonts w:asciiTheme="minorHAnsi" w:hAnsiTheme="minorHAnsi" w:cstheme="minorHAnsi"/>
              </w:rPr>
              <w:t>ΕΙΣΑΓΩΓΕΣ</w:t>
            </w:r>
          </w:p>
        </w:tc>
        <w:tc>
          <w:tcPr>
            <w:tcW w:w="1680" w:type="dxa"/>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rPr>
              <w:t>92.498.540.320</w:t>
            </w:r>
          </w:p>
        </w:tc>
        <w:tc>
          <w:tcPr>
            <w:tcW w:w="1504" w:type="dxa"/>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rPr>
              <w:t>99.327.334.824</w:t>
            </w:r>
          </w:p>
        </w:tc>
        <w:tc>
          <w:tcPr>
            <w:tcW w:w="1536" w:type="dxa"/>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rPr>
              <w:t>104</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074</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445</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581</w:t>
            </w:r>
          </w:p>
        </w:tc>
        <w:tc>
          <w:tcPr>
            <w:tcW w:w="1536" w:type="dxa"/>
            <w:vAlign w:val="center"/>
          </w:tcPr>
          <w:p w:rsidR="00616DC2" w:rsidRPr="0095699B" w:rsidRDefault="00616DC2" w:rsidP="009446BD">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98.694.881.584</w:t>
            </w:r>
          </w:p>
        </w:tc>
        <w:tc>
          <w:tcPr>
            <w:tcW w:w="1536" w:type="dxa"/>
            <w:vAlign w:val="center"/>
          </w:tcPr>
          <w:p w:rsidR="00616DC2" w:rsidRPr="0095699B" w:rsidRDefault="00616DC2" w:rsidP="009446BD">
            <w:pPr>
              <w:ind w:firstLine="60"/>
              <w:jc w:val="center"/>
              <w:rPr>
                <w:rFonts w:asciiTheme="minorHAnsi" w:hAnsiTheme="minorHAnsi" w:cstheme="minorHAnsi"/>
                <w:color w:val="000000" w:themeColor="text1"/>
                <w:sz w:val="16"/>
                <w:szCs w:val="16"/>
                <w:lang w:val="el-GR"/>
              </w:rPr>
            </w:pPr>
            <w:r w:rsidRPr="0095699B">
              <w:rPr>
                <w:rFonts w:asciiTheme="minorHAnsi" w:hAnsiTheme="minorHAnsi" w:cstheme="minorHAnsi"/>
                <w:color w:val="000000" w:themeColor="text1"/>
                <w:sz w:val="16"/>
                <w:szCs w:val="16"/>
                <w:shd w:val="clear" w:color="auto" w:fill="FFFFFF"/>
              </w:rPr>
              <w:t>117.412.550.798</w:t>
            </w:r>
          </w:p>
        </w:tc>
        <w:tc>
          <w:tcPr>
            <w:tcW w:w="1508" w:type="dxa"/>
            <w:vAlign w:val="center"/>
          </w:tcPr>
          <w:p w:rsidR="00616DC2" w:rsidRPr="0095699B" w:rsidRDefault="00616DC2" w:rsidP="00CD20F3">
            <w:pPr>
              <w:ind w:firstLine="60"/>
              <w:jc w:val="center"/>
              <w:rPr>
                <w:rFonts w:asciiTheme="minorHAnsi" w:hAnsiTheme="minorHAnsi" w:cstheme="minorHAnsi"/>
                <w:sz w:val="16"/>
                <w:szCs w:val="16"/>
                <w:lang w:val="el-GR"/>
              </w:rPr>
            </w:pPr>
            <w:r w:rsidRPr="0095699B">
              <w:rPr>
                <w:rFonts w:asciiTheme="minorHAnsi" w:hAnsiTheme="minorHAnsi" w:cstheme="minorHAnsi"/>
                <w:color w:val="3C3C3C"/>
                <w:sz w:val="16"/>
                <w:szCs w:val="16"/>
                <w:shd w:val="clear" w:color="auto" w:fill="FFFFFF"/>
              </w:rPr>
              <w:t>150 781 194 309</w:t>
            </w:r>
          </w:p>
        </w:tc>
      </w:tr>
      <w:tr w:rsidR="00616DC2" w:rsidRPr="00466073" w:rsidTr="0095699B">
        <w:trPr>
          <w:trHeight w:val="488"/>
          <w:jc w:val="center"/>
        </w:trPr>
        <w:tc>
          <w:tcPr>
            <w:tcW w:w="1350" w:type="dxa"/>
            <w:vAlign w:val="center"/>
          </w:tcPr>
          <w:p w:rsidR="00616DC2" w:rsidRPr="00466073" w:rsidRDefault="00616DC2" w:rsidP="00CD20F3">
            <w:pPr>
              <w:ind w:left="-217"/>
              <w:jc w:val="center"/>
              <w:rPr>
                <w:rFonts w:asciiTheme="minorHAnsi" w:hAnsiTheme="minorHAnsi" w:cstheme="minorHAnsi"/>
                <w:lang w:val="el-GR"/>
              </w:rPr>
            </w:pPr>
            <w:r w:rsidRPr="00466073">
              <w:rPr>
                <w:rFonts w:asciiTheme="minorHAnsi" w:hAnsiTheme="minorHAnsi" w:cstheme="minorHAnsi"/>
                <w:lang w:val="el-GR"/>
              </w:rPr>
              <w:t>ΟΓΚΟΣ ΕΜΠΟΡΙΟΥ</w:t>
            </w:r>
          </w:p>
        </w:tc>
        <w:tc>
          <w:tcPr>
            <w:tcW w:w="1680" w:type="dxa"/>
            <w:vAlign w:val="center"/>
          </w:tcPr>
          <w:p w:rsidR="00616DC2" w:rsidRPr="0095699B" w:rsidRDefault="00616DC2" w:rsidP="009446BD">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193.079.302.118</w:t>
            </w:r>
          </w:p>
        </w:tc>
        <w:tc>
          <w:tcPr>
            <w:tcW w:w="1504" w:type="dxa"/>
            <w:vAlign w:val="center"/>
          </w:tcPr>
          <w:p w:rsidR="00616DC2" w:rsidRPr="0095699B" w:rsidRDefault="00616DC2" w:rsidP="009446BD">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204.212.155.131</w:t>
            </w:r>
          </w:p>
        </w:tc>
        <w:tc>
          <w:tcPr>
            <w:tcW w:w="1536" w:type="dxa"/>
            <w:vAlign w:val="center"/>
          </w:tcPr>
          <w:p w:rsidR="00616DC2" w:rsidRPr="0095699B" w:rsidRDefault="00616DC2" w:rsidP="009446BD">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213.003.626.460</w:t>
            </w:r>
          </w:p>
        </w:tc>
        <w:tc>
          <w:tcPr>
            <w:tcW w:w="1536" w:type="dxa"/>
            <w:vAlign w:val="center"/>
          </w:tcPr>
          <w:p w:rsidR="00616DC2" w:rsidRPr="0095699B" w:rsidRDefault="00616DC2" w:rsidP="009446BD">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203.184.787.460</w:t>
            </w:r>
          </w:p>
        </w:tc>
        <w:tc>
          <w:tcPr>
            <w:tcW w:w="1536" w:type="dxa"/>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rPr>
              <w:t>236.721.896.495</w:t>
            </w:r>
          </w:p>
        </w:tc>
        <w:tc>
          <w:tcPr>
            <w:tcW w:w="1508" w:type="dxa"/>
            <w:vAlign w:val="center"/>
          </w:tcPr>
          <w:p w:rsidR="00616DC2" w:rsidRPr="0095699B" w:rsidRDefault="00616DC2" w:rsidP="00CD20F3">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292.969.891.013</w:t>
            </w:r>
          </w:p>
        </w:tc>
      </w:tr>
      <w:tr w:rsidR="00616DC2" w:rsidRPr="00466073" w:rsidTr="0095699B">
        <w:trPr>
          <w:trHeight w:val="488"/>
          <w:jc w:val="center"/>
        </w:trPr>
        <w:tc>
          <w:tcPr>
            <w:tcW w:w="1350" w:type="dxa"/>
            <w:shd w:val="clear" w:color="auto" w:fill="FFFFFF"/>
            <w:vAlign w:val="center"/>
          </w:tcPr>
          <w:p w:rsidR="00616DC2" w:rsidRPr="00466073" w:rsidRDefault="00616DC2" w:rsidP="00CD20F3">
            <w:pPr>
              <w:ind w:left="-217"/>
              <w:jc w:val="center"/>
              <w:rPr>
                <w:rFonts w:asciiTheme="minorHAnsi" w:hAnsiTheme="minorHAnsi" w:cstheme="minorHAnsi"/>
                <w:b/>
                <w:bCs/>
              </w:rPr>
            </w:pPr>
            <w:r w:rsidRPr="00466073">
              <w:rPr>
                <w:rFonts w:asciiTheme="minorHAnsi" w:hAnsiTheme="minorHAnsi" w:cstheme="minorHAnsi"/>
                <w:b/>
                <w:bCs/>
              </w:rPr>
              <w:t>ΕΜΠΟΡΙΚΟ ΙΣΟΖΥΓΙΟ</w:t>
            </w:r>
          </w:p>
        </w:tc>
        <w:tc>
          <w:tcPr>
            <w:tcW w:w="1680" w:type="dxa"/>
            <w:shd w:val="clear" w:color="auto" w:fill="FFFFFF"/>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lang w:val="el-GR"/>
              </w:rPr>
              <w:t xml:space="preserve">+ </w:t>
            </w:r>
            <w:r w:rsidRPr="0095699B">
              <w:rPr>
                <w:rFonts w:asciiTheme="minorHAnsi" w:hAnsiTheme="minorHAnsi" w:cstheme="minorHAnsi"/>
                <w:sz w:val="16"/>
                <w:szCs w:val="16"/>
              </w:rPr>
              <w:t>8.082.221.478</w:t>
            </w:r>
          </w:p>
        </w:tc>
        <w:tc>
          <w:tcPr>
            <w:tcW w:w="1504" w:type="dxa"/>
            <w:shd w:val="clear" w:color="auto" w:fill="FFFFFF"/>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lang w:val="el-GR"/>
              </w:rPr>
              <w:t xml:space="preserve">+ </w:t>
            </w:r>
            <w:r w:rsidRPr="0095699B">
              <w:rPr>
                <w:rFonts w:asciiTheme="minorHAnsi" w:hAnsiTheme="minorHAnsi" w:cstheme="minorHAnsi"/>
                <w:sz w:val="16"/>
                <w:szCs w:val="16"/>
              </w:rPr>
              <w:t>5.557.485.483</w:t>
            </w:r>
          </w:p>
        </w:tc>
        <w:tc>
          <w:tcPr>
            <w:tcW w:w="1536" w:type="dxa"/>
            <w:shd w:val="clear" w:color="auto" w:fill="FFFFFF"/>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lang w:val="el-GR"/>
              </w:rPr>
              <w:t xml:space="preserve">+ </w:t>
            </w:r>
            <w:r w:rsidRPr="0095699B">
              <w:rPr>
                <w:rFonts w:asciiTheme="minorHAnsi" w:hAnsiTheme="minorHAnsi" w:cstheme="minorHAnsi"/>
                <w:sz w:val="16"/>
                <w:szCs w:val="16"/>
              </w:rPr>
              <w:t>4.854.735.298</w:t>
            </w:r>
          </w:p>
        </w:tc>
        <w:tc>
          <w:tcPr>
            <w:tcW w:w="1536" w:type="dxa"/>
            <w:shd w:val="clear" w:color="auto" w:fill="FFFFFF"/>
            <w:vAlign w:val="center"/>
          </w:tcPr>
          <w:p w:rsidR="00616DC2" w:rsidRPr="0095699B" w:rsidRDefault="00616DC2" w:rsidP="009446BD">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+ 5.795.024.292</w:t>
            </w:r>
          </w:p>
        </w:tc>
        <w:tc>
          <w:tcPr>
            <w:tcW w:w="1536" w:type="dxa"/>
            <w:shd w:val="clear" w:color="auto" w:fill="FFFFFF"/>
            <w:vAlign w:val="center"/>
          </w:tcPr>
          <w:p w:rsidR="00616DC2" w:rsidRPr="0095699B" w:rsidRDefault="00616DC2" w:rsidP="009446BD">
            <w:pPr>
              <w:ind w:firstLine="60"/>
              <w:jc w:val="center"/>
              <w:rPr>
                <w:rFonts w:asciiTheme="minorHAnsi" w:hAnsiTheme="minorHAnsi" w:cstheme="minorHAnsi"/>
                <w:sz w:val="16"/>
                <w:szCs w:val="16"/>
              </w:rPr>
            </w:pPr>
            <w:r w:rsidRPr="0095699B">
              <w:rPr>
                <w:rFonts w:asciiTheme="minorHAnsi" w:hAnsiTheme="minorHAnsi" w:cstheme="minorHAnsi"/>
                <w:sz w:val="16"/>
                <w:szCs w:val="16"/>
                <w:lang w:val="el-GR"/>
              </w:rPr>
              <w:t xml:space="preserve">+ </w:t>
            </w:r>
            <w:r w:rsidRPr="0095699B">
              <w:rPr>
                <w:rFonts w:asciiTheme="minorHAnsi" w:hAnsiTheme="minorHAnsi" w:cstheme="minorHAnsi"/>
                <w:sz w:val="16"/>
                <w:szCs w:val="16"/>
              </w:rPr>
              <w:t>1</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896</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794</w:t>
            </w:r>
            <w:r w:rsidRPr="0095699B">
              <w:rPr>
                <w:rFonts w:asciiTheme="minorHAnsi" w:hAnsiTheme="minorHAnsi" w:cstheme="minorHAnsi"/>
                <w:sz w:val="16"/>
                <w:szCs w:val="16"/>
                <w:lang w:val="el-GR"/>
              </w:rPr>
              <w:t>.</w:t>
            </w:r>
            <w:r w:rsidRPr="0095699B">
              <w:rPr>
                <w:rFonts w:asciiTheme="minorHAnsi" w:hAnsiTheme="minorHAnsi" w:cstheme="minorHAnsi"/>
                <w:sz w:val="16"/>
                <w:szCs w:val="16"/>
              </w:rPr>
              <w:t>899</w:t>
            </w:r>
          </w:p>
        </w:tc>
        <w:tc>
          <w:tcPr>
            <w:tcW w:w="1508" w:type="dxa"/>
            <w:shd w:val="clear" w:color="auto" w:fill="FFFFFF"/>
            <w:vAlign w:val="center"/>
          </w:tcPr>
          <w:p w:rsidR="00616DC2" w:rsidRPr="0095699B" w:rsidRDefault="00616DC2" w:rsidP="00CD20F3">
            <w:pPr>
              <w:ind w:firstLine="60"/>
              <w:jc w:val="center"/>
              <w:rPr>
                <w:rFonts w:asciiTheme="minorHAnsi" w:hAnsiTheme="minorHAnsi" w:cstheme="minorHAnsi"/>
                <w:sz w:val="16"/>
                <w:szCs w:val="16"/>
                <w:lang w:val="el-GR"/>
              </w:rPr>
            </w:pPr>
            <w:r w:rsidRPr="0095699B">
              <w:rPr>
                <w:rFonts w:asciiTheme="minorHAnsi" w:hAnsiTheme="minorHAnsi" w:cstheme="minorHAnsi"/>
                <w:sz w:val="16"/>
                <w:szCs w:val="16"/>
                <w:lang w:val="el-GR"/>
              </w:rPr>
              <w:t>- 8.592.497.605</w:t>
            </w:r>
          </w:p>
        </w:tc>
      </w:tr>
    </w:tbl>
    <w:p w:rsidR="00646FAE" w:rsidRPr="00466073" w:rsidRDefault="00646FAE" w:rsidP="00646FAE">
      <w:pPr>
        <w:widowControl w:val="0"/>
        <w:autoSpaceDE w:val="0"/>
        <w:autoSpaceDN w:val="0"/>
        <w:adjustRightInd w:val="0"/>
        <w:spacing w:line="233" w:lineRule="auto"/>
        <w:ind w:left="-270" w:firstLine="270"/>
        <w:rPr>
          <w:rFonts w:asciiTheme="minorHAnsi" w:hAnsiTheme="minorHAnsi" w:cstheme="minorHAnsi"/>
          <w:bCs/>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 xml:space="preserve">. </w:t>
      </w:r>
    </w:p>
    <w:p w:rsidR="00A314C2" w:rsidRPr="00466073" w:rsidRDefault="00A314C2" w:rsidP="007D6B64">
      <w:pPr>
        <w:jc w:val="both"/>
        <w:rPr>
          <w:rFonts w:asciiTheme="minorHAnsi" w:hAnsiTheme="minorHAnsi" w:cstheme="minorHAnsi"/>
          <w:lang w:val="el-GR"/>
        </w:rPr>
      </w:pPr>
    </w:p>
    <w:p w:rsidR="00254182" w:rsidRPr="00466073" w:rsidRDefault="00441E06" w:rsidP="009445E5">
      <w:pPr>
        <w:jc w:val="both"/>
        <w:rPr>
          <w:rFonts w:asciiTheme="minorHAnsi" w:hAnsiTheme="minorHAnsi" w:cstheme="minorHAnsi"/>
          <w:lang w:val="el-GR"/>
        </w:rPr>
      </w:pPr>
      <w:r w:rsidRPr="00466073">
        <w:rPr>
          <w:rFonts w:asciiTheme="minorHAnsi" w:hAnsiTheme="minorHAnsi" w:cstheme="minorHAnsi"/>
          <w:lang w:val="el-GR"/>
        </w:rPr>
        <w:t xml:space="preserve">Οι εμπορικές συναλλαγές της Ουγγαρίας προσανατολίζονται, τόσο σε επίπεδο εξαγωγών όσο και σε επίπεδο εισαγωγών, </w:t>
      </w:r>
      <w:r w:rsidR="003A45F7" w:rsidRPr="00466073">
        <w:rPr>
          <w:rFonts w:asciiTheme="minorHAnsi" w:hAnsiTheme="minorHAnsi" w:cstheme="minorHAnsi"/>
          <w:lang w:val="el-GR"/>
        </w:rPr>
        <w:t xml:space="preserve">κυρίως </w:t>
      </w:r>
      <w:r w:rsidRPr="00466073">
        <w:rPr>
          <w:rFonts w:asciiTheme="minorHAnsi" w:hAnsiTheme="minorHAnsi" w:cstheme="minorHAnsi"/>
          <w:lang w:val="el-GR"/>
        </w:rPr>
        <w:t xml:space="preserve">προς τα υπόλοιπα κράτη-μέλη της Ε.Ε. Ποσοστό περίπου 80% επί του συνόλου των ουγγρικών εξαγωγών και 75% επί του συνόλου των ουγγρικών εισαγωγών αποτελούν ενδοκοινοτικές συναλλαγές. </w:t>
      </w:r>
      <w:r w:rsidR="00734794" w:rsidRPr="00466073">
        <w:rPr>
          <w:rFonts w:asciiTheme="minorHAnsi" w:hAnsiTheme="minorHAnsi" w:cstheme="minorHAnsi"/>
          <w:lang w:val="el-GR"/>
        </w:rPr>
        <w:t>Κυρίαρχη θέση ως εμπορικός εταίρος της Ουγγαρίας</w:t>
      </w:r>
      <w:r w:rsidR="007E639D" w:rsidRPr="00466073">
        <w:rPr>
          <w:rFonts w:asciiTheme="minorHAnsi" w:hAnsiTheme="minorHAnsi" w:cstheme="minorHAnsi"/>
          <w:lang w:val="el-GR"/>
        </w:rPr>
        <w:t>,</w:t>
      </w:r>
      <w:r w:rsidR="008F3AC6" w:rsidRPr="00466073">
        <w:rPr>
          <w:rFonts w:asciiTheme="minorHAnsi" w:hAnsiTheme="minorHAnsi" w:cstheme="minorHAnsi"/>
          <w:lang w:val="el-GR"/>
        </w:rPr>
        <w:t xml:space="preserve"> κατέχει η Γερμανία (2</w:t>
      </w:r>
      <w:r w:rsidR="0086395E" w:rsidRPr="00466073">
        <w:rPr>
          <w:rFonts w:asciiTheme="minorHAnsi" w:hAnsiTheme="minorHAnsi" w:cstheme="minorHAnsi"/>
          <w:lang w:val="hu-HU"/>
        </w:rPr>
        <w:t>6</w:t>
      </w:r>
      <w:r w:rsidR="0086395E" w:rsidRPr="00466073">
        <w:rPr>
          <w:rFonts w:asciiTheme="minorHAnsi" w:hAnsiTheme="minorHAnsi" w:cstheme="minorHAnsi"/>
          <w:lang w:val="el-GR"/>
        </w:rPr>
        <w:t>,</w:t>
      </w:r>
      <w:r w:rsidR="0086395E" w:rsidRPr="00466073">
        <w:rPr>
          <w:rFonts w:asciiTheme="minorHAnsi" w:hAnsiTheme="minorHAnsi" w:cstheme="minorHAnsi"/>
          <w:lang w:val="hu-HU"/>
        </w:rPr>
        <w:t>53</w:t>
      </w:r>
      <w:r w:rsidR="00734794" w:rsidRPr="00466073">
        <w:rPr>
          <w:rFonts w:asciiTheme="minorHAnsi" w:hAnsiTheme="minorHAnsi" w:cstheme="minorHAnsi"/>
          <w:lang w:val="el-GR"/>
        </w:rPr>
        <w:t xml:space="preserve">% επί των συνολικών εμπορικών συναλλαγών της Ουγγαρίας). </w:t>
      </w:r>
      <w:r w:rsidR="00254182" w:rsidRPr="00466073">
        <w:rPr>
          <w:rFonts w:asciiTheme="minorHAnsi" w:hAnsiTheme="minorHAnsi" w:cstheme="minorHAnsi"/>
          <w:lang w:val="el-GR"/>
        </w:rPr>
        <w:t>Όσον αφορά στις ουγγρικές εξαγωγές, σημαντικότεροι εταίροι (πέραν της Γερμανίας) είναι</w:t>
      </w:r>
      <w:r w:rsidR="00567B08" w:rsidRPr="00466073">
        <w:rPr>
          <w:rFonts w:asciiTheme="minorHAnsi" w:hAnsiTheme="minorHAnsi" w:cstheme="minorHAnsi"/>
          <w:lang w:val="el-GR"/>
        </w:rPr>
        <w:t xml:space="preserve"> κατά σειρά</w:t>
      </w:r>
      <w:r w:rsidR="00254182" w:rsidRPr="00466073">
        <w:rPr>
          <w:rFonts w:asciiTheme="minorHAnsi" w:hAnsiTheme="minorHAnsi" w:cstheme="minorHAnsi"/>
          <w:lang w:val="el-GR"/>
        </w:rPr>
        <w:t xml:space="preserve"> οι: Σλοβακία, </w:t>
      </w:r>
      <w:r w:rsidR="0086395E" w:rsidRPr="00466073">
        <w:rPr>
          <w:rFonts w:asciiTheme="minorHAnsi" w:hAnsiTheme="minorHAnsi" w:cstheme="minorHAnsi"/>
          <w:lang w:val="el-GR"/>
        </w:rPr>
        <w:t xml:space="preserve">Αυστρία, </w:t>
      </w:r>
      <w:r w:rsidR="00254182" w:rsidRPr="00466073">
        <w:rPr>
          <w:rFonts w:asciiTheme="minorHAnsi" w:hAnsiTheme="minorHAnsi" w:cstheme="minorHAnsi"/>
          <w:lang w:val="el-GR"/>
        </w:rPr>
        <w:t xml:space="preserve">Ιταλία, Ρουμανία, Γαλλία, Πολωνία και Τσεχία. Όσον αφορά στις ουγγρικές εισαγωγές, σημαντικότεροι εταίροι (πέραν της Γερμανίας) αναδεικνύονται </w:t>
      </w:r>
      <w:r w:rsidR="00567B08" w:rsidRPr="00466073">
        <w:rPr>
          <w:rFonts w:asciiTheme="minorHAnsi" w:hAnsiTheme="minorHAnsi" w:cstheme="minorHAnsi"/>
          <w:lang w:val="el-GR"/>
        </w:rPr>
        <w:t xml:space="preserve">κατά σειρά </w:t>
      </w:r>
      <w:r w:rsidR="00254182" w:rsidRPr="00466073">
        <w:rPr>
          <w:rFonts w:asciiTheme="minorHAnsi" w:hAnsiTheme="minorHAnsi" w:cstheme="minorHAnsi"/>
          <w:lang w:val="el-GR"/>
        </w:rPr>
        <w:t xml:space="preserve">οι: Κίνα, </w:t>
      </w:r>
      <w:r w:rsidR="0086395E" w:rsidRPr="00466073">
        <w:rPr>
          <w:rFonts w:asciiTheme="minorHAnsi" w:hAnsiTheme="minorHAnsi" w:cstheme="minorHAnsi"/>
          <w:lang w:val="el-GR"/>
        </w:rPr>
        <w:t xml:space="preserve">Πολωνία, Ολλανδία, </w:t>
      </w:r>
      <w:r w:rsidR="00254182" w:rsidRPr="00466073">
        <w:rPr>
          <w:rFonts w:asciiTheme="minorHAnsi" w:hAnsiTheme="minorHAnsi" w:cstheme="minorHAnsi"/>
          <w:lang w:val="el-GR"/>
        </w:rPr>
        <w:t>Αυστρία, Τσεχία, Σλοβακία και Ιταλία.</w:t>
      </w:r>
    </w:p>
    <w:p w:rsidR="00305741" w:rsidRPr="00466073" w:rsidRDefault="00305741" w:rsidP="0086395E">
      <w:pPr>
        <w:widowControl w:val="0"/>
        <w:autoSpaceDE w:val="0"/>
        <w:autoSpaceDN w:val="0"/>
        <w:adjustRightInd w:val="0"/>
        <w:rPr>
          <w:rFonts w:asciiTheme="minorHAnsi" w:hAnsiTheme="minorHAnsi" w:cstheme="minorHAnsi"/>
          <w:color w:val="000000" w:themeColor="text1"/>
          <w:u w:val="single"/>
          <w:lang w:val="el-GR"/>
        </w:rPr>
      </w:pPr>
    </w:p>
    <w:p w:rsidR="00D13D92" w:rsidRPr="00466073" w:rsidRDefault="00D13D92" w:rsidP="0086395E">
      <w:pPr>
        <w:widowControl w:val="0"/>
        <w:autoSpaceDE w:val="0"/>
        <w:autoSpaceDN w:val="0"/>
        <w:adjustRightInd w:val="0"/>
        <w:rPr>
          <w:rFonts w:asciiTheme="minorHAnsi" w:hAnsiTheme="minorHAnsi" w:cstheme="minorHAnsi"/>
          <w:b/>
          <w:color w:val="000000" w:themeColor="text1"/>
          <w:u w:val="single"/>
          <w:lang w:val="el-GR"/>
        </w:rPr>
      </w:pPr>
      <w:r w:rsidRPr="00466073">
        <w:rPr>
          <w:rFonts w:asciiTheme="minorHAnsi" w:hAnsiTheme="minorHAnsi" w:cstheme="minorHAnsi"/>
          <w:b/>
          <w:color w:val="000000" w:themeColor="text1"/>
          <w:u w:val="single"/>
          <w:lang w:val="el-GR"/>
        </w:rPr>
        <w:t>Ενέργεια</w:t>
      </w:r>
    </w:p>
    <w:p w:rsidR="000D33C7" w:rsidRPr="00466073" w:rsidRDefault="000D33C7" w:rsidP="00323EE3">
      <w:pPr>
        <w:jc w:val="both"/>
        <w:rPr>
          <w:rFonts w:asciiTheme="minorHAnsi" w:hAnsiTheme="minorHAnsi" w:cstheme="minorHAnsi"/>
          <w:lang w:val="el-GR"/>
        </w:rPr>
      </w:pPr>
    </w:p>
    <w:p w:rsidR="000D33C7" w:rsidRPr="00466073" w:rsidRDefault="000D33C7" w:rsidP="00D54F16">
      <w:pPr>
        <w:jc w:val="both"/>
        <w:rPr>
          <w:rFonts w:asciiTheme="minorHAnsi" w:hAnsiTheme="minorHAnsi" w:cstheme="minorHAnsi"/>
          <w:lang w:val="el-GR"/>
        </w:rPr>
      </w:pPr>
      <w:r w:rsidRPr="00466073">
        <w:rPr>
          <w:rFonts w:asciiTheme="minorHAnsi" w:hAnsiTheme="minorHAnsi" w:cstheme="minorHAnsi"/>
          <w:lang w:val="el-GR"/>
        </w:rPr>
        <w:t xml:space="preserve">Η εγχώρια παραγωγή ενέργειας αγγίζει το 45% της συνολικής πρωτογενούς </w:t>
      </w:r>
      <w:r w:rsidR="00D54F16" w:rsidRPr="00466073">
        <w:rPr>
          <w:rFonts w:asciiTheme="minorHAnsi" w:hAnsiTheme="minorHAnsi" w:cstheme="minorHAnsi"/>
          <w:lang w:val="el-GR"/>
        </w:rPr>
        <w:t xml:space="preserve">παραγωγής ενέργειας (TPES), καθιστώντας την Ουγγαρία εξαιρετικά εξαρτημένη από τις εισαγωγές και ως εκ τούτου ευάλωτη στις διεθνείς σχέσεις της με τους προμηθευτές της. </w:t>
      </w:r>
      <w:r w:rsidR="00B715E3" w:rsidRPr="00466073">
        <w:rPr>
          <w:rFonts w:asciiTheme="minorHAnsi" w:hAnsiTheme="minorHAnsi" w:cstheme="minorHAnsi"/>
          <w:lang w:val="el-GR"/>
        </w:rPr>
        <w:t>Φυσικό αέριο και πετρέλαιο είναι οι πρωταρχικές πηγές ενέργειας, ενώ από την πυρηνική ενέργεια προέρχεται το μεγαλύτερο μέρος της παραγόμενης ηλεκτρικής ενέργειας. Το πετρέλαιο καλύπτει κυρίως της ανάγκες του κλάδου των μεταφορών, ενώ το φυσικό αέριο της ανάγκες της βιομηχανίας, αλλά και τις οικιστικές.</w:t>
      </w:r>
    </w:p>
    <w:p w:rsidR="00D00DE5" w:rsidRPr="00466073" w:rsidRDefault="00D00DE5" w:rsidP="00D00DE5">
      <w:pPr>
        <w:jc w:val="both"/>
        <w:rPr>
          <w:rFonts w:asciiTheme="minorHAnsi" w:hAnsiTheme="minorHAnsi" w:cstheme="minorHAnsi"/>
          <w:lang w:val="el-GR"/>
        </w:rPr>
      </w:pPr>
      <w:r w:rsidRPr="00466073">
        <w:rPr>
          <w:rFonts w:asciiTheme="minorHAnsi" w:hAnsiTheme="minorHAnsi" w:cstheme="minorHAnsi"/>
          <w:lang w:val="el-GR"/>
        </w:rPr>
        <w:t xml:space="preserve">Σύμφωνα με στοιχεία του Διεθνούς Οργανισμού Ενέργειας (ΙΕΑ) η Σύνθεση Συνολικής Παραγωγής Πρωτογενούς Ενέργειας -TPES </w:t>
      </w:r>
      <w:r w:rsidR="00E975BE" w:rsidRPr="00466073">
        <w:rPr>
          <w:rFonts w:asciiTheme="minorHAnsi" w:hAnsiTheme="minorHAnsi" w:cstheme="minorHAnsi"/>
          <w:lang w:val="el-GR"/>
        </w:rPr>
        <w:t xml:space="preserve">έχει </w:t>
      </w:r>
      <w:r w:rsidRPr="00466073">
        <w:rPr>
          <w:rFonts w:asciiTheme="minorHAnsi" w:hAnsiTheme="minorHAnsi" w:cstheme="minorHAnsi"/>
          <w:lang w:val="el-GR"/>
        </w:rPr>
        <w:t xml:space="preserve">ως ακολούθως: </w:t>
      </w:r>
    </w:p>
    <w:p w:rsidR="00D00DE5" w:rsidRPr="00466073" w:rsidRDefault="00D00DE5" w:rsidP="00D00DE5">
      <w:pPr>
        <w:jc w:val="both"/>
        <w:rPr>
          <w:rFonts w:asciiTheme="minorHAnsi" w:hAnsiTheme="minorHAnsi" w:cstheme="minorHAnsi"/>
          <w:lang w:val="el-GR"/>
        </w:rPr>
      </w:pPr>
      <w:r w:rsidRPr="00466073">
        <w:rPr>
          <w:rFonts w:asciiTheme="minorHAnsi" w:hAnsiTheme="minorHAnsi" w:cstheme="minorHAnsi"/>
          <w:lang w:val="el-GR"/>
        </w:rPr>
        <w:t xml:space="preserve">Φυσικό αέριο </w:t>
      </w:r>
      <w:r w:rsidR="00E975BE" w:rsidRPr="00466073">
        <w:rPr>
          <w:rFonts w:asciiTheme="minorHAnsi" w:hAnsiTheme="minorHAnsi" w:cstheme="minorHAnsi"/>
          <w:lang w:val="el-GR"/>
        </w:rPr>
        <w:t>29,7</w:t>
      </w:r>
      <w:r w:rsidRPr="00466073">
        <w:rPr>
          <w:rFonts w:asciiTheme="minorHAnsi" w:hAnsiTheme="minorHAnsi" w:cstheme="minorHAnsi"/>
          <w:lang w:val="el-GR"/>
        </w:rPr>
        <w:t>%, αργό πετρέλαιο 2</w:t>
      </w:r>
      <w:r w:rsidR="00E975BE" w:rsidRPr="00466073">
        <w:rPr>
          <w:rFonts w:asciiTheme="minorHAnsi" w:hAnsiTheme="minorHAnsi" w:cstheme="minorHAnsi"/>
          <w:lang w:val="el-GR"/>
        </w:rPr>
        <w:t>7,2</w:t>
      </w:r>
      <w:r w:rsidRPr="00466073">
        <w:rPr>
          <w:rFonts w:asciiTheme="minorHAnsi" w:hAnsiTheme="minorHAnsi" w:cstheme="minorHAnsi"/>
          <w:lang w:val="el-GR"/>
        </w:rPr>
        <w:t>%, πυρηνική ενέργεια 1</w:t>
      </w:r>
      <w:r w:rsidR="00E975BE" w:rsidRPr="00466073">
        <w:rPr>
          <w:rFonts w:asciiTheme="minorHAnsi" w:hAnsiTheme="minorHAnsi" w:cstheme="minorHAnsi"/>
          <w:lang w:val="el-GR"/>
        </w:rPr>
        <w:t>6,4</w:t>
      </w:r>
      <w:r w:rsidRPr="00466073">
        <w:rPr>
          <w:rFonts w:asciiTheme="minorHAnsi" w:hAnsiTheme="minorHAnsi" w:cstheme="minorHAnsi"/>
          <w:lang w:val="el-GR"/>
        </w:rPr>
        <w:t>%, ά</w:t>
      </w:r>
      <w:r w:rsidR="00E975BE" w:rsidRPr="00466073">
        <w:rPr>
          <w:rFonts w:asciiTheme="minorHAnsi" w:hAnsiTheme="minorHAnsi" w:cstheme="minorHAnsi"/>
          <w:lang w:val="el-GR"/>
        </w:rPr>
        <w:t>νθρακας 9,3</w:t>
      </w:r>
      <w:r w:rsidRPr="00466073">
        <w:rPr>
          <w:rFonts w:asciiTheme="minorHAnsi" w:hAnsiTheme="minorHAnsi" w:cstheme="minorHAnsi"/>
          <w:lang w:val="el-GR"/>
        </w:rPr>
        <w:t xml:space="preserve">%, </w:t>
      </w:r>
      <w:r w:rsidR="00E975BE" w:rsidRPr="00466073">
        <w:rPr>
          <w:rFonts w:asciiTheme="minorHAnsi" w:hAnsiTheme="minorHAnsi" w:cstheme="minorHAnsi"/>
          <w:lang w:val="el-GR"/>
        </w:rPr>
        <w:t>βιομάζα 11,7%,</w:t>
      </w:r>
      <w:r w:rsidRPr="00466073">
        <w:rPr>
          <w:rFonts w:asciiTheme="minorHAnsi" w:hAnsiTheme="minorHAnsi" w:cstheme="minorHAnsi"/>
          <w:lang w:val="el-GR"/>
        </w:rPr>
        <w:t xml:space="preserve"> γ</w:t>
      </w:r>
      <w:r w:rsidR="00E975BE" w:rsidRPr="00466073">
        <w:rPr>
          <w:rFonts w:asciiTheme="minorHAnsi" w:hAnsiTheme="minorHAnsi" w:cstheme="minorHAnsi"/>
          <w:lang w:val="el-GR"/>
        </w:rPr>
        <w:t>εωθερμική ενέργεια 0,4%, ηλιακή 0,3%, αιολική 0,2%, υδροηλεκτρική 0,1% και εισαγωγή ηλεκτρικής ενέργειας 4,7%.</w:t>
      </w:r>
    </w:p>
    <w:p w:rsidR="00950A68" w:rsidRPr="00466073" w:rsidRDefault="00950A68" w:rsidP="00D00DE5">
      <w:pPr>
        <w:jc w:val="both"/>
        <w:rPr>
          <w:rFonts w:asciiTheme="minorHAnsi" w:hAnsiTheme="minorHAnsi" w:cstheme="minorHAnsi"/>
          <w:lang w:val="el-GR"/>
        </w:rPr>
      </w:pPr>
    </w:p>
    <w:p w:rsidR="00DA1A3D" w:rsidRPr="00466073" w:rsidRDefault="00950A68" w:rsidP="00DA1A3D">
      <w:pPr>
        <w:jc w:val="both"/>
        <w:rPr>
          <w:rFonts w:asciiTheme="minorHAnsi" w:hAnsiTheme="minorHAnsi" w:cstheme="minorHAnsi"/>
          <w:lang w:val="el-GR"/>
        </w:rPr>
      </w:pPr>
      <w:r w:rsidRPr="00466073">
        <w:rPr>
          <w:rFonts w:asciiTheme="minorHAnsi" w:hAnsiTheme="minorHAnsi" w:cstheme="minorHAnsi"/>
          <w:lang w:val="el-GR"/>
        </w:rPr>
        <w:t>Σύμφωνα με στοιχεία της Ουγγρικής Αρχής Ενέργειας «MEKH», οι τιμές λιανικής πώλησης φυσικού αερίου στην Βουδαπέστη είναι οι χαμηλότερες, σε ονομαστικ</w:t>
      </w:r>
      <w:r w:rsidR="00747400" w:rsidRPr="00466073">
        <w:rPr>
          <w:rFonts w:asciiTheme="minorHAnsi" w:hAnsiTheme="minorHAnsi" w:cstheme="minorHAnsi"/>
          <w:lang w:val="el-GR"/>
        </w:rPr>
        <w:t xml:space="preserve">ές τιμές, </w:t>
      </w:r>
      <w:r w:rsidRPr="00466073">
        <w:rPr>
          <w:rFonts w:asciiTheme="minorHAnsi" w:hAnsiTheme="minorHAnsi" w:cstheme="minorHAnsi"/>
          <w:lang w:val="el-GR"/>
        </w:rPr>
        <w:t xml:space="preserve">μεταξύ των πρωτευουσών της Ε.Ε. Προσαρμοσμένες σε ισοτιμία αγοραστικής δύναμης, οι τιμές λιανικής πώλησης φ/α στην Βουδαπέστη ήταν οι τέταρτες χαμηλότερες μετά του Λονδίνου, του Λουξεμβούργου και των Βρυξελλών. Η μέση λιανική τιμή πώλησης ηλεκτρικής ενέργειας στην Βουδαπέστη ήταν €0,12 ανά </w:t>
      </w:r>
      <w:proofErr w:type="spellStart"/>
      <w:r w:rsidRPr="00466073">
        <w:rPr>
          <w:rFonts w:asciiTheme="minorHAnsi" w:hAnsiTheme="minorHAnsi" w:cstheme="minorHAnsi"/>
          <w:lang w:val="el-GR"/>
        </w:rPr>
        <w:t>kWh</w:t>
      </w:r>
      <w:proofErr w:type="spellEnd"/>
      <w:r w:rsidR="00747400" w:rsidRPr="00466073">
        <w:rPr>
          <w:rFonts w:asciiTheme="minorHAnsi" w:hAnsiTheme="minorHAnsi" w:cstheme="minorHAnsi"/>
          <w:lang w:val="el-GR"/>
        </w:rPr>
        <w:t>.</w:t>
      </w:r>
      <w:r w:rsidR="00DA1A3D" w:rsidRPr="00466073">
        <w:rPr>
          <w:rFonts w:asciiTheme="minorHAnsi" w:hAnsiTheme="minorHAnsi" w:cstheme="minorHAnsi"/>
          <w:lang w:val="el-GR"/>
        </w:rPr>
        <w:t xml:space="preserve"> Πρέπει να επισημανθεί ότι η Ουγγαρία εξαρτάται σε μεγάλο βαθμό από τις εισαγωγές φυσικού αερίου, κυρίως (σχεδόν αποκλειστικά) από την Ρωσία (90%). Κατά συνέπεια, στόχος της κυβέρνησης είναι η διαφοροποίηση των οδεύσεων αλλά και των πηγών προμήθειας φ/α. Η ουγγρική κυβέρνηση καταβάλλει προσπάθειες για διαφοροποίηση των πηγών της προμήθειας ενέργειας, εξετάζοντας </w:t>
      </w:r>
      <w:r w:rsidR="00DA1A3D" w:rsidRPr="00466073">
        <w:rPr>
          <w:rFonts w:asciiTheme="minorHAnsi" w:hAnsiTheme="minorHAnsi" w:cstheme="minorHAnsi"/>
          <w:lang w:val="el-GR"/>
        </w:rPr>
        <w:lastRenderedPageBreak/>
        <w:t xml:space="preserve">εναλλακτικές λύσεις όπως η προμήθεια φ/α από τη Ρουμανία και υγροποιημένου φ/α (LNG) από την Κροατία. Στο πλαίσιο αυτό, επισημαίνεται η αυξημένη παρουσία της Ουγγαρίας στην περιοχή της Κασπίας, με το ενδιαφέρον της χώρας να επεκτείνεται σε προμήθεια φ/α από Τουρκμενιστάν και Αζερμπαϊτζάν, προκειμένου να </w:t>
      </w:r>
      <w:proofErr w:type="spellStart"/>
      <w:r w:rsidR="00DA1A3D" w:rsidRPr="00466073">
        <w:rPr>
          <w:rFonts w:asciiTheme="minorHAnsi" w:hAnsiTheme="minorHAnsi" w:cstheme="minorHAnsi"/>
          <w:lang w:val="el-GR"/>
        </w:rPr>
        <w:t>απεξαρτηθεί</w:t>
      </w:r>
      <w:proofErr w:type="spellEnd"/>
      <w:r w:rsidR="00DA1A3D" w:rsidRPr="00466073">
        <w:rPr>
          <w:rFonts w:asciiTheme="minorHAnsi" w:hAnsiTheme="minorHAnsi" w:cstheme="minorHAnsi"/>
          <w:lang w:val="el-GR"/>
        </w:rPr>
        <w:t xml:space="preserve"> ενεργειακά α</w:t>
      </w:r>
      <w:r w:rsidR="007108FF" w:rsidRPr="00466073">
        <w:rPr>
          <w:rFonts w:asciiTheme="minorHAnsi" w:hAnsiTheme="minorHAnsi" w:cstheme="minorHAnsi"/>
          <w:lang w:val="el-GR"/>
        </w:rPr>
        <w:t>πό την Ρωσία (αν και για το 2022</w:t>
      </w:r>
      <w:r w:rsidR="00DA1A3D" w:rsidRPr="00466073">
        <w:rPr>
          <w:rFonts w:asciiTheme="minorHAnsi" w:hAnsiTheme="minorHAnsi" w:cstheme="minorHAnsi"/>
          <w:lang w:val="el-GR"/>
        </w:rPr>
        <w:t xml:space="preserve">, η Ουγγαρία </w:t>
      </w:r>
      <w:r w:rsidR="007108FF" w:rsidRPr="00466073">
        <w:rPr>
          <w:rFonts w:asciiTheme="minorHAnsi" w:hAnsiTheme="minorHAnsi" w:cstheme="minorHAnsi"/>
          <w:lang w:val="el-GR"/>
        </w:rPr>
        <w:t xml:space="preserve">είχε εξασφαλίσει </w:t>
      </w:r>
      <w:r w:rsidR="00DA1A3D" w:rsidRPr="00466073">
        <w:rPr>
          <w:rFonts w:asciiTheme="minorHAnsi" w:hAnsiTheme="minorHAnsi" w:cstheme="minorHAnsi"/>
          <w:lang w:val="el-GR"/>
        </w:rPr>
        <w:t>την απαραίτητη ποσότητα φ/α από την ρωσική κρατική εταιρεία «</w:t>
      </w:r>
      <w:proofErr w:type="spellStart"/>
      <w:r w:rsidR="00DA1A3D" w:rsidRPr="00466073">
        <w:rPr>
          <w:rFonts w:asciiTheme="minorHAnsi" w:hAnsiTheme="minorHAnsi" w:cstheme="minorHAnsi"/>
          <w:lang w:val="el-GR"/>
        </w:rPr>
        <w:t>Gazprom</w:t>
      </w:r>
      <w:proofErr w:type="spellEnd"/>
      <w:r w:rsidR="00DA1A3D" w:rsidRPr="00466073">
        <w:rPr>
          <w:rFonts w:asciiTheme="minorHAnsi" w:hAnsiTheme="minorHAnsi" w:cstheme="minorHAnsi"/>
          <w:lang w:val="el-GR"/>
        </w:rPr>
        <w:t xml:space="preserve">»). </w:t>
      </w:r>
    </w:p>
    <w:p w:rsidR="00DA1A3D" w:rsidRPr="00466073" w:rsidRDefault="00DA1A3D" w:rsidP="00DA1A3D">
      <w:pPr>
        <w:jc w:val="both"/>
        <w:rPr>
          <w:rFonts w:asciiTheme="minorHAnsi" w:hAnsiTheme="minorHAnsi" w:cstheme="minorHAnsi"/>
          <w:lang w:val="el-GR"/>
        </w:rPr>
      </w:pPr>
      <w:r w:rsidRPr="00466073">
        <w:rPr>
          <w:rFonts w:asciiTheme="minorHAnsi" w:hAnsiTheme="minorHAnsi" w:cstheme="minorHAnsi"/>
          <w:lang w:val="el-GR"/>
        </w:rPr>
        <w:t xml:space="preserve">Επισημαίνεται, επίσης, ότι το ενδιαφέρον της Ουγγαρίας για προμήθεια φ/α από την Κασπία, ενισχύει τη θέση του Νότιου Διαδρόμου φ/α (και κατ’ επέκταση του «ελληνικού» αγωγού ΤΑΡ), ενός έργου που σαφώς ενισχύει την ασφάλεια και τη διαφοροποίηση του ενεργειακού εφοδιασμού της Ευρώπης μέσω της μεταφοράς φ/α από την περιοχή της Κασπίας. </w:t>
      </w:r>
    </w:p>
    <w:p w:rsidR="00DA1A3D" w:rsidRPr="00466073" w:rsidRDefault="00DA1A3D" w:rsidP="00DA1A3D">
      <w:pPr>
        <w:jc w:val="both"/>
        <w:rPr>
          <w:rFonts w:asciiTheme="minorHAnsi" w:hAnsiTheme="minorHAnsi" w:cstheme="minorHAnsi"/>
          <w:lang w:val="el-GR"/>
        </w:rPr>
      </w:pPr>
      <w:r w:rsidRPr="00466073">
        <w:rPr>
          <w:rFonts w:asciiTheme="minorHAnsi" w:hAnsiTheme="minorHAnsi" w:cstheme="minorHAnsi"/>
          <w:lang w:val="el-GR"/>
        </w:rPr>
        <w:t xml:space="preserve">Η Ουγγαρία πάντως, έχει αυξημένο ενδιαφέρον για προμήθεια ρωσικού φ/α από τον </w:t>
      </w:r>
      <w:proofErr w:type="spellStart"/>
      <w:r w:rsidRPr="00466073">
        <w:rPr>
          <w:rFonts w:asciiTheme="minorHAnsi" w:hAnsiTheme="minorHAnsi" w:cstheme="minorHAnsi"/>
          <w:lang w:val="el-GR"/>
        </w:rPr>
        <w:t>TurkStream</w:t>
      </w:r>
      <w:proofErr w:type="spellEnd"/>
      <w:r w:rsidRPr="00466073">
        <w:rPr>
          <w:rFonts w:asciiTheme="minorHAnsi" w:hAnsiTheme="minorHAnsi" w:cstheme="minorHAnsi"/>
          <w:lang w:val="el-GR"/>
        </w:rPr>
        <w:t xml:space="preserve"> (μέρος του οποίου θα μπορεί να πουλήσει σε Σλοβακία), προωθεί τον αγωγό φ/α Βουλγαρίας-Ρουμανίας-Ουγγαρίας-Αυστρίας ("BRUA”), αντιτίθεται στον </w:t>
      </w:r>
      <w:proofErr w:type="spellStart"/>
      <w:r w:rsidRPr="00466073">
        <w:rPr>
          <w:rFonts w:asciiTheme="minorHAnsi" w:hAnsiTheme="minorHAnsi" w:cstheme="minorHAnsi"/>
          <w:lang w:val="el-GR"/>
        </w:rPr>
        <w:t>ρωσο</w:t>
      </w:r>
      <w:proofErr w:type="spellEnd"/>
      <w:r w:rsidRPr="00466073">
        <w:rPr>
          <w:rFonts w:asciiTheme="minorHAnsi" w:hAnsiTheme="minorHAnsi" w:cstheme="minorHAnsi"/>
          <w:lang w:val="el-GR"/>
        </w:rPr>
        <w:t xml:space="preserve">-γερμανικό αγωγό </w:t>
      </w:r>
      <w:proofErr w:type="spellStart"/>
      <w:r w:rsidRPr="00466073">
        <w:rPr>
          <w:rFonts w:asciiTheme="minorHAnsi" w:hAnsiTheme="minorHAnsi" w:cstheme="minorHAnsi"/>
          <w:lang w:val="el-GR"/>
        </w:rPr>
        <w:t>Nord</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Stream</w:t>
      </w:r>
      <w:proofErr w:type="spellEnd"/>
      <w:r w:rsidRPr="00466073">
        <w:rPr>
          <w:rFonts w:asciiTheme="minorHAnsi" w:hAnsiTheme="minorHAnsi" w:cstheme="minorHAnsi"/>
          <w:lang w:val="el-GR"/>
        </w:rPr>
        <w:t xml:space="preserve"> II και θεωρεί σημαντικότερη την τροφοδοσία της από το Νότο. Τέλος, ιδιαίτερο ενδιαφέρον δείχνει και για υγροποιημένο φυσικό αέριο (LNG) προέλευσης ΗΠΑ, το οποίο θα προμηθεύεται από τον τερματικό σταθμό </w:t>
      </w:r>
      <w:proofErr w:type="spellStart"/>
      <w:r w:rsidRPr="00466073">
        <w:rPr>
          <w:rFonts w:asciiTheme="minorHAnsi" w:hAnsiTheme="minorHAnsi" w:cstheme="minorHAnsi"/>
          <w:lang w:val="el-GR"/>
        </w:rPr>
        <w:t>Krk</w:t>
      </w:r>
      <w:proofErr w:type="spellEnd"/>
      <w:r w:rsidRPr="00466073">
        <w:rPr>
          <w:rFonts w:asciiTheme="minorHAnsi" w:hAnsiTheme="minorHAnsi" w:cstheme="minorHAnsi"/>
          <w:lang w:val="el-GR"/>
        </w:rPr>
        <w:t xml:space="preserve"> της Κροατίας.</w:t>
      </w:r>
    </w:p>
    <w:p w:rsidR="007913E2" w:rsidRPr="00466073" w:rsidRDefault="00DA1A3D" w:rsidP="007913E2">
      <w:pPr>
        <w:jc w:val="both"/>
        <w:rPr>
          <w:rFonts w:asciiTheme="minorHAnsi" w:hAnsiTheme="minorHAnsi" w:cstheme="minorHAnsi"/>
          <w:lang w:val="el-GR"/>
        </w:rPr>
      </w:pPr>
      <w:r w:rsidRPr="00466073">
        <w:rPr>
          <w:rFonts w:asciiTheme="minorHAnsi" w:hAnsiTheme="minorHAnsi" w:cstheme="minorHAnsi"/>
          <w:lang w:val="el-GR"/>
        </w:rPr>
        <w:t>Σύ</w:t>
      </w:r>
      <w:r w:rsidR="007108FF" w:rsidRPr="00466073">
        <w:rPr>
          <w:rFonts w:asciiTheme="minorHAnsi" w:hAnsiTheme="minorHAnsi" w:cstheme="minorHAnsi"/>
          <w:lang w:val="el-GR"/>
        </w:rPr>
        <w:t xml:space="preserve">μφωνα με κυβερνητικές δηλώσεις που ακολούθησαν με την </w:t>
      </w:r>
      <w:proofErr w:type="spellStart"/>
      <w:r w:rsidR="007108FF" w:rsidRPr="00466073">
        <w:rPr>
          <w:rFonts w:asciiTheme="minorHAnsi" w:hAnsiTheme="minorHAnsi" w:cstheme="minorHAnsi"/>
          <w:lang w:val="el-GR"/>
        </w:rPr>
        <w:t>ρωσο</w:t>
      </w:r>
      <w:proofErr w:type="spellEnd"/>
      <w:r w:rsidR="007108FF" w:rsidRPr="00466073">
        <w:rPr>
          <w:rFonts w:asciiTheme="minorHAnsi" w:hAnsiTheme="minorHAnsi" w:cstheme="minorHAnsi"/>
          <w:lang w:val="el-GR"/>
        </w:rPr>
        <w:t xml:space="preserve">/ουκρανική σύρραξη και μετά των κυρώσεων που επιβλήθηκαν από Ε.Ε., </w:t>
      </w:r>
      <w:r w:rsidRPr="00466073">
        <w:rPr>
          <w:rFonts w:asciiTheme="minorHAnsi" w:hAnsiTheme="minorHAnsi" w:cstheme="minorHAnsi"/>
          <w:lang w:val="el-GR"/>
        </w:rPr>
        <w:t>η</w:t>
      </w:r>
      <w:r w:rsidR="00817009" w:rsidRPr="00466073">
        <w:rPr>
          <w:rFonts w:asciiTheme="minorHAnsi" w:hAnsiTheme="minorHAnsi" w:cstheme="minorHAnsi"/>
          <w:lang w:val="el-GR"/>
        </w:rPr>
        <w:t xml:space="preserve"> μείωση της</w:t>
      </w:r>
      <w:r w:rsidR="007913E2" w:rsidRPr="00466073">
        <w:rPr>
          <w:rFonts w:asciiTheme="minorHAnsi" w:hAnsiTheme="minorHAnsi" w:cstheme="minorHAnsi"/>
          <w:lang w:val="el-GR"/>
        </w:rPr>
        <w:t xml:space="preserve"> </w:t>
      </w:r>
      <w:r w:rsidR="00817009" w:rsidRPr="00466073">
        <w:rPr>
          <w:rFonts w:asciiTheme="minorHAnsi" w:hAnsiTheme="minorHAnsi" w:cstheme="minorHAnsi"/>
          <w:lang w:val="el-GR"/>
        </w:rPr>
        <w:t xml:space="preserve">ενεργειακής </w:t>
      </w:r>
      <w:r w:rsidR="007913E2" w:rsidRPr="00466073">
        <w:rPr>
          <w:rFonts w:asciiTheme="minorHAnsi" w:hAnsiTheme="minorHAnsi" w:cstheme="minorHAnsi"/>
          <w:lang w:val="el-GR"/>
        </w:rPr>
        <w:t>εξάρτηση</w:t>
      </w:r>
      <w:r w:rsidR="00817009" w:rsidRPr="00466073">
        <w:rPr>
          <w:rFonts w:asciiTheme="minorHAnsi" w:hAnsiTheme="minorHAnsi" w:cstheme="minorHAnsi"/>
          <w:lang w:val="el-GR"/>
        </w:rPr>
        <w:t>ς</w:t>
      </w:r>
      <w:r w:rsidR="007913E2" w:rsidRPr="00466073">
        <w:rPr>
          <w:rFonts w:asciiTheme="minorHAnsi" w:hAnsiTheme="minorHAnsi" w:cstheme="minorHAnsi"/>
          <w:lang w:val="el-GR"/>
        </w:rPr>
        <w:t xml:space="preserve"> της χώρας από την Ρωσία</w:t>
      </w:r>
      <w:r w:rsidRPr="00466073">
        <w:rPr>
          <w:rFonts w:asciiTheme="minorHAnsi" w:hAnsiTheme="minorHAnsi" w:cstheme="minorHAnsi"/>
          <w:lang w:val="el-GR"/>
        </w:rPr>
        <w:t>,</w:t>
      </w:r>
      <w:r w:rsidR="007913E2" w:rsidRPr="00466073">
        <w:rPr>
          <w:rFonts w:asciiTheme="minorHAnsi" w:hAnsiTheme="minorHAnsi" w:cstheme="minorHAnsi"/>
          <w:lang w:val="el-GR"/>
        </w:rPr>
        <w:t xml:space="preserve"> μπορεί να επιτευχθεί με τρεις τρόπους: α) προμήθεια φυσικού αερίου από άλλες χώρες και μεταφορά του μέσω του αγωγού Σλοβακίας-Ουγγαρίας, β) χρήση τ</w:t>
      </w:r>
      <w:r w:rsidR="007108FF" w:rsidRPr="00466073">
        <w:rPr>
          <w:rFonts w:asciiTheme="minorHAnsi" w:hAnsiTheme="minorHAnsi" w:cstheme="minorHAnsi"/>
          <w:lang w:val="el-GR"/>
        </w:rPr>
        <w:t>ου υπό</w:t>
      </w:r>
      <w:r w:rsidR="007913E2" w:rsidRPr="00466073">
        <w:rPr>
          <w:rFonts w:asciiTheme="minorHAnsi" w:hAnsiTheme="minorHAnsi" w:cstheme="minorHAnsi"/>
          <w:lang w:val="el-GR"/>
        </w:rPr>
        <w:t xml:space="preserve"> κατασκευή στην Κροατία σταθμού υγροποιημένου φυσικού αερίου (</w:t>
      </w:r>
      <w:r w:rsidR="007913E2" w:rsidRPr="00466073">
        <w:rPr>
          <w:rFonts w:asciiTheme="minorHAnsi" w:hAnsiTheme="minorHAnsi" w:cstheme="minorHAnsi"/>
        </w:rPr>
        <w:t>LNG</w:t>
      </w:r>
      <w:r w:rsidR="007913E2" w:rsidRPr="00466073">
        <w:rPr>
          <w:rFonts w:asciiTheme="minorHAnsi" w:hAnsiTheme="minorHAnsi" w:cstheme="minorHAnsi"/>
          <w:lang w:val="el-GR"/>
        </w:rPr>
        <w:t xml:space="preserve">), ο οποίος θα τροφοδοτείται με φυσικό αέριο προέλευσης ΗΠΑ και γ) προμήθεια φυσικού αερίου από την Ρουμανία, από τις εταιρείες </w:t>
      </w:r>
      <w:r w:rsidR="007913E2" w:rsidRPr="00466073">
        <w:rPr>
          <w:rFonts w:asciiTheme="minorHAnsi" w:hAnsiTheme="minorHAnsi" w:cstheme="minorHAnsi"/>
        </w:rPr>
        <w:t>Exxon</w:t>
      </w:r>
      <w:r w:rsidR="007913E2" w:rsidRPr="00466073">
        <w:rPr>
          <w:rFonts w:asciiTheme="minorHAnsi" w:hAnsiTheme="minorHAnsi" w:cstheme="minorHAnsi"/>
          <w:lang w:val="el-GR"/>
        </w:rPr>
        <w:t xml:space="preserve"> και </w:t>
      </w:r>
      <w:r w:rsidR="007913E2" w:rsidRPr="00466073">
        <w:rPr>
          <w:rFonts w:asciiTheme="minorHAnsi" w:hAnsiTheme="minorHAnsi" w:cstheme="minorHAnsi"/>
        </w:rPr>
        <w:t>OMV</w:t>
      </w:r>
      <w:r w:rsidR="007913E2" w:rsidRPr="00466073">
        <w:rPr>
          <w:rFonts w:asciiTheme="minorHAnsi" w:hAnsiTheme="minorHAnsi" w:cstheme="minorHAnsi"/>
          <w:lang w:val="el-GR"/>
        </w:rPr>
        <w:t xml:space="preserve"> και μεταφορά του μέσω του αγωγού Ουγγαρίας-Ρουμανίας.</w:t>
      </w:r>
      <w:r w:rsidR="00DF3B4F" w:rsidRPr="00466073">
        <w:rPr>
          <w:rFonts w:asciiTheme="minorHAnsi" w:hAnsiTheme="minorHAnsi" w:cstheme="minorHAnsi"/>
          <w:lang w:val="el-GR"/>
        </w:rPr>
        <w:t xml:space="preserve"> Εντούτοις, η στενή συνεργασία με την κρατική ρωσική εταιρεία </w:t>
      </w:r>
      <w:proofErr w:type="spellStart"/>
      <w:r w:rsidR="00DF3B4F" w:rsidRPr="00466073">
        <w:rPr>
          <w:rFonts w:asciiTheme="minorHAnsi" w:hAnsiTheme="minorHAnsi" w:cstheme="minorHAnsi"/>
        </w:rPr>
        <w:t>Gazprom</w:t>
      </w:r>
      <w:proofErr w:type="spellEnd"/>
      <w:r w:rsidR="007108FF" w:rsidRPr="00466073">
        <w:rPr>
          <w:rFonts w:asciiTheme="minorHAnsi" w:hAnsiTheme="minorHAnsi" w:cstheme="minorHAnsi"/>
          <w:lang w:val="el-GR"/>
        </w:rPr>
        <w:t xml:space="preserve"> συνεχίζεται μέχρι τις ημέρες μας</w:t>
      </w:r>
      <w:r w:rsidRPr="00466073">
        <w:rPr>
          <w:rFonts w:asciiTheme="minorHAnsi" w:hAnsiTheme="minorHAnsi" w:cstheme="minorHAnsi"/>
          <w:lang w:val="el-GR"/>
        </w:rPr>
        <w:t>,</w:t>
      </w:r>
      <w:r w:rsidR="00817009" w:rsidRPr="00466073">
        <w:rPr>
          <w:rFonts w:asciiTheme="minorHAnsi" w:hAnsiTheme="minorHAnsi" w:cstheme="minorHAnsi"/>
          <w:lang w:val="el-GR"/>
        </w:rPr>
        <w:t xml:space="preserve"> </w:t>
      </w:r>
      <w:r w:rsidRPr="00466073">
        <w:rPr>
          <w:rFonts w:asciiTheme="minorHAnsi" w:hAnsiTheme="minorHAnsi" w:cstheme="minorHAnsi"/>
          <w:lang w:val="el-GR"/>
        </w:rPr>
        <w:t xml:space="preserve">αφού, </w:t>
      </w:r>
      <w:r w:rsidR="00817009" w:rsidRPr="00466073">
        <w:rPr>
          <w:rFonts w:asciiTheme="minorHAnsi" w:hAnsiTheme="minorHAnsi" w:cstheme="minorHAnsi"/>
          <w:lang w:val="el-GR"/>
        </w:rPr>
        <w:t>όπως υποστη</w:t>
      </w:r>
      <w:r w:rsidRPr="00466073">
        <w:rPr>
          <w:rFonts w:asciiTheme="minorHAnsi" w:hAnsiTheme="minorHAnsi" w:cstheme="minorHAnsi"/>
          <w:lang w:val="el-GR"/>
        </w:rPr>
        <w:t>ρί</w:t>
      </w:r>
      <w:r w:rsidR="00817009" w:rsidRPr="00466073">
        <w:rPr>
          <w:rFonts w:asciiTheme="minorHAnsi" w:hAnsiTheme="minorHAnsi" w:cstheme="minorHAnsi"/>
          <w:lang w:val="el-GR"/>
        </w:rPr>
        <w:t xml:space="preserve">ζει η κυβέρνηση, έτσι </w:t>
      </w:r>
      <w:r w:rsidR="00DF3B4F" w:rsidRPr="00466073">
        <w:rPr>
          <w:rFonts w:asciiTheme="minorHAnsi" w:hAnsiTheme="minorHAnsi" w:cstheme="minorHAnsi"/>
          <w:lang w:val="el-GR"/>
        </w:rPr>
        <w:t>εξασφαλίζε</w:t>
      </w:r>
      <w:r w:rsidR="00817009" w:rsidRPr="00466073">
        <w:rPr>
          <w:rFonts w:asciiTheme="minorHAnsi" w:hAnsiTheme="minorHAnsi" w:cstheme="minorHAnsi"/>
          <w:lang w:val="el-GR"/>
        </w:rPr>
        <w:t>τα</w:t>
      </w:r>
      <w:r w:rsidR="00DF3B4F" w:rsidRPr="00466073">
        <w:rPr>
          <w:rFonts w:asciiTheme="minorHAnsi" w:hAnsiTheme="minorHAnsi" w:cstheme="minorHAnsi"/>
          <w:lang w:val="el-GR"/>
        </w:rPr>
        <w:t xml:space="preserve">ι </w:t>
      </w:r>
      <w:r w:rsidR="00817009" w:rsidRPr="00466073">
        <w:rPr>
          <w:rFonts w:asciiTheme="minorHAnsi" w:hAnsiTheme="minorHAnsi" w:cstheme="minorHAnsi"/>
          <w:lang w:val="el-GR"/>
        </w:rPr>
        <w:t xml:space="preserve">η αναγκαία για την Ουγγαρία ποσότητα </w:t>
      </w:r>
      <w:r w:rsidR="00DF3B4F" w:rsidRPr="00466073">
        <w:rPr>
          <w:rFonts w:asciiTheme="minorHAnsi" w:hAnsiTheme="minorHAnsi" w:cstheme="minorHAnsi"/>
          <w:lang w:val="el-GR"/>
        </w:rPr>
        <w:t>φ/α</w:t>
      </w:r>
      <w:r w:rsidR="00817009" w:rsidRPr="00466073">
        <w:rPr>
          <w:rFonts w:asciiTheme="minorHAnsi" w:hAnsiTheme="minorHAnsi" w:cstheme="minorHAnsi"/>
          <w:lang w:val="el-GR"/>
        </w:rPr>
        <w:t xml:space="preserve"> σε ανταγωνιστικές τιμές. </w:t>
      </w:r>
      <w:r w:rsidR="00DF3B4F" w:rsidRPr="00466073">
        <w:rPr>
          <w:rFonts w:asciiTheme="minorHAnsi" w:hAnsiTheme="minorHAnsi" w:cstheme="minorHAnsi"/>
          <w:lang w:val="el-GR"/>
        </w:rPr>
        <w:t xml:space="preserve"> </w:t>
      </w:r>
    </w:p>
    <w:p w:rsidR="008C170E" w:rsidRPr="00466073" w:rsidRDefault="008C170E" w:rsidP="00F81E5E">
      <w:pPr>
        <w:ind w:left="187" w:hanging="187"/>
        <w:jc w:val="both"/>
        <w:rPr>
          <w:rFonts w:asciiTheme="minorHAnsi" w:hAnsiTheme="minorHAnsi" w:cstheme="minorHAnsi"/>
          <w:u w:val="single"/>
          <w:lang w:val="el-GR"/>
        </w:rPr>
      </w:pPr>
    </w:p>
    <w:p w:rsidR="00C02E0B" w:rsidRPr="00466073" w:rsidRDefault="008C170E" w:rsidP="00C02E0B">
      <w:pPr>
        <w:jc w:val="both"/>
        <w:rPr>
          <w:rFonts w:asciiTheme="minorHAnsi" w:hAnsiTheme="minorHAnsi" w:cstheme="minorHAnsi"/>
          <w:lang w:val="el-GR"/>
        </w:rPr>
      </w:pPr>
      <w:r w:rsidRPr="00466073">
        <w:rPr>
          <w:rFonts w:asciiTheme="minorHAnsi" w:hAnsiTheme="minorHAnsi" w:cstheme="minorHAnsi"/>
          <w:lang w:val="el-GR"/>
        </w:rPr>
        <w:t xml:space="preserve">Όσον αφορά στην </w:t>
      </w:r>
      <w:r w:rsidRPr="00466073">
        <w:rPr>
          <w:rFonts w:asciiTheme="minorHAnsi" w:hAnsiTheme="minorHAnsi" w:cstheme="minorHAnsi"/>
          <w:b/>
          <w:lang w:val="el-GR"/>
        </w:rPr>
        <w:t>ηλεκτρική ενέργεια</w:t>
      </w:r>
      <w:r w:rsidRPr="00466073">
        <w:rPr>
          <w:rFonts w:asciiTheme="minorHAnsi" w:hAnsiTheme="minorHAnsi" w:cstheme="minorHAnsi"/>
          <w:lang w:val="el-GR"/>
        </w:rPr>
        <w:t>, η Ουγγαρία έχει αυξημένες ανάγκες</w:t>
      </w:r>
      <w:r w:rsidR="007427DB" w:rsidRPr="00466073">
        <w:rPr>
          <w:rFonts w:asciiTheme="minorHAnsi" w:hAnsiTheme="minorHAnsi" w:cstheme="minorHAnsi"/>
          <w:lang w:val="el-GR"/>
        </w:rPr>
        <w:t xml:space="preserve"> που σ</w:t>
      </w:r>
      <w:r w:rsidRPr="00466073">
        <w:rPr>
          <w:rFonts w:asciiTheme="minorHAnsi" w:hAnsiTheme="minorHAnsi" w:cstheme="minorHAnsi"/>
          <w:lang w:val="el-GR"/>
        </w:rPr>
        <w:t xml:space="preserve">ύμφωνα με εκτιμήσεις της κυβέρνησης, </w:t>
      </w:r>
      <w:r w:rsidR="007427DB" w:rsidRPr="00466073">
        <w:rPr>
          <w:rFonts w:asciiTheme="minorHAnsi" w:hAnsiTheme="minorHAnsi" w:cstheme="minorHAnsi"/>
          <w:lang w:val="el-GR"/>
        </w:rPr>
        <w:t>θα συνεχίσουν να αυξάνονται. Προκειμένου να καλυφθούν οι ανάγκες αυτές,</w:t>
      </w:r>
      <w:r w:rsidRPr="00466073">
        <w:rPr>
          <w:rFonts w:asciiTheme="minorHAnsi" w:hAnsiTheme="minorHAnsi" w:cstheme="minorHAnsi"/>
          <w:lang w:val="el-GR"/>
        </w:rPr>
        <w:t xml:space="preserve"> </w:t>
      </w:r>
      <w:r w:rsidR="00D2755A" w:rsidRPr="00466073">
        <w:rPr>
          <w:rFonts w:asciiTheme="minorHAnsi" w:hAnsiTheme="minorHAnsi" w:cstheme="minorHAnsi"/>
          <w:lang w:val="el-GR"/>
        </w:rPr>
        <w:t xml:space="preserve">απαιτούνται νέες </w:t>
      </w:r>
      <w:r w:rsidRPr="00466073">
        <w:rPr>
          <w:rFonts w:asciiTheme="minorHAnsi" w:hAnsiTheme="minorHAnsi" w:cstheme="minorHAnsi"/>
          <w:lang w:val="el-GR"/>
        </w:rPr>
        <w:t>επενδύσεις για την αύξηση της παραγωγής αλλά και για τ</w:t>
      </w:r>
      <w:r w:rsidR="00D2755A" w:rsidRPr="00466073">
        <w:rPr>
          <w:rFonts w:asciiTheme="minorHAnsi" w:hAnsiTheme="minorHAnsi" w:cstheme="minorHAnsi"/>
          <w:lang w:val="el-GR"/>
        </w:rPr>
        <w:t>ην αναβάθμιση τ</w:t>
      </w:r>
      <w:r w:rsidRPr="00466073">
        <w:rPr>
          <w:rFonts w:asciiTheme="minorHAnsi" w:hAnsiTheme="minorHAnsi" w:cstheme="minorHAnsi"/>
          <w:lang w:val="el-GR"/>
        </w:rPr>
        <w:t>ο</w:t>
      </w:r>
      <w:r w:rsidR="00D2755A" w:rsidRPr="00466073">
        <w:rPr>
          <w:rFonts w:asciiTheme="minorHAnsi" w:hAnsiTheme="minorHAnsi" w:cstheme="minorHAnsi"/>
          <w:lang w:val="el-GR"/>
        </w:rPr>
        <w:t>υ</w:t>
      </w:r>
      <w:r w:rsidRPr="00466073">
        <w:rPr>
          <w:rFonts w:asciiTheme="minorHAnsi" w:hAnsiTheme="minorHAnsi" w:cstheme="minorHAnsi"/>
          <w:lang w:val="el-GR"/>
        </w:rPr>
        <w:t xml:space="preserve"> δ</w:t>
      </w:r>
      <w:r w:rsidR="00D2755A" w:rsidRPr="00466073">
        <w:rPr>
          <w:rFonts w:asciiTheme="minorHAnsi" w:hAnsiTheme="minorHAnsi" w:cstheme="minorHAnsi"/>
          <w:lang w:val="el-GR"/>
        </w:rPr>
        <w:t>ικτύου</w:t>
      </w:r>
      <w:r w:rsidRPr="00466073">
        <w:rPr>
          <w:rFonts w:asciiTheme="minorHAnsi" w:hAnsiTheme="minorHAnsi" w:cstheme="minorHAnsi"/>
          <w:lang w:val="el-GR"/>
        </w:rPr>
        <w:t>.</w:t>
      </w:r>
      <w:r w:rsidR="00D2755A" w:rsidRPr="00466073">
        <w:rPr>
          <w:rFonts w:asciiTheme="minorHAnsi" w:hAnsiTheme="minorHAnsi" w:cstheme="minorHAnsi"/>
          <w:lang w:val="el-GR"/>
        </w:rPr>
        <w:t xml:space="preserve"> Όπως αναφέρθηκε ανωτέρω, το μεγαλύτερο μέρος της παραγόμενης ηλεκτρικής ενέργειας προέρχεται από την πυρηνική ενέργεια (52</w:t>
      </w:r>
      <w:r w:rsidR="00E975BE" w:rsidRPr="00466073">
        <w:rPr>
          <w:rFonts w:asciiTheme="minorHAnsi" w:hAnsiTheme="minorHAnsi" w:cstheme="minorHAnsi"/>
          <w:lang w:val="el-GR"/>
        </w:rPr>
        <w:t>,2</w:t>
      </w:r>
      <w:r w:rsidR="00D2755A" w:rsidRPr="00466073">
        <w:rPr>
          <w:rFonts w:asciiTheme="minorHAnsi" w:hAnsiTheme="minorHAnsi" w:cstheme="minorHAnsi"/>
          <w:lang w:val="el-GR"/>
        </w:rPr>
        <w:t xml:space="preserve">%), ποσοστό </w:t>
      </w:r>
      <w:r w:rsidR="00E975BE" w:rsidRPr="00466073">
        <w:rPr>
          <w:rFonts w:asciiTheme="minorHAnsi" w:hAnsiTheme="minorHAnsi" w:cstheme="minorHAnsi"/>
          <w:lang w:val="el-GR"/>
        </w:rPr>
        <w:t xml:space="preserve">19,5% από άνθρακα, </w:t>
      </w:r>
      <w:r w:rsidR="00D2755A" w:rsidRPr="00466073">
        <w:rPr>
          <w:rFonts w:asciiTheme="minorHAnsi" w:hAnsiTheme="minorHAnsi" w:cstheme="minorHAnsi"/>
          <w:lang w:val="el-GR"/>
        </w:rPr>
        <w:t>1</w:t>
      </w:r>
      <w:r w:rsidR="00E975BE" w:rsidRPr="00466073">
        <w:rPr>
          <w:rFonts w:asciiTheme="minorHAnsi" w:hAnsiTheme="minorHAnsi" w:cstheme="minorHAnsi"/>
          <w:lang w:val="el-GR"/>
        </w:rPr>
        <w:t>6,8</w:t>
      </w:r>
      <w:r w:rsidR="00D2755A" w:rsidRPr="00466073">
        <w:rPr>
          <w:rFonts w:asciiTheme="minorHAnsi" w:hAnsiTheme="minorHAnsi" w:cstheme="minorHAnsi"/>
          <w:lang w:val="el-GR"/>
        </w:rPr>
        <w:t>% από το φυσικό αέριο και 11</w:t>
      </w:r>
      <w:r w:rsidR="00E975BE" w:rsidRPr="00466073">
        <w:rPr>
          <w:rFonts w:asciiTheme="minorHAnsi" w:hAnsiTheme="minorHAnsi" w:cstheme="minorHAnsi"/>
          <w:lang w:val="el-GR"/>
        </w:rPr>
        <w:t>,5</w:t>
      </w:r>
      <w:r w:rsidR="00D2755A" w:rsidRPr="00466073">
        <w:rPr>
          <w:rFonts w:asciiTheme="minorHAnsi" w:hAnsiTheme="minorHAnsi" w:cstheme="minorHAnsi"/>
          <w:lang w:val="el-GR"/>
        </w:rPr>
        <w:t xml:space="preserve">% από ανανεώσιμες πηγές ενέργειας (ΑΠΕ). </w:t>
      </w:r>
      <w:r w:rsidR="00C02E0B" w:rsidRPr="00466073">
        <w:rPr>
          <w:rFonts w:asciiTheme="minorHAnsi" w:hAnsiTheme="minorHAnsi" w:cstheme="minorHAnsi"/>
          <w:lang w:val="el-GR"/>
        </w:rPr>
        <w:t>Επί του παρόντος, βρίσκονται σε εξέλιξη αναπτυξιακά έργα υποδομών του δικτύου και επέκτασης των διεθνών διασυνδέσεων (ειδικά με Σλοβενία και Σλοβακία). Περιφερειακή συνεργασία, ειδικά ως προς την αγοραπωλησία ηλεκτρικού ρεύματος στην «αγορά της προηγούμενης ημέρας» (</w:t>
      </w:r>
      <w:proofErr w:type="spellStart"/>
      <w:r w:rsidR="00C02E0B" w:rsidRPr="00466073">
        <w:rPr>
          <w:rFonts w:asciiTheme="minorHAnsi" w:hAnsiTheme="minorHAnsi" w:cstheme="minorHAnsi"/>
          <w:lang w:val="el-GR"/>
        </w:rPr>
        <w:t>day</w:t>
      </w:r>
      <w:proofErr w:type="spellEnd"/>
      <w:r w:rsidR="00C02E0B" w:rsidRPr="00466073">
        <w:rPr>
          <w:rFonts w:asciiTheme="minorHAnsi" w:hAnsiTheme="minorHAnsi" w:cstheme="minorHAnsi"/>
          <w:lang w:val="el-GR"/>
        </w:rPr>
        <w:t>-</w:t>
      </w:r>
      <w:proofErr w:type="spellStart"/>
      <w:r w:rsidR="00C02E0B" w:rsidRPr="00466073">
        <w:rPr>
          <w:rFonts w:asciiTheme="minorHAnsi" w:hAnsiTheme="minorHAnsi" w:cstheme="minorHAnsi"/>
          <w:lang w:val="el-GR"/>
        </w:rPr>
        <w:t>ahead</w:t>
      </w:r>
      <w:proofErr w:type="spellEnd"/>
      <w:r w:rsidR="00C02E0B" w:rsidRPr="00466073">
        <w:rPr>
          <w:rFonts w:asciiTheme="minorHAnsi" w:hAnsiTheme="minorHAnsi" w:cstheme="minorHAnsi"/>
          <w:lang w:val="el-GR"/>
        </w:rPr>
        <w:t xml:space="preserve"> </w:t>
      </w:r>
      <w:proofErr w:type="spellStart"/>
      <w:r w:rsidR="00C02E0B" w:rsidRPr="00466073">
        <w:rPr>
          <w:rFonts w:asciiTheme="minorHAnsi" w:hAnsiTheme="minorHAnsi" w:cstheme="minorHAnsi"/>
          <w:lang w:val="el-GR"/>
        </w:rPr>
        <w:t>electricity</w:t>
      </w:r>
      <w:proofErr w:type="spellEnd"/>
      <w:r w:rsidR="00C02E0B" w:rsidRPr="00466073">
        <w:rPr>
          <w:rFonts w:asciiTheme="minorHAnsi" w:hAnsiTheme="minorHAnsi" w:cstheme="minorHAnsi"/>
          <w:lang w:val="el-GR"/>
        </w:rPr>
        <w:t xml:space="preserve"> </w:t>
      </w:r>
      <w:proofErr w:type="spellStart"/>
      <w:r w:rsidR="00C02E0B" w:rsidRPr="00466073">
        <w:rPr>
          <w:rFonts w:asciiTheme="minorHAnsi" w:hAnsiTheme="minorHAnsi" w:cstheme="minorHAnsi"/>
          <w:lang w:val="el-GR"/>
        </w:rPr>
        <w:t>market</w:t>
      </w:r>
      <w:proofErr w:type="spellEnd"/>
      <w:r w:rsidR="00C02E0B" w:rsidRPr="00466073">
        <w:rPr>
          <w:rFonts w:asciiTheme="minorHAnsi" w:hAnsiTheme="minorHAnsi" w:cstheme="minorHAnsi"/>
          <w:lang w:val="el-GR"/>
        </w:rPr>
        <w:t>) έχει αναπτυχθεί με τις Τσεχία, Σλοβακία και Ρουμανία, ενώ προσπάθειες γίνονται και για συνεργασία στην «</w:t>
      </w:r>
      <w:proofErr w:type="spellStart"/>
      <w:r w:rsidR="00C02E0B" w:rsidRPr="00466073">
        <w:rPr>
          <w:rFonts w:asciiTheme="minorHAnsi" w:hAnsiTheme="minorHAnsi" w:cstheme="minorHAnsi"/>
          <w:lang w:val="el-GR"/>
        </w:rPr>
        <w:t>ενδοημερήσια</w:t>
      </w:r>
      <w:proofErr w:type="spellEnd"/>
      <w:r w:rsidR="00C02E0B" w:rsidRPr="00466073">
        <w:rPr>
          <w:rFonts w:asciiTheme="minorHAnsi" w:hAnsiTheme="minorHAnsi" w:cstheme="minorHAnsi"/>
          <w:lang w:val="el-GR"/>
        </w:rPr>
        <w:t xml:space="preserve"> αγορά» (</w:t>
      </w:r>
      <w:proofErr w:type="spellStart"/>
      <w:r w:rsidR="00C02E0B" w:rsidRPr="00466073">
        <w:rPr>
          <w:rFonts w:asciiTheme="minorHAnsi" w:hAnsiTheme="minorHAnsi" w:cstheme="minorHAnsi"/>
          <w:lang w:val="el-GR"/>
        </w:rPr>
        <w:t>intraday</w:t>
      </w:r>
      <w:proofErr w:type="spellEnd"/>
      <w:r w:rsidR="00C02E0B" w:rsidRPr="00466073">
        <w:rPr>
          <w:rFonts w:asciiTheme="minorHAnsi" w:hAnsiTheme="minorHAnsi" w:cstheme="minorHAnsi"/>
          <w:lang w:val="el-GR"/>
        </w:rPr>
        <w:t xml:space="preserve"> </w:t>
      </w:r>
      <w:proofErr w:type="spellStart"/>
      <w:r w:rsidR="00C02E0B" w:rsidRPr="00466073">
        <w:rPr>
          <w:rFonts w:asciiTheme="minorHAnsi" w:hAnsiTheme="minorHAnsi" w:cstheme="minorHAnsi"/>
          <w:lang w:val="el-GR"/>
        </w:rPr>
        <w:t>market</w:t>
      </w:r>
      <w:proofErr w:type="spellEnd"/>
      <w:r w:rsidR="00C02E0B" w:rsidRPr="00466073">
        <w:rPr>
          <w:rFonts w:asciiTheme="minorHAnsi" w:hAnsiTheme="minorHAnsi" w:cstheme="minorHAnsi"/>
          <w:lang w:val="el-GR"/>
        </w:rPr>
        <w:t>). Τέλος, η Ουγγαρία επεκτείνει τον μοναδικό πυρηνικό σταθμό της «</w:t>
      </w:r>
      <w:proofErr w:type="spellStart"/>
      <w:r w:rsidR="00C02E0B" w:rsidRPr="00466073">
        <w:rPr>
          <w:rFonts w:asciiTheme="minorHAnsi" w:hAnsiTheme="minorHAnsi" w:cstheme="minorHAnsi"/>
          <w:lang w:val="el-GR"/>
        </w:rPr>
        <w:t>Paks</w:t>
      </w:r>
      <w:proofErr w:type="spellEnd"/>
      <w:r w:rsidR="00C02E0B" w:rsidRPr="00466073">
        <w:rPr>
          <w:rFonts w:asciiTheme="minorHAnsi" w:hAnsiTheme="minorHAnsi" w:cstheme="minorHAnsi"/>
          <w:lang w:val="el-GR"/>
        </w:rPr>
        <w:t xml:space="preserve">», με δύο επιπλέον μονάδες που θα αυξήσουν κατά 2.400 MW την παραγωγή ηλεκτρικής ενέργειας. Επί του παρόντος, λειτουργούν 4 αντιδραστήρες, όμως λόγω παλαιότητας, δύο από αυτούς θα τεθούν εκτός λειτουργίας στις αρχές του 2030. Το έργο επέκτασης του σταθμού, συνολικού κόστους €12,5 </w:t>
      </w:r>
      <w:proofErr w:type="spellStart"/>
      <w:r w:rsidR="00C02E0B" w:rsidRPr="00466073">
        <w:rPr>
          <w:rFonts w:asciiTheme="minorHAnsi" w:hAnsiTheme="minorHAnsi" w:cstheme="minorHAnsi"/>
          <w:lang w:val="el-GR"/>
        </w:rPr>
        <w:t>δισεκ</w:t>
      </w:r>
      <w:proofErr w:type="spellEnd"/>
      <w:r w:rsidR="00C02E0B" w:rsidRPr="00466073">
        <w:rPr>
          <w:rFonts w:asciiTheme="minorHAnsi" w:hAnsiTheme="minorHAnsi" w:cstheme="minorHAnsi"/>
          <w:lang w:val="el-GR"/>
        </w:rPr>
        <w:t>., έχει καθυστερήσει. Σύμφωνα με το αρχικό χρονοδιάγραμμα ο σταθμός θα πρέπει να είναι έτοιμος και σε πλήρη λειτουργία το αργότερο μέχρι το 2026, πράγμα εντελώς ανέφικτο. Χωρίς την επέκταση του σταθμού, η Ουγγαρία θα αντιμετωπίσει προβλήματα επάρκειας σε ηλεκτρική ενέργεια εντός των επόμενων 5-10 ετών. Η κατασκευή των νέων μονάδων έχει ανατεθεί στη ρωσική εταιρεία «</w:t>
      </w:r>
      <w:proofErr w:type="spellStart"/>
      <w:r w:rsidR="00C02E0B" w:rsidRPr="00466073">
        <w:rPr>
          <w:rFonts w:asciiTheme="minorHAnsi" w:hAnsiTheme="minorHAnsi" w:cstheme="minorHAnsi"/>
          <w:lang w:val="el-GR"/>
        </w:rPr>
        <w:t>Rosatom</w:t>
      </w:r>
      <w:proofErr w:type="spellEnd"/>
      <w:r w:rsidR="00C02E0B" w:rsidRPr="00466073">
        <w:rPr>
          <w:rFonts w:asciiTheme="minorHAnsi" w:hAnsiTheme="minorHAnsi" w:cstheme="minorHAnsi"/>
          <w:lang w:val="el-GR"/>
        </w:rPr>
        <w:t xml:space="preserve">». </w:t>
      </w:r>
    </w:p>
    <w:p w:rsidR="00C02E0B" w:rsidRPr="00466073" w:rsidRDefault="00C02E0B" w:rsidP="00C02E0B">
      <w:pPr>
        <w:jc w:val="both"/>
        <w:rPr>
          <w:rFonts w:asciiTheme="minorHAnsi" w:hAnsiTheme="minorHAnsi" w:cstheme="minorHAnsi"/>
          <w:lang w:val="el-GR"/>
        </w:rPr>
      </w:pPr>
    </w:p>
    <w:p w:rsidR="00C02E0B" w:rsidRPr="00466073" w:rsidRDefault="00C02E0B" w:rsidP="00C02E0B">
      <w:pPr>
        <w:jc w:val="both"/>
        <w:rPr>
          <w:rFonts w:asciiTheme="minorHAnsi" w:hAnsiTheme="minorHAnsi" w:cstheme="minorHAnsi"/>
          <w:lang w:val="el-GR"/>
        </w:rPr>
      </w:pPr>
      <w:r w:rsidRPr="00466073">
        <w:rPr>
          <w:rFonts w:asciiTheme="minorHAnsi" w:hAnsiTheme="minorHAnsi" w:cstheme="minorHAnsi"/>
          <w:lang w:val="el-GR"/>
        </w:rPr>
        <w:lastRenderedPageBreak/>
        <w:t>Η εξάρτηση της Ουγγαρίας από ενεργειακούς προμηθευτές (και κυρίως την Ρωσία) εντείνεται περισσότερο καθώς η χώρα καλύπτει σχεδόν το 90% των αναγκών της σε πετρέλαιο με εισαγωγές που πραγματοποιεί από την Ρωσία και περίπου 16% από το Ιράκ. Επίσης, η Ουγγαρία εισάγει  προϊόντα πετρελαίου από την Σλοβακία (26,03%) και την Αυστρία (22,58%), ενώ εισάγει άνθρακα από τις ΗΠΑ (55,51%) και την Τσεχία (17,36%).</w:t>
      </w:r>
    </w:p>
    <w:p w:rsidR="00C02E0B" w:rsidRPr="00466073" w:rsidRDefault="00C02E0B" w:rsidP="008C170E">
      <w:pPr>
        <w:jc w:val="both"/>
        <w:rPr>
          <w:rFonts w:asciiTheme="minorHAnsi" w:hAnsiTheme="minorHAnsi" w:cstheme="minorHAnsi"/>
          <w:lang w:val="el-GR"/>
        </w:rPr>
      </w:pPr>
    </w:p>
    <w:p w:rsidR="00B715E3" w:rsidRPr="00466073" w:rsidRDefault="00817009" w:rsidP="00F81E5E">
      <w:pPr>
        <w:jc w:val="both"/>
        <w:rPr>
          <w:rFonts w:asciiTheme="minorHAnsi" w:hAnsiTheme="minorHAnsi" w:cstheme="minorHAnsi"/>
          <w:lang w:val="el-GR"/>
        </w:rPr>
      </w:pPr>
      <w:r w:rsidRPr="00466073">
        <w:rPr>
          <w:rFonts w:asciiTheme="minorHAnsi" w:hAnsiTheme="minorHAnsi" w:cstheme="minorHAnsi"/>
          <w:lang w:val="el-GR"/>
        </w:rPr>
        <w:t xml:space="preserve">Από το </w:t>
      </w:r>
      <w:r w:rsidR="00A164BB" w:rsidRPr="00466073">
        <w:rPr>
          <w:rFonts w:asciiTheme="minorHAnsi" w:hAnsiTheme="minorHAnsi" w:cstheme="minorHAnsi"/>
          <w:lang w:val="el-GR"/>
        </w:rPr>
        <w:t xml:space="preserve">2012 η κυβέρνηση </w:t>
      </w:r>
      <w:r w:rsidRPr="00466073">
        <w:rPr>
          <w:rFonts w:asciiTheme="minorHAnsi" w:hAnsiTheme="minorHAnsi" w:cstheme="minorHAnsi"/>
          <w:lang w:val="el-GR"/>
        </w:rPr>
        <w:t xml:space="preserve">έχει υιοθετήσει την </w:t>
      </w:r>
      <w:r w:rsidR="00D00DE5" w:rsidRPr="00466073">
        <w:rPr>
          <w:rFonts w:asciiTheme="minorHAnsi" w:hAnsiTheme="minorHAnsi" w:cstheme="minorHAnsi"/>
          <w:lang w:val="el-GR"/>
        </w:rPr>
        <w:t>ενεργειακή στρατηγική</w:t>
      </w:r>
      <w:r w:rsidR="00A164BB" w:rsidRPr="00466073">
        <w:rPr>
          <w:rFonts w:asciiTheme="minorHAnsi" w:hAnsiTheme="minorHAnsi" w:cstheme="minorHAnsi"/>
          <w:lang w:val="el-GR"/>
        </w:rPr>
        <w:t xml:space="preserve"> (</w:t>
      </w:r>
      <w:proofErr w:type="spellStart"/>
      <w:r w:rsidR="00D00DE5" w:rsidRPr="00466073">
        <w:rPr>
          <w:rFonts w:asciiTheme="minorHAnsi" w:hAnsiTheme="minorHAnsi" w:cstheme="minorHAnsi"/>
          <w:lang w:val="el-GR"/>
        </w:rPr>
        <w:t>National</w:t>
      </w:r>
      <w:proofErr w:type="spellEnd"/>
      <w:r w:rsidR="00D00DE5" w:rsidRPr="00466073">
        <w:rPr>
          <w:rFonts w:asciiTheme="minorHAnsi" w:hAnsiTheme="minorHAnsi" w:cstheme="minorHAnsi"/>
          <w:lang w:val="el-GR"/>
        </w:rPr>
        <w:t xml:space="preserve"> </w:t>
      </w:r>
      <w:proofErr w:type="spellStart"/>
      <w:r w:rsidR="00D00DE5" w:rsidRPr="00466073">
        <w:rPr>
          <w:rFonts w:asciiTheme="minorHAnsi" w:hAnsiTheme="minorHAnsi" w:cstheme="minorHAnsi"/>
          <w:lang w:val="el-GR"/>
        </w:rPr>
        <w:t>Energy</w:t>
      </w:r>
      <w:proofErr w:type="spellEnd"/>
      <w:r w:rsidR="00D00DE5" w:rsidRPr="00466073">
        <w:rPr>
          <w:rFonts w:asciiTheme="minorHAnsi" w:hAnsiTheme="minorHAnsi" w:cstheme="minorHAnsi"/>
          <w:lang w:val="el-GR"/>
        </w:rPr>
        <w:t xml:space="preserve"> </w:t>
      </w:r>
      <w:proofErr w:type="spellStart"/>
      <w:r w:rsidR="00D00DE5" w:rsidRPr="00466073">
        <w:rPr>
          <w:rFonts w:asciiTheme="minorHAnsi" w:hAnsiTheme="minorHAnsi" w:cstheme="minorHAnsi"/>
          <w:lang w:val="el-GR"/>
        </w:rPr>
        <w:t>Strategy</w:t>
      </w:r>
      <w:proofErr w:type="spellEnd"/>
      <w:r w:rsidR="00D00DE5" w:rsidRPr="00466073">
        <w:rPr>
          <w:rFonts w:asciiTheme="minorHAnsi" w:hAnsiTheme="minorHAnsi" w:cstheme="minorHAnsi"/>
          <w:lang w:val="el-GR"/>
        </w:rPr>
        <w:t xml:space="preserve"> </w:t>
      </w:r>
      <w:r w:rsidR="00A164BB" w:rsidRPr="00466073">
        <w:rPr>
          <w:rFonts w:asciiTheme="minorHAnsi" w:hAnsiTheme="minorHAnsi" w:cstheme="minorHAnsi"/>
          <w:lang w:val="el-GR"/>
        </w:rPr>
        <w:t>2030 -</w:t>
      </w:r>
      <w:r w:rsidR="00D00DE5" w:rsidRPr="00466073">
        <w:rPr>
          <w:rFonts w:asciiTheme="minorHAnsi" w:hAnsiTheme="minorHAnsi" w:cstheme="minorHAnsi"/>
          <w:lang w:val="el-GR"/>
        </w:rPr>
        <w:t xml:space="preserve">NES 2030), που αντικατοπτρίζει την πολιτική βούληση και όραμα για μια μακρόχρονη βιώσιμη ενεργειακή πολιτική που θα εξασφαλίζει την ενεργειακή ασφάλεια της χώρας και την ανταγωνιστικότητα στον κλάδο. </w:t>
      </w:r>
      <w:r w:rsidR="00A164BB" w:rsidRPr="00466073">
        <w:rPr>
          <w:rFonts w:asciiTheme="minorHAnsi" w:hAnsiTheme="minorHAnsi" w:cstheme="minorHAnsi"/>
          <w:lang w:val="el-GR"/>
        </w:rPr>
        <w:t xml:space="preserve">Πράγματι, τα τελευταία έτη συντελέστηκαν σημαντικές αλλαγές με κυρίαρχες τη μείωση του ενεργειακού κόστους των νοικοκυριών. </w:t>
      </w:r>
    </w:p>
    <w:p w:rsidR="00C02E0B" w:rsidRPr="00466073" w:rsidRDefault="00817009" w:rsidP="00C02E0B">
      <w:pPr>
        <w:jc w:val="both"/>
        <w:rPr>
          <w:rFonts w:asciiTheme="minorHAnsi" w:hAnsiTheme="minorHAnsi" w:cstheme="minorHAnsi"/>
          <w:lang w:val="el-GR"/>
        </w:rPr>
      </w:pPr>
      <w:r w:rsidRPr="00466073">
        <w:rPr>
          <w:rFonts w:asciiTheme="minorHAnsi" w:hAnsiTheme="minorHAnsi" w:cstheme="minorHAnsi"/>
          <w:lang w:val="el-GR"/>
        </w:rPr>
        <w:t xml:space="preserve">Σημαντική μείωση σημειώθηκε και στις </w:t>
      </w:r>
      <w:r w:rsidR="00C92098" w:rsidRPr="00466073">
        <w:rPr>
          <w:rFonts w:asciiTheme="minorHAnsi" w:hAnsiTheme="minorHAnsi" w:cstheme="minorHAnsi"/>
          <w:lang w:val="el-GR"/>
        </w:rPr>
        <w:t xml:space="preserve">εκπομπές ατμοσφαιρικών ρύπων, καθώς οι περισσότεροι κλάδοι της οικονομίας έχουν μειώσει την εξάρτησή τους από πηγές ενέργειας με υψηλές εκπομπές άνθρακα. </w:t>
      </w:r>
      <w:r w:rsidR="00E40855" w:rsidRPr="00466073">
        <w:rPr>
          <w:rFonts w:asciiTheme="minorHAnsi" w:hAnsiTheme="minorHAnsi" w:cstheme="minorHAnsi"/>
          <w:lang w:val="el-GR"/>
        </w:rPr>
        <w:t>Υιοθετώντας και εφαρμόζοντας πιστά την Εθνική Στρατηγική για την Κλιματική Αλλαγή (</w:t>
      </w:r>
      <w:proofErr w:type="spellStart"/>
      <w:r w:rsidR="00E40855" w:rsidRPr="00466073">
        <w:rPr>
          <w:rFonts w:asciiTheme="minorHAnsi" w:hAnsiTheme="minorHAnsi" w:cstheme="minorHAnsi"/>
          <w:lang w:val="el-GR"/>
        </w:rPr>
        <w:t>National</w:t>
      </w:r>
      <w:proofErr w:type="spellEnd"/>
      <w:r w:rsidR="00E40855" w:rsidRPr="00466073">
        <w:rPr>
          <w:rFonts w:asciiTheme="minorHAnsi" w:hAnsiTheme="minorHAnsi" w:cstheme="minorHAnsi"/>
          <w:lang w:val="el-GR"/>
        </w:rPr>
        <w:t xml:space="preserve"> </w:t>
      </w:r>
      <w:proofErr w:type="spellStart"/>
      <w:r w:rsidR="00E40855" w:rsidRPr="00466073">
        <w:rPr>
          <w:rFonts w:asciiTheme="minorHAnsi" w:hAnsiTheme="minorHAnsi" w:cstheme="minorHAnsi"/>
          <w:lang w:val="el-GR"/>
        </w:rPr>
        <w:t>Climate</w:t>
      </w:r>
      <w:proofErr w:type="spellEnd"/>
      <w:r w:rsidR="00E40855" w:rsidRPr="00466073">
        <w:rPr>
          <w:rFonts w:asciiTheme="minorHAnsi" w:hAnsiTheme="minorHAnsi" w:cstheme="minorHAnsi"/>
          <w:lang w:val="el-GR"/>
        </w:rPr>
        <w:t xml:space="preserve"> </w:t>
      </w:r>
      <w:proofErr w:type="spellStart"/>
      <w:r w:rsidR="00E40855" w:rsidRPr="00466073">
        <w:rPr>
          <w:rFonts w:asciiTheme="minorHAnsi" w:hAnsiTheme="minorHAnsi" w:cstheme="minorHAnsi"/>
          <w:lang w:val="el-GR"/>
        </w:rPr>
        <w:t>Change</w:t>
      </w:r>
      <w:proofErr w:type="spellEnd"/>
      <w:r w:rsidR="00E40855" w:rsidRPr="00466073">
        <w:rPr>
          <w:rFonts w:asciiTheme="minorHAnsi" w:hAnsiTheme="minorHAnsi" w:cstheme="minorHAnsi"/>
          <w:lang w:val="el-GR"/>
        </w:rPr>
        <w:t xml:space="preserve"> </w:t>
      </w:r>
      <w:proofErr w:type="spellStart"/>
      <w:r w:rsidR="00E40855" w:rsidRPr="00466073">
        <w:rPr>
          <w:rFonts w:asciiTheme="minorHAnsi" w:hAnsiTheme="minorHAnsi" w:cstheme="minorHAnsi"/>
          <w:lang w:val="el-GR"/>
        </w:rPr>
        <w:t>Strategy</w:t>
      </w:r>
      <w:proofErr w:type="spellEnd"/>
      <w:r w:rsidR="00E40855" w:rsidRPr="00466073">
        <w:rPr>
          <w:rFonts w:asciiTheme="minorHAnsi" w:hAnsiTheme="minorHAnsi" w:cstheme="minorHAnsi"/>
          <w:lang w:val="el-GR"/>
        </w:rPr>
        <w:t xml:space="preserve"> 2008‐2025 -NCCS), η Ουγγαρία πέτυχε το 2014 μείωση ατμοσφαιρικών ρύπων κατά 40% σε σχέση με τα επίπεδα του 1990 και 24,6% σε σχέση με τα επίπεδα του 2005. </w:t>
      </w:r>
      <w:r w:rsidR="00C02E0B" w:rsidRPr="00466073">
        <w:rPr>
          <w:rFonts w:asciiTheme="minorHAnsi" w:hAnsiTheme="minorHAnsi" w:cstheme="minorHAnsi"/>
          <w:lang w:val="el-GR"/>
        </w:rPr>
        <w:t xml:space="preserve">Αξίζει να σημειωθεί ότι η Ουγγαρία, καθώς και ακόμα 10 κ-μ, έχει ήδη ξεπεράσει από το 2013 τους περιβαλλοντικούς στόχους της Ε.Ε. για το 2020 που αφορούσαν στη συμμετοχή ΑΠΕ στο ενεργειακό μίγμα της χώρας. Ο στόχος του 14,65% για το 2020 που είχε θέσει η Ουγγαρία για παραγωγή ενέργειας από ΑΠΕ επιτεύχθηκε κυρίως από χρήση ηλιακής ενέργειας και βιομάζας. Το 2019 η παραγωγή ηλεκτρικής ενέργειας από </w:t>
      </w:r>
      <w:proofErr w:type="spellStart"/>
      <w:r w:rsidR="00C02E0B" w:rsidRPr="00466073">
        <w:rPr>
          <w:rFonts w:asciiTheme="minorHAnsi" w:hAnsiTheme="minorHAnsi" w:cstheme="minorHAnsi"/>
          <w:lang w:val="el-GR"/>
        </w:rPr>
        <w:t>φωτοβολταϊκά</w:t>
      </w:r>
      <w:proofErr w:type="spellEnd"/>
      <w:r w:rsidR="00C02E0B" w:rsidRPr="00466073">
        <w:rPr>
          <w:rFonts w:asciiTheme="minorHAnsi" w:hAnsiTheme="minorHAnsi" w:cstheme="minorHAnsi"/>
          <w:lang w:val="el-GR"/>
        </w:rPr>
        <w:t xml:space="preserve"> συστήματα αυξήθηκε στα 653 </w:t>
      </w:r>
      <w:proofErr w:type="spellStart"/>
      <w:r w:rsidR="00C02E0B" w:rsidRPr="00466073">
        <w:rPr>
          <w:rFonts w:asciiTheme="minorHAnsi" w:hAnsiTheme="minorHAnsi" w:cstheme="minorHAnsi"/>
          <w:lang w:val="el-GR"/>
        </w:rPr>
        <w:t>Mw</w:t>
      </w:r>
      <w:proofErr w:type="spellEnd"/>
      <w:r w:rsidR="00C02E0B" w:rsidRPr="00466073">
        <w:rPr>
          <w:rFonts w:asciiTheme="minorHAnsi" w:hAnsiTheme="minorHAnsi" w:cstheme="minorHAnsi"/>
          <w:lang w:val="el-GR"/>
        </w:rPr>
        <w:t xml:space="preserve"> (μεγαβάτ) από 410 </w:t>
      </w:r>
      <w:proofErr w:type="spellStart"/>
      <w:r w:rsidR="00C02E0B" w:rsidRPr="00466073">
        <w:rPr>
          <w:rFonts w:asciiTheme="minorHAnsi" w:hAnsiTheme="minorHAnsi" w:cstheme="minorHAnsi"/>
          <w:lang w:val="el-GR"/>
        </w:rPr>
        <w:t>Mw</w:t>
      </w:r>
      <w:proofErr w:type="spellEnd"/>
      <w:r w:rsidR="00C02E0B" w:rsidRPr="00466073">
        <w:rPr>
          <w:rFonts w:asciiTheme="minorHAnsi" w:hAnsiTheme="minorHAnsi" w:cstheme="minorHAnsi"/>
          <w:lang w:val="el-GR"/>
        </w:rPr>
        <w:t xml:space="preserve"> το 2018, με τη συνολική δυναμικότητα της χώρας σε </w:t>
      </w:r>
      <w:proofErr w:type="spellStart"/>
      <w:r w:rsidR="00C02E0B" w:rsidRPr="00466073">
        <w:rPr>
          <w:rFonts w:asciiTheme="minorHAnsi" w:hAnsiTheme="minorHAnsi" w:cstheme="minorHAnsi"/>
          <w:lang w:val="el-GR"/>
        </w:rPr>
        <w:t>φωτοβολταϊκή</w:t>
      </w:r>
      <w:proofErr w:type="spellEnd"/>
      <w:r w:rsidR="00C02E0B" w:rsidRPr="00466073">
        <w:rPr>
          <w:rFonts w:asciiTheme="minorHAnsi" w:hAnsiTheme="minorHAnsi" w:cstheme="minorHAnsi"/>
          <w:lang w:val="el-GR"/>
        </w:rPr>
        <w:t xml:space="preserve"> ενέργεια ν</w:t>
      </w:r>
      <w:r w:rsidR="00402032" w:rsidRPr="00466073">
        <w:rPr>
          <w:rFonts w:asciiTheme="minorHAnsi" w:hAnsiTheme="minorHAnsi" w:cstheme="minorHAnsi"/>
          <w:lang w:val="el-GR"/>
        </w:rPr>
        <w:t xml:space="preserve">α ξεπερνάει τα 1.450 </w:t>
      </w:r>
      <w:proofErr w:type="spellStart"/>
      <w:r w:rsidR="00402032" w:rsidRPr="00466073">
        <w:rPr>
          <w:rFonts w:asciiTheme="minorHAnsi" w:hAnsiTheme="minorHAnsi" w:cstheme="minorHAnsi"/>
          <w:lang w:val="el-GR"/>
        </w:rPr>
        <w:t>Mw</w:t>
      </w:r>
      <w:proofErr w:type="spellEnd"/>
      <w:r w:rsidR="00402032" w:rsidRPr="00466073">
        <w:rPr>
          <w:rFonts w:asciiTheme="minorHAnsi" w:hAnsiTheme="minorHAnsi" w:cstheme="minorHAnsi"/>
          <w:lang w:val="el-GR"/>
        </w:rPr>
        <w:t>. Το 2021</w:t>
      </w:r>
      <w:r w:rsidR="00C02E0B" w:rsidRPr="00466073">
        <w:rPr>
          <w:rFonts w:asciiTheme="minorHAnsi" w:hAnsiTheme="minorHAnsi" w:cstheme="minorHAnsi"/>
          <w:lang w:val="el-GR"/>
        </w:rPr>
        <w:t>, σύμφωνα με την Κρατική Εταιρείας Διαχείρισης Ηλεκτρισμού «</w:t>
      </w:r>
      <w:proofErr w:type="spellStart"/>
      <w:r w:rsidR="00C02E0B" w:rsidRPr="00466073">
        <w:rPr>
          <w:rFonts w:asciiTheme="minorHAnsi" w:hAnsiTheme="minorHAnsi" w:cstheme="minorHAnsi"/>
          <w:lang w:val="el-GR"/>
        </w:rPr>
        <w:t>Mavir</w:t>
      </w:r>
      <w:proofErr w:type="spellEnd"/>
      <w:r w:rsidR="00C2447B" w:rsidRPr="00466073">
        <w:rPr>
          <w:rFonts w:asciiTheme="minorHAnsi" w:hAnsiTheme="minorHAnsi" w:cstheme="minorHAnsi"/>
          <w:lang w:val="el-GR"/>
        </w:rPr>
        <w:t xml:space="preserve"> Ζ</w:t>
      </w:r>
      <w:proofErr w:type="spellStart"/>
      <w:r w:rsidR="00C2447B" w:rsidRPr="00466073">
        <w:rPr>
          <w:rFonts w:asciiTheme="minorHAnsi" w:hAnsiTheme="minorHAnsi" w:cstheme="minorHAnsi"/>
        </w:rPr>
        <w:t>rt</w:t>
      </w:r>
      <w:proofErr w:type="spellEnd"/>
      <w:r w:rsidR="00C2447B" w:rsidRPr="00466073">
        <w:rPr>
          <w:rFonts w:asciiTheme="minorHAnsi" w:hAnsiTheme="minorHAnsi" w:cstheme="minorHAnsi"/>
          <w:lang w:val="el-GR"/>
        </w:rPr>
        <w:t>.</w:t>
      </w:r>
      <w:r w:rsidR="00C02E0B" w:rsidRPr="00466073">
        <w:rPr>
          <w:rFonts w:asciiTheme="minorHAnsi" w:hAnsiTheme="minorHAnsi" w:cstheme="minorHAnsi"/>
          <w:lang w:val="el-GR"/>
        </w:rPr>
        <w:t xml:space="preserve">», η δυναμικότητα της Ουγγαρίας σε ηλιακή ενέργεια </w:t>
      </w:r>
      <w:r w:rsidR="00402032" w:rsidRPr="00466073">
        <w:rPr>
          <w:rFonts w:asciiTheme="minorHAnsi" w:hAnsiTheme="minorHAnsi" w:cstheme="minorHAnsi"/>
          <w:lang w:val="el-GR"/>
        </w:rPr>
        <w:t xml:space="preserve">υπερέβη </w:t>
      </w:r>
      <w:r w:rsidR="0073480C" w:rsidRPr="00466073">
        <w:rPr>
          <w:rFonts w:asciiTheme="minorHAnsi" w:hAnsiTheme="minorHAnsi" w:cstheme="minorHAnsi"/>
          <w:lang w:val="el-GR"/>
        </w:rPr>
        <w:t>τα 2.3</w:t>
      </w:r>
      <w:r w:rsidR="0027346A" w:rsidRPr="00466073">
        <w:rPr>
          <w:rFonts w:asciiTheme="minorHAnsi" w:hAnsiTheme="minorHAnsi" w:cstheme="minorHAnsi"/>
          <w:lang w:val="el-GR"/>
        </w:rPr>
        <w:t xml:space="preserve">00 </w:t>
      </w:r>
      <w:proofErr w:type="spellStart"/>
      <w:r w:rsidR="0027346A" w:rsidRPr="00466073">
        <w:rPr>
          <w:rFonts w:asciiTheme="minorHAnsi" w:hAnsiTheme="minorHAnsi" w:cstheme="minorHAnsi"/>
          <w:lang w:val="el-GR"/>
        </w:rPr>
        <w:t>Mw</w:t>
      </w:r>
      <w:proofErr w:type="spellEnd"/>
      <w:r w:rsidR="0027346A" w:rsidRPr="00466073">
        <w:rPr>
          <w:rFonts w:asciiTheme="minorHAnsi" w:hAnsiTheme="minorHAnsi" w:cstheme="minorHAnsi"/>
          <w:lang w:val="el-GR"/>
        </w:rPr>
        <w:t xml:space="preserve">. Μέχρι το τέλος του </w:t>
      </w:r>
      <w:r w:rsidR="00C02E0B" w:rsidRPr="00466073">
        <w:rPr>
          <w:rFonts w:asciiTheme="minorHAnsi" w:hAnsiTheme="minorHAnsi" w:cstheme="minorHAnsi"/>
          <w:lang w:val="el-GR"/>
        </w:rPr>
        <w:t xml:space="preserve">2023 αναμένεται αύξηση της δυναμικότητας στα 3.700 </w:t>
      </w:r>
      <w:proofErr w:type="spellStart"/>
      <w:r w:rsidR="00C02E0B" w:rsidRPr="00466073">
        <w:rPr>
          <w:rFonts w:asciiTheme="minorHAnsi" w:hAnsiTheme="minorHAnsi" w:cstheme="minorHAnsi"/>
          <w:lang w:val="el-GR"/>
        </w:rPr>
        <w:t>Mw</w:t>
      </w:r>
      <w:proofErr w:type="spellEnd"/>
      <w:r w:rsidR="00C02E0B" w:rsidRPr="00466073">
        <w:rPr>
          <w:rFonts w:asciiTheme="minorHAnsi" w:hAnsiTheme="minorHAnsi" w:cstheme="minorHAnsi"/>
          <w:lang w:val="el-GR"/>
        </w:rPr>
        <w:t xml:space="preserve">. Η αιολική ενέργεια όμως έχει περιοριστεί στα 330 </w:t>
      </w:r>
      <w:proofErr w:type="spellStart"/>
      <w:r w:rsidR="00C02E0B" w:rsidRPr="00466073">
        <w:rPr>
          <w:rFonts w:asciiTheme="minorHAnsi" w:hAnsiTheme="minorHAnsi" w:cstheme="minorHAnsi"/>
          <w:lang w:val="el-GR"/>
        </w:rPr>
        <w:t>Mw</w:t>
      </w:r>
      <w:proofErr w:type="spellEnd"/>
      <w:r w:rsidR="00C02E0B" w:rsidRPr="00466073">
        <w:rPr>
          <w:rFonts w:asciiTheme="minorHAnsi" w:hAnsiTheme="minorHAnsi" w:cstheme="minorHAnsi"/>
          <w:lang w:val="el-GR"/>
        </w:rPr>
        <w:t>, αφού  τα τελευταία χρόνια, απουσιάζουν από τη χώρα, επενδύσεις σε αιολικά πάρκα.</w:t>
      </w:r>
    </w:p>
    <w:p w:rsidR="00C02E0B" w:rsidRPr="00466073" w:rsidRDefault="00C02E0B" w:rsidP="00950A68">
      <w:pPr>
        <w:jc w:val="both"/>
        <w:rPr>
          <w:rFonts w:asciiTheme="minorHAnsi" w:hAnsiTheme="minorHAnsi" w:cstheme="minorHAnsi"/>
          <w:lang w:val="el-GR"/>
        </w:rPr>
      </w:pPr>
    </w:p>
    <w:p w:rsidR="00C01262" w:rsidRPr="00466073" w:rsidRDefault="00C02E0B" w:rsidP="00C01262">
      <w:pPr>
        <w:jc w:val="both"/>
        <w:rPr>
          <w:rFonts w:asciiTheme="minorHAnsi" w:hAnsiTheme="minorHAnsi" w:cstheme="minorHAnsi"/>
          <w:lang w:val="el-GR"/>
        </w:rPr>
      </w:pPr>
      <w:r w:rsidRPr="00466073">
        <w:rPr>
          <w:rFonts w:asciiTheme="minorHAnsi" w:hAnsiTheme="minorHAnsi" w:cstheme="minorHAnsi"/>
          <w:lang w:val="el-GR"/>
        </w:rPr>
        <w:t>Η</w:t>
      </w:r>
      <w:r w:rsidR="00681773" w:rsidRPr="00466073">
        <w:rPr>
          <w:rFonts w:asciiTheme="minorHAnsi" w:hAnsiTheme="minorHAnsi" w:cstheme="minorHAnsi"/>
          <w:lang w:val="el-GR"/>
        </w:rPr>
        <w:t xml:space="preserve"> χώρα </w:t>
      </w:r>
      <w:r w:rsidRPr="00466073">
        <w:rPr>
          <w:rFonts w:asciiTheme="minorHAnsi" w:hAnsiTheme="minorHAnsi" w:cstheme="minorHAnsi"/>
          <w:lang w:val="el-GR"/>
        </w:rPr>
        <w:t xml:space="preserve">συνεχίζει να </w:t>
      </w:r>
      <w:r w:rsidR="00681773" w:rsidRPr="00466073">
        <w:rPr>
          <w:rFonts w:asciiTheme="minorHAnsi" w:hAnsiTheme="minorHAnsi" w:cstheme="minorHAnsi"/>
          <w:lang w:val="el-GR"/>
        </w:rPr>
        <w:t xml:space="preserve">καταβάλλει τεράστιες προσπάθειες για την αύξηση του ποσοστού χρήσης ενέργειας από ανανεώσιμες πηγές. </w:t>
      </w:r>
      <w:r w:rsidRPr="00466073">
        <w:rPr>
          <w:rFonts w:asciiTheme="minorHAnsi" w:hAnsiTheme="minorHAnsi" w:cstheme="minorHAnsi"/>
          <w:lang w:val="el-GR"/>
        </w:rPr>
        <w:t>Τ</w:t>
      </w:r>
      <w:r w:rsidR="000E438F" w:rsidRPr="00466073">
        <w:rPr>
          <w:rFonts w:asciiTheme="minorHAnsi" w:hAnsiTheme="minorHAnsi" w:cstheme="minorHAnsi"/>
          <w:lang w:val="el-GR"/>
        </w:rPr>
        <w:t xml:space="preserve">ην περίοδο 2017-2020 </w:t>
      </w:r>
      <w:r w:rsidR="00950A68" w:rsidRPr="00466073">
        <w:rPr>
          <w:rFonts w:asciiTheme="minorHAnsi" w:hAnsiTheme="minorHAnsi" w:cstheme="minorHAnsi"/>
          <w:lang w:val="el-GR"/>
        </w:rPr>
        <w:t xml:space="preserve">σημειώθηκε τεράστια αύξηση των επενδύσεων στις ανανεώσιμες πηγές ενέργειας και κυρίως στα ηλιακά πάνελ. </w:t>
      </w:r>
      <w:r w:rsidR="00C01262" w:rsidRPr="00466073">
        <w:rPr>
          <w:rFonts w:asciiTheme="minorHAnsi" w:hAnsiTheme="minorHAnsi" w:cstheme="minorHAnsi"/>
          <w:lang w:val="el-GR"/>
        </w:rPr>
        <w:t xml:space="preserve">Η </w:t>
      </w:r>
      <w:r w:rsidR="000E438F" w:rsidRPr="00466073">
        <w:rPr>
          <w:rFonts w:asciiTheme="minorHAnsi" w:hAnsiTheme="minorHAnsi" w:cstheme="minorHAnsi"/>
          <w:lang w:val="el-GR"/>
        </w:rPr>
        <w:t>Ουγγαρία είχε εκπληρώσει περισσότερο από τη δέσμευσή της έως το 2020, καθώς πέτυχε να μειώσει τις εκπομπές διοξειδίου του άνθρακα κατά 33%.</w:t>
      </w:r>
      <w:r w:rsidR="00C01262" w:rsidRPr="00466073">
        <w:rPr>
          <w:rFonts w:asciiTheme="minorHAnsi" w:hAnsiTheme="minorHAnsi" w:cstheme="minorHAnsi"/>
          <w:lang w:val="el-GR"/>
        </w:rPr>
        <w:t xml:space="preserve">  Συνολικά, οι επενδύσεις για πράσινη ανάπτυξη</w:t>
      </w:r>
      <w:r w:rsidR="00C01262" w:rsidRPr="00466073">
        <w:rPr>
          <w:rFonts w:asciiTheme="minorHAnsi" w:hAnsiTheme="minorHAnsi" w:cstheme="minorHAnsi"/>
          <w:lang w:val="hu-HU"/>
        </w:rPr>
        <w:t xml:space="preserve">, </w:t>
      </w:r>
      <w:r w:rsidR="00C01262" w:rsidRPr="00466073">
        <w:rPr>
          <w:rFonts w:asciiTheme="minorHAnsi" w:hAnsiTheme="minorHAnsi" w:cstheme="minorHAnsi"/>
          <w:lang w:val="el-GR"/>
        </w:rPr>
        <w:t>το</w:t>
      </w:r>
      <w:r w:rsidR="00C01262" w:rsidRPr="00466073">
        <w:rPr>
          <w:rFonts w:asciiTheme="minorHAnsi" w:hAnsiTheme="minorHAnsi" w:cstheme="minorHAnsi"/>
          <w:lang w:val="hu-HU"/>
        </w:rPr>
        <w:t xml:space="preserve"> 2022 </w:t>
      </w:r>
      <w:r w:rsidR="00C01262" w:rsidRPr="00466073">
        <w:rPr>
          <w:rFonts w:asciiTheme="minorHAnsi" w:hAnsiTheme="minorHAnsi" w:cstheme="minorHAnsi"/>
          <w:lang w:val="el-GR"/>
        </w:rPr>
        <w:t xml:space="preserve"> άγγιξαν τα $1,</w:t>
      </w:r>
      <w:r w:rsidR="0027346A" w:rsidRPr="00466073">
        <w:rPr>
          <w:rFonts w:asciiTheme="minorHAnsi" w:hAnsiTheme="minorHAnsi" w:cstheme="minorHAnsi"/>
          <w:lang w:val="el-GR"/>
        </w:rPr>
        <w:t>3</w:t>
      </w:r>
      <w:r w:rsidR="00C01262" w:rsidRPr="00466073">
        <w:rPr>
          <w:rFonts w:asciiTheme="minorHAnsi" w:hAnsiTheme="minorHAnsi" w:cstheme="minorHAnsi"/>
          <w:lang w:val="el-GR"/>
        </w:rPr>
        <w:t xml:space="preserve"> δισ. Η αύξηση αποδίδεται στην αλλαγή της πολιτικής των επιδοτήσεων, στην ευκολία χρηματοδότησης και στη μείωση του κόστους απόκτησης νέων τεχνολογιών, παράγοντες που ώθησαν τους επενδυτές στην κατασκευή μικρών σταθμών ηλεκτροπαραγωγής με δυναμικότητα αρκετών δεκάδων </w:t>
      </w:r>
      <w:proofErr w:type="spellStart"/>
      <w:r w:rsidR="00C01262" w:rsidRPr="00466073">
        <w:rPr>
          <w:rFonts w:asciiTheme="minorHAnsi" w:hAnsiTheme="minorHAnsi" w:cstheme="minorHAnsi"/>
          <w:lang w:val="el-GR"/>
        </w:rPr>
        <w:t>megawatt</w:t>
      </w:r>
      <w:proofErr w:type="spellEnd"/>
      <w:r w:rsidR="00C01262" w:rsidRPr="00466073">
        <w:rPr>
          <w:rFonts w:asciiTheme="minorHAnsi" w:hAnsiTheme="minorHAnsi" w:cstheme="minorHAnsi"/>
          <w:lang w:val="el-GR"/>
        </w:rPr>
        <w:t xml:space="preserve">. </w:t>
      </w:r>
      <w:r w:rsidR="007108FF" w:rsidRPr="00466073">
        <w:rPr>
          <w:rFonts w:asciiTheme="minorHAnsi" w:hAnsiTheme="minorHAnsi" w:cstheme="minorHAnsi"/>
          <w:lang w:val="el-GR"/>
        </w:rPr>
        <w:t>Η</w:t>
      </w:r>
      <w:r w:rsidR="00C01262" w:rsidRPr="00466073">
        <w:rPr>
          <w:rFonts w:asciiTheme="minorHAnsi" w:hAnsiTheme="minorHAnsi" w:cstheme="minorHAnsi"/>
          <w:lang w:val="el-GR"/>
        </w:rPr>
        <w:t xml:space="preserve"> χώρα </w:t>
      </w:r>
      <w:r w:rsidR="007108FF" w:rsidRPr="00466073">
        <w:rPr>
          <w:rFonts w:asciiTheme="minorHAnsi" w:hAnsiTheme="minorHAnsi" w:cstheme="minorHAnsi"/>
          <w:lang w:val="el-GR"/>
        </w:rPr>
        <w:t xml:space="preserve">υποστηρίζει ότι </w:t>
      </w:r>
      <w:r w:rsidR="00C01262" w:rsidRPr="00466073">
        <w:rPr>
          <w:rFonts w:asciiTheme="minorHAnsi" w:hAnsiTheme="minorHAnsi" w:cstheme="minorHAnsi"/>
          <w:lang w:val="el-GR"/>
        </w:rPr>
        <w:t>έχει ήδη επιτύχει τους στόχους της πολιτικής για το κλίμα του 203</w:t>
      </w:r>
      <w:r w:rsidR="007108FF" w:rsidRPr="00466073">
        <w:rPr>
          <w:rFonts w:asciiTheme="minorHAnsi" w:hAnsiTheme="minorHAnsi" w:cstheme="minorHAnsi"/>
          <w:lang w:val="el-GR"/>
        </w:rPr>
        <w:t>0 ενώ</w:t>
      </w:r>
      <w:r w:rsidR="00C01262" w:rsidRPr="00466073">
        <w:rPr>
          <w:rFonts w:asciiTheme="minorHAnsi" w:hAnsiTheme="minorHAnsi" w:cstheme="minorHAnsi"/>
          <w:lang w:val="el-GR"/>
        </w:rPr>
        <w:t xml:space="preserve"> οι στόχοι του 2050 μπορούν επίσης να επιτευχθούν. </w:t>
      </w:r>
    </w:p>
    <w:p w:rsidR="00C01262" w:rsidRPr="00466073" w:rsidRDefault="00C01262" w:rsidP="00C01262">
      <w:pPr>
        <w:jc w:val="both"/>
        <w:rPr>
          <w:rFonts w:asciiTheme="minorHAnsi" w:hAnsiTheme="minorHAnsi" w:cstheme="minorHAnsi"/>
          <w:lang w:val="el-GR"/>
        </w:rPr>
      </w:pPr>
    </w:p>
    <w:p w:rsidR="00C02E0B" w:rsidRPr="00466073" w:rsidRDefault="00C02E0B" w:rsidP="00950A68">
      <w:pPr>
        <w:jc w:val="both"/>
        <w:rPr>
          <w:rFonts w:asciiTheme="minorHAnsi" w:hAnsiTheme="minorHAnsi" w:cstheme="minorHAnsi"/>
          <w:lang w:val="el-GR"/>
        </w:rPr>
      </w:pPr>
      <w:r w:rsidRPr="00466073">
        <w:rPr>
          <w:rFonts w:asciiTheme="minorHAnsi" w:hAnsiTheme="minorHAnsi" w:cstheme="minorHAnsi"/>
          <w:lang w:val="el-GR"/>
        </w:rPr>
        <w:t xml:space="preserve">Αρμόδιο για την ανάπτυξη και υλοποίηση της ενεργειακής πολιτικής και της πολιτικής αντιμετώπισης της κλιματικής αλλαγής, είναι το Υπουργείο </w:t>
      </w:r>
      <w:r w:rsidR="000E438F" w:rsidRPr="00466073">
        <w:rPr>
          <w:rFonts w:asciiTheme="minorHAnsi" w:hAnsiTheme="minorHAnsi" w:cstheme="minorHAnsi"/>
          <w:lang w:val="el-GR"/>
        </w:rPr>
        <w:t xml:space="preserve">Ενέργειας </w:t>
      </w:r>
      <w:r w:rsidRPr="00466073">
        <w:rPr>
          <w:rFonts w:asciiTheme="minorHAnsi" w:hAnsiTheme="minorHAnsi" w:cstheme="minorHAnsi"/>
          <w:lang w:val="el-GR"/>
        </w:rPr>
        <w:t xml:space="preserve">της Ουγγαρίας. Όπως ήδη αναφέρθηκε, η ενεργειακή αυτονομία και η εξάρτηση από τις εισαγωγές ρωσικών υδρογονανθράκων (φυσικό αέριο και πετρέλαιο) αποτελούν τα κυριότερα σημεία προβληματισμού και βρίσκονται στην κορυφή της ενεργειακής πολιτικής της Ουγγαρίας. Πέραν αυτών όμως, η Ουγγαρία συμπεριλαμβάνει στα ενεργειακά της σχέδια και την αντιμετώπιση νέων προκλήσεων, όπως για παράδειγμα του κινδύνου </w:t>
      </w:r>
      <w:proofErr w:type="spellStart"/>
      <w:r w:rsidRPr="00466073">
        <w:rPr>
          <w:rFonts w:asciiTheme="minorHAnsi" w:hAnsiTheme="minorHAnsi" w:cstheme="minorHAnsi"/>
          <w:lang w:val="el-GR"/>
        </w:rPr>
        <w:t>κυβερνοεπιθέσεων</w:t>
      </w:r>
      <w:proofErr w:type="spellEnd"/>
      <w:r w:rsidRPr="00466073">
        <w:rPr>
          <w:rFonts w:asciiTheme="minorHAnsi" w:hAnsiTheme="minorHAnsi" w:cstheme="minorHAnsi"/>
          <w:lang w:val="el-GR"/>
        </w:rPr>
        <w:t xml:space="preserve"> σε ευαίσθητες ενεργειακές υποδομές. Παράλληλα, σημαντικό κεφάλαιο στην </w:t>
      </w:r>
      <w:r w:rsidRPr="00466073">
        <w:rPr>
          <w:rFonts w:asciiTheme="minorHAnsi" w:hAnsiTheme="minorHAnsi" w:cstheme="minorHAnsi"/>
          <w:lang w:val="el-GR"/>
        </w:rPr>
        <w:lastRenderedPageBreak/>
        <w:t xml:space="preserve">ενεργειακή πολιτική της Ουγγαρίας είναι και η κλιματική αλλαγή και οι επιπτώσεις που αυτή μπορεί να επιφέρει σε οικονομικό και κοινωνικό επίπεδο. </w:t>
      </w:r>
    </w:p>
    <w:p w:rsidR="00950A68" w:rsidRPr="00466073" w:rsidRDefault="00950A68" w:rsidP="00681773">
      <w:pPr>
        <w:jc w:val="both"/>
        <w:rPr>
          <w:rFonts w:asciiTheme="minorHAnsi" w:hAnsiTheme="minorHAnsi" w:cstheme="minorHAnsi"/>
          <w:lang w:val="el-GR"/>
        </w:rPr>
      </w:pPr>
    </w:p>
    <w:p w:rsidR="0081637C" w:rsidRPr="00466073" w:rsidRDefault="0081637C" w:rsidP="0081637C">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color w:val="000000" w:themeColor="text1"/>
          <w:u w:val="single"/>
          <w:lang w:val="el-GR"/>
        </w:rPr>
      </w:pPr>
      <w:r w:rsidRPr="00466073">
        <w:rPr>
          <w:rFonts w:asciiTheme="minorHAnsi" w:hAnsiTheme="minorHAnsi" w:cstheme="minorHAnsi"/>
          <w:color w:val="000000" w:themeColor="text1"/>
          <w:u w:val="single"/>
          <w:lang w:val="el-GR"/>
        </w:rPr>
        <w:t>Γενικά στοιχεία κλάδο</w:t>
      </w:r>
      <w:r w:rsidR="00CA125D" w:rsidRPr="00466073">
        <w:rPr>
          <w:rFonts w:asciiTheme="minorHAnsi" w:hAnsiTheme="minorHAnsi" w:cstheme="minorHAnsi"/>
          <w:color w:val="000000" w:themeColor="text1"/>
          <w:u w:val="single"/>
          <w:lang w:val="el-GR"/>
        </w:rPr>
        <w:t>υ τροφίμων</w:t>
      </w:r>
    </w:p>
    <w:p w:rsidR="0081637C" w:rsidRPr="00466073" w:rsidRDefault="0081637C" w:rsidP="0081637C">
      <w:pPr>
        <w:widowControl w:val="0"/>
        <w:overflowPunct w:val="0"/>
        <w:autoSpaceDE w:val="0"/>
        <w:autoSpaceDN w:val="0"/>
        <w:adjustRightInd w:val="0"/>
        <w:spacing w:line="223" w:lineRule="auto"/>
        <w:jc w:val="both"/>
        <w:rPr>
          <w:rFonts w:asciiTheme="minorHAnsi" w:hAnsiTheme="minorHAnsi" w:cstheme="minorHAnsi"/>
          <w:lang w:val="el-GR"/>
        </w:rPr>
      </w:pPr>
    </w:p>
    <w:p w:rsidR="003263F9" w:rsidRPr="00466073" w:rsidRDefault="0081637C" w:rsidP="0081637C">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Στην Ουγγαρία έχουν αναπτυχθεί μεγάλες αλυσίδες </w:t>
      </w:r>
      <w:r w:rsidR="00957C24" w:rsidRPr="00466073">
        <w:rPr>
          <w:rFonts w:asciiTheme="minorHAnsi" w:hAnsiTheme="minorHAnsi" w:cstheme="minorHAnsi"/>
          <w:lang w:val="el-GR"/>
        </w:rPr>
        <w:t>«σουπερ-</w:t>
      </w:r>
      <w:proofErr w:type="spellStart"/>
      <w:r w:rsidR="00957C24" w:rsidRPr="00466073">
        <w:rPr>
          <w:rFonts w:asciiTheme="minorHAnsi" w:hAnsiTheme="minorHAnsi" w:cstheme="minorHAnsi"/>
          <w:lang w:val="el-GR"/>
        </w:rPr>
        <w:t>μάρκετ</w:t>
      </w:r>
      <w:proofErr w:type="spellEnd"/>
      <w:r w:rsidR="00957C24" w:rsidRPr="00466073">
        <w:rPr>
          <w:rFonts w:asciiTheme="minorHAnsi" w:hAnsiTheme="minorHAnsi" w:cstheme="minorHAnsi"/>
          <w:lang w:val="el-GR"/>
        </w:rPr>
        <w:t xml:space="preserve">» </w:t>
      </w:r>
      <w:r w:rsidRPr="00466073">
        <w:rPr>
          <w:rFonts w:asciiTheme="minorHAnsi" w:hAnsiTheme="minorHAnsi" w:cstheme="minorHAnsi"/>
          <w:lang w:val="el-GR"/>
        </w:rPr>
        <w:t>(κυρίως πολυεθνικών συμφερόντων), πολυκαταστήματα, υπεραγορές (</w:t>
      </w:r>
      <w:r w:rsidRPr="00466073">
        <w:rPr>
          <w:rFonts w:asciiTheme="minorHAnsi" w:hAnsiTheme="minorHAnsi" w:cstheme="minorHAnsi"/>
        </w:rPr>
        <w:t>hypermarkets</w:t>
      </w:r>
      <w:r w:rsidR="00957C24" w:rsidRPr="00466073">
        <w:rPr>
          <w:rFonts w:asciiTheme="minorHAnsi" w:hAnsiTheme="minorHAnsi" w:cstheme="minorHAnsi"/>
          <w:lang w:val="el-GR"/>
        </w:rPr>
        <w:t xml:space="preserve">), καθώς και </w:t>
      </w:r>
      <w:r w:rsidRPr="00466073">
        <w:rPr>
          <w:rFonts w:asciiTheme="minorHAnsi" w:hAnsiTheme="minorHAnsi" w:cstheme="minorHAnsi"/>
          <w:lang w:val="el-GR"/>
        </w:rPr>
        <w:t>εκπτωτικές αλυσίδες καταστημάτων. Από πλευράς όγκου και αξίας πωλήσεων, οι μεγάλες αλυσίδες σούπερ-μάρκετ (</w:t>
      </w:r>
      <w:r w:rsidR="000F2628" w:rsidRPr="00466073">
        <w:rPr>
          <w:rFonts w:asciiTheme="minorHAnsi" w:hAnsiTheme="minorHAnsi" w:cstheme="minorHAnsi"/>
        </w:rPr>
        <w:t>ALDI</w:t>
      </w:r>
      <w:r w:rsidR="000F2628" w:rsidRPr="00466073">
        <w:rPr>
          <w:rFonts w:asciiTheme="minorHAnsi" w:hAnsiTheme="minorHAnsi" w:cstheme="minorHAnsi"/>
          <w:lang w:val="el-GR"/>
        </w:rPr>
        <w:t xml:space="preserve"> </w:t>
      </w:r>
      <w:r w:rsidR="000F2628" w:rsidRPr="00466073">
        <w:rPr>
          <w:rFonts w:asciiTheme="minorHAnsi" w:hAnsiTheme="minorHAnsi" w:cstheme="minorHAnsi"/>
        </w:rPr>
        <w:t>AUCHAN</w:t>
      </w:r>
      <w:r w:rsidR="000F2628" w:rsidRPr="00466073">
        <w:rPr>
          <w:rFonts w:asciiTheme="minorHAnsi" w:hAnsiTheme="minorHAnsi" w:cstheme="minorHAnsi"/>
          <w:lang w:val="el-GR"/>
        </w:rPr>
        <w:t>, ΜΕΤ</w:t>
      </w:r>
      <w:r w:rsidR="000F2628" w:rsidRPr="00466073">
        <w:rPr>
          <w:rFonts w:asciiTheme="minorHAnsi" w:hAnsiTheme="minorHAnsi" w:cstheme="minorHAnsi"/>
        </w:rPr>
        <w:t>RO</w:t>
      </w:r>
      <w:r w:rsidR="000F2628" w:rsidRPr="00466073">
        <w:rPr>
          <w:rFonts w:asciiTheme="minorHAnsi" w:hAnsiTheme="minorHAnsi" w:cstheme="minorHAnsi"/>
          <w:lang w:val="el-GR"/>
        </w:rPr>
        <w:t xml:space="preserve">, </w:t>
      </w:r>
      <w:r w:rsidR="000F2628" w:rsidRPr="00466073">
        <w:rPr>
          <w:rFonts w:asciiTheme="minorHAnsi" w:hAnsiTheme="minorHAnsi" w:cstheme="minorHAnsi"/>
          <w:lang w:val="hu-HU"/>
        </w:rPr>
        <w:t>LIDL</w:t>
      </w:r>
      <w:r w:rsidR="000F2628" w:rsidRPr="00466073">
        <w:rPr>
          <w:rFonts w:asciiTheme="minorHAnsi" w:hAnsiTheme="minorHAnsi" w:cstheme="minorHAnsi"/>
          <w:lang w:val="el-GR"/>
        </w:rPr>
        <w:t xml:space="preserve"> </w:t>
      </w:r>
      <w:r w:rsidR="000F2628" w:rsidRPr="00466073">
        <w:rPr>
          <w:rFonts w:asciiTheme="minorHAnsi" w:hAnsiTheme="minorHAnsi" w:cstheme="minorHAnsi"/>
        </w:rPr>
        <w:t>PENNY</w:t>
      </w:r>
      <w:r w:rsidR="000F2628" w:rsidRPr="00466073">
        <w:rPr>
          <w:rFonts w:asciiTheme="minorHAnsi" w:hAnsiTheme="minorHAnsi" w:cstheme="minorHAnsi"/>
          <w:lang w:val="el-GR"/>
        </w:rPr>
        <w:t xml:space="preserve">, </w:t>
      </w:r>
      <w:r w:rsidR="000F2628" w:rsidRPr="00466073">
        <w:rPr>
          <w:rFonts w:asciiTheme="minorHAnsi" w:hAnsiTheme="minorHAnsi" w:cstheme="minorHAnsi"/>
        </w:rPr>
        <w:t>SPAR</w:t>
      </w:r>
      <w:r w:rsidR="000F2628" w:rsidRPr="00466073">
        <w:rPr>
          <w:rFonts w:asciiTheme="minorHAnsi" w:hAnsiTheme="minorHAnsi" w:cstheme="minorHAnsi"/>
          <w:lang w:val="el-GR"/>
        </w:rPr>
        <w:t xml:space="preserve">, και </w:t>
      </w:r>
      <w:r w:rsidRPr="00466073">
        <w:rPr>
          <w:rFonts w:asciiTheme="minorHAnsi" w:hAnsiTheme="minorHAnsi" w:cstheme="minorHAnsi"/>
        </w:rPr>
        <w:t>TESCO</w:t>
      </w:r>
      <w:r w:rsidR="000F2628" w:rsidRPr="00466073">
        <w:rPr>
          <w:rFonts w:asciiTheme="minorHAnsi" w:hAnsiTheme="minorHAnsi" w:cstheme="minorHAnsi"/>
          <w:lang w:val="el-GR"/>
        </w:rPr>
        <w:t xml:space="preserve">), </w:t>
      </w:r>
      <w:r w:rsidRPr="00466073">
        <w:rPr>
          <w:rFonts w:asciiTheme="minorHAnsi" w:hAnsiTheme="minorHAnsi" w:cstheme="minorHAnsi"/>
          <w:lang w:val="el-GR"/>
        </w:rPr>
        <w:t>κατέχουν τη «μερίδα του λέοντος». Υπάρχουν επίσης περί</w:t>
      </w:r>
      <w:r w:rsidR="00957C24" w:rsidRPr="00466073">
        <w:rPr>
          <w:rFonts w:asciiTheme="minorHAnsi" w:hAnsiTheme="minorHAnsi" w:cstheme="minorHAnsi"/>
          <w:lang w:val="el-GR"/>
        </w:rPr>
        <w:t>που</w:t>
      </w:r>
      <w:r w:rsidRPr="00466073">
        <w:rPr>
          <w:rFonts w:asciiTheme="minorHAnsi" w:hAnsiTheme="minorHAnsi" w:cstheme="minorHAnsi"/>
          <w:lang w:val="el-GR"/>
        </w:rPr>
        <w:t xml:space="preserve"> 10.000 ανεξάρτητα καταστήματα λιανικής, οργανωμένα</w:t>
      </w:r>
      <w:r w:rsidR="00957C24" w:rsidRPr="00466073">
        <w:rPr>
          <w:rFonts w:asciiTheme="minorHAnsi" w:hAnsiTheme="minorHAnsi" w:cstheme="minorHAnsi"/>
          <w:lang w:val="el-GR"/>
        </w:rPr>
        <w:t xml:space="preserve"> σε μεγάλες ομάδες κοινοπραξιών</w:t>
      </w:r>
      <w:r w:rsidRPr="00466073">
        <w:rPr>
          <w:rFonts w:asciiTheme="minorHAnsi" w:hAnsiTheme="minorHAnsi" w:cstheme="minorHAnsi"/>
          <w:lang w:val="el-GR"/>
        </w:rPr>
        <w:t xml:space="preserve"> </w:t>
      </w:r>
      <w:r w:rsidR="00957C24" w:rsidRPr="00466073">
        <w:rPr>
          <w:rFonts w:asciiTheme="minorHAnsi" w:hAnsiTheme="minorHAnsi" w:cstheme="minorHAnsi"/>
          <w:lang w:val="el-GR"/>
        </w:rPr>
        <w:t>(</w:t>
      </w:r>
      <w:r w:rsidRPr="00466073">
        <w:rPr>
          <w:rFonts w:asciiTheme="minorHAnsi" w:hAnsiTheme="minorHAnsi" w:cstheme="minorHAnsi"/>
        </w:rPr>
        <w:t>CBA</w:t>
      </w:r>
      <w:r w:rsidRPr="00466073">
        <w:rPr>
          <w:rFonts w:asciiTheme="minorHAnsi" w:hAnsiTheme="minorHAnsi" w:cstheme="minorHAnsi"/>
          <w:lang w:val="el-GR"/>
        </w:rPr>
        <w:t xml:space="preserve">, </w:t>
      </w:r>
      <w:r w:rsidRPr="00466073">
        <w:rPr>
          <w:rFonts w:asciiTheme="minorHAnsi" w:hAnsiTheme="minorHAnsi" w:cstheme="minorHAnsi"/>
        </w:rPr>
        <w:t>COOP</w:t>
      </w:r>
      <w:r w:rsidR="00957C24" w:rsidRPr="00466073">
        <w:rPr>
          <w:rFonts w:asciiTheme="minorHAnsi" w:hAnsiTheme="minorHAnsi" w:cstheme="minorHAnsi"/>
          <w:lang w:val="el-GR"/>
        </w:rPr>
        <w:t xml:space="preserve">, </w:t>
      </w:r>
      <w:r w:rsidR="000F2628" w:rsidRPr="00466073">
        <w:rPr>
          <w:rFonts w:asciiTheme="minorHAnsi" w:hAnsiTheme="minorHAnsi" w:cstheme="minorHAnsi"/>
        </w:rPr>
        <w:t>REAL</w:t>
      </w:r>
      <w:r w:rsidR="000F2628" w:rsidRPr="00466073">
        <w:rPr>
          <w:rFonts w:asciiTheme="minorHAnsi" w:hAnsiTheme="minorHAnsi" w:cstheme="minorHAnsi"/>
          <w:lang w:val="el-GR"/>
        </w:rPr>
        <w:t xml:space="preserve">, </w:t>
      </w:r>
      <w:r w:rsidR="000F2628" w:rsidRPr="00466073">
        <w:rPr>
          <w:rFonts w:asciiTheme="minorHAnsi" w:hAnsiTheme="minorHAnsi" w:cstheme="minorHAnsi"/>
        </w:rPr>
        <w:t>RONI</w:t>
      </w:r>
      <w:r w:rsidR="000F2628" w:rsidRPr="00466073">
        <w:rPr>
          <w:rFonts w:asciiTheme="minorHAnsi" w:hAnsiTheme="minorHAnsi" w:cstheme="minorHAnsi"/>
          <w:lang w:val="el-GR"/>
        </w:rPr>
        <w:t xml:space="preserve"> </w:t>
      </w:r>
      <w:r w:rsidR="000F2628" w:rsidRPr="00466073">
        <w:rPr>
          <w:rFonts w:asciiTheme="minorHAnsi" w:hAnsiTheme="minorHAnsi" w:cstheme="minorHAnsi"/>
        </w:rPr>
        <w:t>ABC</w:t>
      </w:r>
      <w:r w:rsidR="00957C24" w:rsidRPr="00466073">
        <w:rPr>
          <w:rFonts w:asciiTheme="minorHAnsi" w:hAnsiTheme="minorHAnsi" w:cstheme="minorHAnsi"/>
          <w:lang w:val="el-GR"/>
        </w:rPr>
        <w:t>)</w:t>
      </w:r>
      <w:r w:rsidRPr="00466073">
        <w:rPr>
          <w:rFonts w:asciiTheme="minorHAnsi" w:hAnsiTheme="minorHAnsi" w:cstheme="minorHAnsi"/>
          <w:lang w:val="el-GR"/>
        </w:rPr>
        <w:t xml:space="preserve">, </w:t>
      </w:r>
      <w:r w:rsidR="00957C24" w:rsidRPr="00466073">
        <w:rPr>
          <w:rFonts w:asciiTheme="minorHAnsi" w:hAnsiTheme="minorHAnsi" w:cstheme="minorHAnsi"/>
          <w:lang w:val="el-GR"/>
        </w:rPr>
        <w:t xml:space="preserve">που στο σύνολό τους </w:t>
      </w:r>
      <w:r w:rsidRPr="00466073">
        <w:rPr>
          <w:rFonts w:asciiTheme="minorHAnsi" w:hAnsiTheme="minorHAnsi" w:cstheme="minorHAnsi"/>
          <w:lang w:val="el-GR"/>
        </w:rPr>
        <w:t xml:space="preserve">αντιπροσωπεύουν μία υπολογίσιμη δύναμη στο λιανεμπόριο. </w:t>
      </w:r>
    </w:p>
    <w:p w:rsidR="00957C24" w:rsidRPr="00466073" w:rsidRDefault="0081637C" w:rsidP="0081637C">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Ο τομέας των </w:t>
      </w:r>
      <w:r w:rsidR="00957C24" w:rsidRPr="00466073">
        <w:rPr>
          <w:rFonts w:asciiTheme="minorHAnsi" w:hAnsiTheme="minorHAnsi" w:cstheme="minorHAnsi"/>
          <w:lang w:val="el-GR"/>
        </w:rPr>
        <w:t>εκπτωτικών</w:t>
      </w:r>
      <w:r w:rsidRPr="00466073">
        <w:rPr>
          <w:rFonts w:asciiTheme="minorHAnsi" w:hAnsiTheme="minorHAnsi" w:cstheme="minorHAnsi"/>
          <w:lang w:val="el-GR"/>
        </w:rPr>
        <w:t xml:space="preserve"> αλυσίδων καταστημάτων παρουσιάζει επίσης σημαντική δραστηριότητα τα τελευταία χρόνια. Οι αλυσίδες αυτές έγιναν ιδιαίτερα δημοφιλείς στον μέσο Ούγγρο καταναλωτή που τις θεωρεί περισσότερο προσιτές, από οικονομικής απόψεως, σε σχέση με τα παραδοσιακά καταστήματα. </w:t>
      </w:r>
      <w:r w:rsidR="00957C24" w:rsidRPr="00466073">
        <w:rPr>
          <w:rFonts w:asciiTheme="minorHAnsi" w:hAnsiTheme="minorHAnsi" w:cstheme="minorHAnsi"/>
          <w:lang w:val="el-GR"/>
        </w:rPr>
        <w:t>Για παράδειγμα, ο</w:t>
      </w:r>
      <w:r w:rsidRPr="00466073">
        <w:rPr>
          <w:rFonts w:asciiTheme="minorHAnsi" w:hAnsiTheme="minorHAnsi" w:cstheme="minorHAnsi"/>
          <w:lang w:val="el-GR"/>
        </w:rPr>
        <w:t xml:space="preserve">ι αλυσίδες </w:t>
      </w:r>
      <w:r w:rsidRPr="00466073">
        <w:rPr>
          <w:rFonts w:asciiTheme="minorHAnsi" w:hAnsiTheme="minorHAnsi" w:cstheme="minorHAnsi"/>
        </w:rPr>
        <w:t>LIDL</w:t>
      </w:r>
      <w:r w:rsidRPr="00466073">
        <w:rPr>
          <w:rFonts w:asciiTheme="minorHAnsi" w:hAnsiTheme="minorHAnsi" w:cstheme="minorHAnsi"/>
          <w:lang w:val="el-GR"/>
        </w:rPr>
        <w:t xml:space="preserve"> και </w:t>
      </w:r>
      <w:r w:rsidRPr="00466073">
        <w:rPr>
          <w:rFonts w:asciiTheme="minorHAnsi" w:hAnsiTheme="minorHAnsi" w:cstheme="minorHAnsi"/>
        </w:rPr>
        <w:t>ALDI</w:t>
      </w:r>
      <w:r w:rsidRPr="00466073">
        <w:rPr>
          <w:rFonts w:asciiTheme="minorHAnsi" w:hAnsiTheme="minorHAnsi" w:cstheme="minorHAnsi"/>
          <w:lang w:val="el-GR"/>
        </w:rPr>
        <w:t xml:space="preserve"> έχουν </w:t>
      </w:r>
      <w:r w:rsidR="00957C24" w:rsidRPr="00466073">
        <w:rPr>
          <w:rFonts w:asciiTheme="minorHAnsi" w:hAnsiTheme="minorHAnsi" w:cstheme="minorHAnsi"/>
          <w:lang w:val="el-GR"/>
        </w:rPr>
        <w:t>αυξημένη απήχηση</w:t>
      </w:r>
      <w:r w:rsidRPr="00466073">
        <w:rPr>
          <w:rFonts w:asciiTheme="minorHAnsi" w:hAnsiTheme="minorHAnsi" w:cstheme="minorHAnsi"/>
          <w:lang w:val="el-GR"/>
        </w:rPr>
        <w:t xml:space="preserve"> στο καταναλωτικό κοινό και </w:t>
      </w:r>
      <w:r w:rsidR="00957C24" w:rsidRPr="00466073">
        <w:rPr>
          <w:rFonts w:asciiTheme="minorHAnsi" w:hAnsiTheme="minorHAnsi" w:cstheme="minorHAnsi"/>
          <w:lang w:val="el-GR"/>
        </w:rPr>
        <w:t>μέσω ενός εκτεταμένου δικτύου καταστημάτων κάνουν αισθητή την παρουσία τους σε όλη την Ουγγαρία.</w:t>
      </w:r>
      <w:r w:rsidRPr="00466073">
        <w:rPr>
          <w:rFonts w:asciiTheme="minorHAnsi" w:hAnsiTheme="minorHAnsi" w:cstheme="minorHAnsi"/>
          <w:lang w:val="el-GR"/>
        </w:rPr>
        <w:t xml:space="preserve"> </w:t>
      </w:r>
      <w:r w:rsidR="00957C24" w:rsidRPr="00466073">
        <w:rPr>
          <w:rFonts w:asciiTheme="minorHAnsi" w:hAnsiTheme="minorHAnsi" w:cstheme="minorHAnsi"/>
          <w:lang w:val="el-GR"/>
        </w:rPr>
        <w:t xml:space="preserve">Εντούτοις, </w:t>
      </w:r>
      <w:r w:rsidRPr="00466073">
        <w:rPr>
          <w:rFonts w:asciiTheme="minorHAnsi" w:hAnsiTheme="minorHAnsi" w:cstheme="minorHAnsi"/>
          <w:lang w:val="el-GR"/>
        </w:rPr>
        <w:t>στην επαρχία</w:t>
      </w:r>
      <w:r w:rsidR="00957C24" w:rsidRPr="00466073">
        <w:rPr>
          <w:rFonts w:asciiTheme="minorHAnsi" w:hAnsiTheme="minorHAnsi" w:cstheme="minorHAnsi"/>
          <w:lang w:val="el-GR"/>
        </w:rPr>
        <w:t>,</w:t>
      </w:r>
      <w:r w:rsidRPr="00466073">
        <w:rPr>
          <w:rFonts w:asciiTheme="minorHAnsi" w:hAnsiTheme="minorHAnsi" w:cstheme="minorHAnsi"/>
          <w:lang w:val="el-GR"/>
        </w:rPr>
        <w:t xml:space="preserve"> δυναμική παρουσία διαθέτουν οι </w:t>
      </w:r>
      <w:r w:rsidR="00957C24" w:rsidRPr="00466073">
        <w:rPr>
          <w:rFonts w:asciiTheme="minorHAnsi" w:hAnsiTheme="minorHAnsi" w:cstheme="minorHAnsi"/>
          <w:lang w:val="el-GR"/>
        </w:rPr>
        <w:t>εκπτωτικές</w:t>
      </w:r>
      <w:r w:rsidRPr="00466073">
        <w:rPr>
          <w:rFonts w:asciiTheme="minorHAnsi" w:hAnsiTheme="minorHAnsi" w:cstheme="minorHAnsi"/>
          <w:lang w:val="el-GR"/>
        </w:rPr>
        <w:t xml:space="preserve"> αλυσίδες </w:t>
      </w:r>
      <w:r w:rsidRPr="00466073">
        <w:rPr>
          <w:rFonts w:asciiTheme="minorHAnsi" w:hAnsiTheme="minorHAnsi" w:cstheme="minorHAnsi"/>
        </w:rPr>
        <w:t>PENNY</w:t>
      </w:r>
      <w:r w:rsidRPr="00466073">
        <w:rPr>
          <w:rFonts w:asciiTheme="minorHAnsi" w:hAnsiTheme="minorHAnsi" w:cstheme="minorHAnsi"/>
          <w:lang w:val="el-GR"/>
        </w:rPr>
        <w:t xml:space="preserve"> </w:t>
      </w:r>
      <w:r w:rsidRPr="00466073">
        <w:rPr>
          <w:rFonts w:asciiTheme="minorHAnsi" w:hAnsiTheme="minorHAnsi" w:cstheme="minorHAnsi"/>
        </w:rPr>
        <w:t>MARKET</w:t>
      </w:r>
      <w:r w:rsidRPr="00466073">
        <w:rPr>
          <w:rFonts w:asciiTheme="minorHAnsi" w:hAnsiTheme="minorHAnsi" w:cstheme="minorHAnsi"/>
          <w:lang w:val="el-GR"/>
        </w:rPr>
        <w:t xml:space="preserve"> και </w:t>
      </w:r>
      <w:r w:rsidRPr="00466073">
        <w:rPr>
          <w:rFonts w:asciiTheme="minorHAnsi" w:hAnsiTheme="minorHAnsi" w:cstheme="minorHAnsi"/>
        </w:rPr>
        <w:t>PROFI</w:t>
      </w:r>
      <w:r w:rsidRPr="00466073">
        <w:rPr>
          <w:rFonts w:asciiTheme="minorHAnsi" w:hAnsiTheme="minorHAnsi" w:cstheme="minorHAnsi"/>
          <w:lang w:val="el-GR"/>
        </w:rPr>
        <w:t xml:space="preserve">. </w:t>
      </w:r>
    </w:p>
    <w:p w:rsidR="00957C24" w:rsidRPr="00466073" w:rsidRDefault="0081637C" w:rsidP="0081637C">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Παρά τον αυξανόμενο αριθμό των σύγχρονων υπεραγορών, τα ανεξάρτητα τοπικά καταστήματα τροφίμων, συμμετέχουν ενεργά στο λιανικό εμπόριο, ιδιαίτερα στις μικρές επαρχιακές πόλεις. </w:t>
      </w:r>
      <w:r w:rsidR="00957C24" w:rsidRPr="00466073">
        <w:rPr>
          <w:rFonts w:asciiTheme="minorHAnsi" w:hAnsiTheme="minorHAnsi" w:cstheme="minorHAnsi"/>
          <w:lang w:val="el-GR"/>
        </w:rPr>
        <w:t>Όμως,</w:t>
      </w:r>
      <w:r w:rsidRPr="00466073">
        <w:rPr>
          <w:rFonts w:asciiTheme="minorHAnsi" w:hAnsiTheme="minorHAnsi" w:cstheme="minorHAnsi"/>
          <w:lang w:val="el-GR"/>
        </w:rPr>
        <w:t xml:space="preserve"> σε αυτά τα μαγαζιά υπάρχει περιορισμένος αποθηκευτικός χώρος, με αποτέλεσμα να προμηθεύονται μικρές ποσότητες και να περιορίζονται στις καθημερινές ανάγκες του καταναλωτή. Σύμφωνα με </w:t>
      </w:r>
      <w:r w:rsidR="00540FFE" w:rsidRPr="00466073">
        <w:rPr>
          <w:rFonts w:asciiTheme="minorHAnsi" w:hAnsiTheme="minorHAnsi" w:cstheme="minorHAnsi"/>
          <w:lang w:val="el-GR"/>
        </w:rPr>
        <w:t xml:space="preserve">σχετικές έρευνες, το 1/3 </w:t>
      </w:r>
      <w:r w:rsidRPr="00466073">
        <w:rPr>
          <w:rFonts w:asciiTheme="minorHAnsi" w:hAnsiTheme="minorHAnsi" w:cstheme="minorHAnsi"/>
          <w:lang w:val="el-GR"/>
        </w:rPr>
        <w:t xml:space="preserve">των πωλήσεων λιανικής προέρχεται από τα καταστήματα που είναι μικρότερα των 400 </w:t>
      </w:r>
      <w:proofErr w:type="spellStart"/>
      <w:r w:rsidRPr="00466073">
        <w:rPr>
          <w:rFonts w:asciiTheme="minorHAnsi" w:hAnsiTheme="minorHAnsi" w:cstheme="minorHAnsi"/>
          <w:lang w:val="el-GR"/>
        </w:rPr>
        <w:t>τ.μ</w:t>
      </w:r>
      <w:proofErr w:type="spellEnd"/>
      <w:r w:rsidRPr="00466073">
        <w:rPr>
          <w:rFonts w:asciiTheme="minorHAnsi" w:hAnsiTheme="minorHAnsi" w:cstheme="minorHAnsi"/>
          <w:lang w:val="el-GR"/>
        </w:rPr>
        <w:t>., ενώ τα μίνι-μάρκετ με εμβαδόν μικρότε</w:t>
      </w:r>
      <w:r w:rsidR="00540FFE" w:rsidRPr="00466073">
        <w:rPr>
          <w:rFonts w:asciiTheme="minorHAnsi" w:hAnsiTheme="minorHAnsi" w:cstheme="minorHAnsi"/>
          <w:lang w:val="el-GR"/>
        </w:rPr>
        <w:t xml:space="preserve">ρο των 50 </w:t>
      </w:r>
      <w:proofErr w:type="spellStart"/>
      <w:r w:rsidR="00540FFE" w:rsidRPr="00466073">
        <w:rPr>
          <w:rFonts w:asciiTheme="minorHAnsi" w:hAnsiTheme="minorHAnsi" w:cstheme="minorHAnsi"/>
          <w:lang w:val="el-GR"/>
        </w:rPr>
        <w:t>τ.μ</w:t>
      </w:r>
      <w:proofErr w:type="spellEnd"/>
      <w:r w:rsidR="00540FFE" w:rsidRPr="00466073">
        <w:rPr>
          <w:rFonts w:asciiTheme="minorHAnsi" w:hAnsiTheme="minorHAnsi" w:cstheme="minorHAnsi"/>
          <w:lang w:val="el-GR"/>
        </w:rPr>
        <w:t xml:space="preserve">. προμηθεύουν το ¼ </w:t>
      </w:r>
      <w:r w:rsidRPr="00466073">
        <w:rPr>
          <w:rFonts w:asciiTheme="minorHAnsi" w:hAnsiTheme="minorHAnsi" w:cstheme="minorHAnsi"/>
          <w:lang w:val="el-GR"/>
        </w:rPr>
        <w:t xml:space="preserve">της εγχώριας αγοράς. </w:t>
      </w:r>
    </w:p>
    <w:p w:rsidR="00957C24" w:rsidRPr="00466073" w:rsidRDefault="00957C24" w:rsidP="0081637C">
      <w:pPr>
        <w:widowControl w:val="0"/>
        <w:overflowPunct w:val="0"/>
        <w:autoSpaceDE w:val="0"/>
        <w:autoSpaceDN w:val="0"/>
        <w:adjustRightInd w:val="0"/>
        <w:spacing w:line="223" w:lineRule="auto"/>
        <w:jc w:val="both"/>
        <w:rPr>
          <w:rFonts w:asciiTheme="minorHAnsi" w:hAnsiTheme="minorHAnsi" w:cstheme="minorHAnsi"/>
          <w:lang w:val="el-GR"/>
        </w:rPr>
      </w:pPr>
    </w:p>
    <w:p w:rsidR="0081637C" w:rsidRPr="00466073" w:rsidRDefault="0081637C" w:rsidP="0081637C">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Σύμφωνα με τα στοιχεία της </w:t>
      </w:r>
      <w:proofErr w:type="spellStart"/>
      <w:r w:rsidRPr="00466073">
        <w:rPr>
          <w:rFonts w:asciiTheme="minorHAnsi" w:hAnsiTheme="minorHAnsi" w:cstheme="minorHAnsi"/>
        </w:rPr>
        <w:t>Eurostat</w:t>
      </w:r>
      <w:proofErr w:type="spellEnd"/>
      <w:r w:rsidR="00957C24" w:rsidRPr="00466073">
        <w:rPr>
          <w:rFonts w:asciiTheme="minorHAnsi" w:hAnsiTheme="minorHAnsi" w:cstheme="minorHAnsi"/>
          <w:lang w:val="el-GR"/>
        </w:rPr>
        <w:t>,</w:t>
      </w:r>
      <w:r w:rsidRPr="00466073">
        <w:rPr>
          <w:rFonts w:asciiTheme="minorHAnsi" w:hAnsiTheme="minorHAnsi" w:cstheme="minorHAnsi"/>
          <w:lang w:val="el-GR"/>
        </w:rPr>
        <w:t xml:space="preserve"> η Ουγ</w:t>
      </w:r>
      <w:r w:rsidR="00957C24" w:rsidRPr="00466073">
        <w:rPr>
          <w:rFonts w:asciiTheme="minorHAnsi" w:hAnsiTheme="minorHAnsi" w:cstheme="minorHAnsi"/>
          <w:lang w:val="el-GR"/>
        </w:rPr>
        <w:t xml:space="preserve">γαρία </w:t>
      </w:r>
      <w:r w:rsidR="0073480C" w:rsidRPr="00466073">
        <w:rPr>
          <w:rFonts w:asciiTheme="minorHAnsi" w:hAnsiTheme="minorHAnsi" w:cstheme="minorHAnsi"/>
          <w:lang w:val="el-GR"/>
        </w:rPr>
        <w:t xml:space="preserve">συγκαταλέγεται ανάμεσα στις φθηνότερες, </w:t>
      </w:r>
      <w:r w:rsidR="00957C24" w:rsidRPr="00466073">
        <w:rPr>
          <w:rFonts w:asciiTheme="minorHAnsi" w:hAnsiTheme="minorHAnsi" w:cstheme="minorHAnsi"/>
          <w:lang w:val="el-GR"/>
        </w:rPr>
        <w:t>σε κόστος</w:t>
      </w:r>
      <w:r w:rsidR="0073480C" w:rsidRPr="00466073">
        <w:rPr>
          <w:rFonts w:asciiTheme="minorHAnsi" w:hAnsiTheme="minorHAnsi" w:cstheme="minorHAnsi"/>
          <w:lang w:val="el-GR"/>
        </w:rPr>
        <w:t xml:space="preserve"> καταναλωτικών αγαθών</w:t>
      </w:r>
      <w:r w:rsidR="001D4E7E" w:rsidRPr="00466073">
        <w:rPr>
          <w:rFonts w:asciiTheme="minorHAnsi" w:hAnsiTheme="minorHAnsi" w:cstheme="minorHAnsi"/>
          <w:lang w:val="el-GR"/>
        </w:rPr>
        <w:t xml:space="preserve"> πρώτης ανάγκης</w:t>
      </w:r>
      <w:r w:rsidR="0073480C" w:rsidRPr="00466073">
        <w:rPr>
          <w:rFonts w:asciiTheme="minorHAnsi" w:hAnsiTheme="minorHAnsi" w:cstheme="minorHAnsi"/>
          <w:lang w:val="el-GR"/>
        </w:rPr>
        <w:t>,</w:t>
      </w:r>
      <w:r w:rsidRPr="00466073">
        <w:rPr>
          <w:rFonts w:asciiTheme="minorHAnsi" w:hAnsiTheme="minorHAnsi" w:cstheme="minorHAnsi"/>
          <w:lang w:val="el-GR"/>
        </w:rPr>
        <w:t xml:space="preserve"> χώρα </w:t>
      </w:r>
      <w:r w:rsidR="00957C24" w:rsidRPr="00466073">
        <w:rPr>
          <w:rFonts w:asciiTheme="minorHAnsi" w:hAnsiTheme="minorHAnsi" w:cstheme="minorHAnsi"/>
          <w:lang w:val="el-GR"/>
        </w:rPr>
        <w:t>της Ευρωπαϊκής Ένωσης. Μόνον οι</w:t>
      </w:r>
      <w:r w:rsidRPr="00466073">
        <w:rPr>
          <w:rFonts w:asciiTheme="minorHAnsi" w:hAnsiTheme="minorHAnsi" w:cstheme="minorHAnsi"/>
          <w:lang w:val="el-GR"/>
        </w:rPr>
        <w:t xml:space="preserve"> Βουλγαρία, Ρουμανία και Πολωνία, σύμφωνα με </w:t>
      </w:r>
      <w:r w:rsidR="00957C24" w:rsidRPr="00466073">
        <w:rPr>
          <w:rFonts w:asciiTheme="minorHAnsi" w:hAnsiTheme="minorHAnsi" w:cstheme="minorHAnsi"/>
          <w:lang w:val="el-GR"/>
        </w:rPr>
        <w:t xml:space="preserve">σχετική </w:t>
      </w:r>
      <w:r w:rsidRPr="00466073">
        <w:rPr>
          <w:rFonts w:asciiTheme="minorHAnsi" w:hAnsiTheme="minorHAnsi" w:cstheme="minorHAnsi"/>
          <w:lang w:val="el-GR"/>
        </w:rPr>
        <w:t xml:space="preserve">έρευνα, διέθεταν χαμηλότερες τιμές καταναλωτή στα είδη διατροφής και </w:t>
      </w:r>
      <w:r w:rsidR="00957C24" w:rsidRPr="00466073">
        <w:rPr>
          <w:rFonts w:asciiTheme="minorHAnsi" w:hAnsiTheme="minorHAnsi" w:cstheme="minorHAnsi"/>
          <w:lang w:val="el-GR"/>
        </w:rPr>
        <w:t xml:space="preserve">στις υπηρεσίες. </w:t>
      </w:r>
      <w:r w:rsidR="0073480C" w:rsidRPr="00466073">
        <w:rPr>
          <w:rFonts w:asciiTheme="minorHAnsi" w:hAnsiTheme="minorHAnsi" w:cstheme="minorHAnsi"/>
          <w:lang w:val="el-GR"/>
        </w:rPr>
        <w:t xml:space="preserve">Η Ουγγαρία διατηρεί </w:t>
      </w:r>
      <w:r w:rsidR="000B02D7" w:rsidRPr="00466073">
        <w:rPr>
          <w:rFonts w:asciiTheme="minorHAnsi" w:hAnsiTheme="minorHAnsi" w:cstheme="minorHAnsi"/>
          <w:lang w:val="el-GR"/>
        </w:rPr>
        <w:t xml:space="preserve">τις χαμηλότερες τιμές </w:t>
      </w:r>
      <w:r w:rsidRPr="00466073">
        <w:rPr>
          <w:rFonts w:asciiTheme="minorHAnsi" w:hAnsiTheme="minorHAnsi" w:cstheme="minorHAnsi"/>
          <w:lang w:val="el-GR"/>
        </w:rPr>
        <w:t>στα ποτά και στον καπνό</w:t>
      </w:r>
      <w:r w:rsidR="0073480C" w:rsidRPr="00466073">
        <w:rPr>
          <w:rFonts w:asciiTheme="minorHAnsi" w:hAnsiTheme="minorHAnsi" w:cstheme="minorHAnsi"/>
          <w:lang w:val="el-GR"/>
        </w:rPr>
        <w:t xml:space="preserve">, ωστόσο, το 2022 </w:t>
      </w:r>
      <w:r w:rsidR="00C2447B" w:rsidRPr="00466073">
        <w:rPr>
          <w:rFonts w:asciiTheme="minorHAnsi" w:hAnsiTheme="minorHAnsi" w:cstheme="minorHAnsi"/>
          <w:lang w:val="el-GR"/>
        </w:rPr>
        <w:t xml:space="preserve">σημειώθηκε </w:t>
      </w:r>
      <w:r w:rsidR="0073480C" w:rsidRPr="00466073">
        <w:rPr>
          <w:rFonts w:asciiTheme="minorHAnsi" w:hAnsiTheme="minorHAnsi" w:cstheme="minorHAnsi"/>
          <w:lang w:val="el-GR"/>
        </w:rPr>
        <w:t xml:space="preserve">αύξηση </w:t>
      </w:r>
      <w:r w:rsidR="002520BA" w:rsidRPr="00466073">
        <w:rPr>
          <w:rFonts w:asciiTheme="minorHAnsi" w:hAnsiTheme="minorHAnsi" w:cstheme="minorHAnsi"/>
          <w:lang w:val="el-GR"/>
        </w:rPr>
        <w:t xml:space="preserve">στα προϊόντα που επιβαρύνονται </w:t>
      </w:r>
      <w:r w:rsidR="00EA67A1" w:rsidRPr="00466073">
        <w:rPr>
          <w:rFonts w:asciiTheme="minorHAnsi" w:hAnsiTheme="minorHAnsi" w:cstheme="minorHAnsi"/>
          <w:lang w:val="el-GR"/>
        </w:rPr>
        <w:t xml:space="preserve">και </w:t>
      </w:r>
      <w:r w:rsidR="002520BA" w:rsidRPr="00466073">
        <w:rPr>
          <w:rFonts w:asciiTheme="minorHAnsi" w:hAnsiTheme="minorHAnsi" w:cstheme="minorHAnsi"/>
          <w:lang w:val="el-GR"/>
        </w:rPr>
        <w:t>με ειδικό φόρο κατανάλωσης</w:t>
      </w:r>
      <w:r w:rsidR="000B02D7" w:rsidRPr="00466073">
        <w:rPr>
          <w:rFonts w:asciiTheme="minorHAnsi" w:hAnsiTheme="minorHAnsi" w:cstheme="minorHAnsi"/>
          <w:lang w:val="el-GR"/>
        </w:rPr>
        <w:t>.</w:t>
      </w:r>
      <w:r w:rsidRPr="00466073">
        <w:rPr>
          <w:rFonts w:asciiTheme="minorHAnsi" w:hAnsiTheme="minorHAnsi" w:cstheme="minorHAnsi"/>
          <w:lang w:val="el-GR"/>
        </w:rPr>
        <w:t xml:space="preserve"> Με βάση τον μέσο ευρωπαϊκό όρο (100 μονάδες), οι τιμές στα είδη </w:t>
      </w:r>
      <w:r w:rsidR="001D4E7E" w:rsidRPr="00466073">
        <w:rPr>
          <w:rFonts w:asciiTheme="minorHAnsi" w:hAnsiTheme="minorHAnsi" w:cstheme="minorHAnsi"/>
          <w:lang w:val="el-GR"/>
        </w:rPr>
        <w:t xml:space="preserve">διατροφής </w:t>
      </w:r>
      <w:r w:rsidR="00EA67A1" w:rsidRPr="00466073">
        <w:rPr>
          <w:rFonts w:asciiTheme="minorHAnsi" w:hAnsiTheme="minorHAnsi" w:cstheme="minorHAnsi"/>
          <w:lang w:val="el-GR"/>
        </w:rPr>
        <w:t xml:space="preserve">και τις υπηρεσίες στην </w:t>
      </w:r>
      <w:r w:rsidR="00EA67A1" w:rsidRPr="00466073">
        <w:rPr>
          <w:rFonts w:asciiTheme="minorHAnsi" w:hAnsiTheme="minorHAnsi" w:cstheme="minorHAnsi"/>
        </w:rPr>
        <w:t>O</w:t>
      </w:r>
      <w:proofErr w:type="spellStart"/>
      <w:r w:rsidR="001D4E7E" w:rsidRPr="00466073">
        <w:rPr>
          <w:rFonts w:asciiTheme="minorHAnsi" w:hAnsiTheme="minorHAnsi" w:cstheme="minorHAnsi"/>
          <w:lang w:val="el-GR"/>
        </w:rPr>
        <w:t>υγγαρία</w:t>
      </w:r>
      <w:proofErr w:type="spellEnd"/>
      <w:r w:rsidR="001D4E7E" w:rsidRPr="00466073">
        <w:rPr>
          <w:rFonts w:asciiTheme="minorHAnsi" w:hAnsiTheme="minorHAnsi" w:cstheme="minorHAnsi"/>
          <w:lang w:val="el-GR"/>
        </w:rPr>
        <w:t xml:space="preserve"> ήταν στο 68</w:t>
      </w:r>
      <w:r w:rsidRPr="00466073">
        <w:rPr>
          <w:rFonts w:asciiTheme="minorHAnsi" w:hAnsiTheme="minorHAnsi" w:cstheme="minorHAnsi"/>
          <w:lang w:val="el-GR"/>
        </w:rPr>
        <w:t>% του μέσ</w:t>
      </w:r>
      <w:r w:rsidR="001D4E7E" w:rsidRPr="00466073">
        <w:rPr>
          <w:rFonts w:asciiTheme="minorHAnsi" w:hAnsiTheme="minorHAnsi" w:cstheme="minorHAnsi"/>
          <w:lang w:val="el-GR"/>
        </w:rPr>
        <w:t>ου ευρωπαϊκού όρου (Βουλγαρία 53%, Ρουμανία και Πολωνία 61</w:t>
      </w:r>
      <w:r w:rsidRPr="00466073">
        <w:rPr>
          <w:rFonts w:asciiTheme="minorHAnsi" w:hAnsiTheme="minorHAnsi" w:cstheme="minorHAnsi"/>
          <w:lang w:val="el-GR"/>
        </w:rPr>
        <w:t xml:space="preserve">%). </w:t>
      </w:r>
    </w:p>
    <w:p w:rsidR="009B7E1E" w:rsidRPr="00466073" w:rsidRDefault="009B7E1E" w:rsidP="00EF06CD">
      <w:pPr>
        <w:spacing w:after="120"/>
        <w:rPr>
          <w:rFonts w:asciiTheme="minorHAnsi" w:hAnsiTheme="minorHAnsi" w:cstheme="minorHAnsi"/>
          <w:b/>
          <w:bCs/>
          <w:color w:val="FF0000"/>
          <w:lang w:val="el-GR"/>
        </w:rPr>
      </w:pPr>
    </w:p>
    <w:p w:rsidR="00111068" w:rsidRPr="00466073" w:rsidRDefault="00EF06CD" w:rsidP="00EF06CD">
      <w:pPr>
        <w:spacing w:after="120"/>
        <w:rPr>
          <w:rFonts w:asciiTheme="minorHAnsi" w:hAnsiTheme="minorHAnsi" w:cstheme="minorHAnsi"/>
          <w:b/>
          <w:bCs/>
          <w:color w:val="000000" w:themeColor="text1"/>
          <w:lang w:val="el-GR"/>
        </w:rPr>
      </w:pPr>
      <w:r w:rsidRPr="00466073">
        <w:rPr>
          <w:rFonts w:asciiTheme="minorHAnsi" w:hAnsiTheme="minorHAnsi" w:cstheme="minorHAnsi"/>
          <w:b/>
          <w:bCs/>
          <w:color w:val="000000" w:themeColor="text1"/>
          <w:lang w:val="el-GR"/>
        </w:rPr>
        <w:t>Εξωτερικό Εμπόριο</w:t>
      </w:r>
    </w:p>
    <w:p w:rsidR="009B12D4" w:rsidRPr="00466073" w:rsidRDefault="00BB54D1" w:rsidP="007D6B64">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Όπως αναφέρθηκε ήδη ανωτέρω, η Ουγγαρία έχει σημειώσει εξαιρετική πρόοδο στον τομέα του εξωτερικού εμπορίου. </w:t>
      </w:r>
      <w:r w:rsidR="00224B11" w:rsidRPr="00466073">
        <w:rPr>
          <w:rFonts w:asciiTheme="minorHAnsi" w:hAnsiTheme="minorHAnsi" w:cstheme="minorHAnsi"/>
          <w:color w:val="000000" w:themeColor="text1"/>
          <w:lang w:val="el-GR"/>
        </w:rPr>
        <w:t xml:space="preserve">Από το </w:t>
      </w:r>
      <w:r w:rsidRPr="00466073">
        <w:rPr>
          <w:rFonts w:asciiTheme="minorHAnsi" w:hAnsiTheme="minorHAnsi" w:cstheme="minorHAnsi"/>
          <w:color w:val="000000" w:themeColor="text1"/>
          <w:lang w:val="el-GR"/>
        </w:rPr>
        <w:t xml:space="preserve">2014 η κυβέρνηση υιοθέτησε ένα θεσμικό τρίπτυχο για την ενίσχυση και προώθηση του </w:t>
      </w:r>
      <w:r w:rsidR="00224B11" w:rsidRPr="00466073">
        <w:rPr>
          <w:rFonts w:asciiTheme="minorHAnsi" w:hAnsiTheme="minorHAnsi" w:cstheme="minorHAnsi"/>
          <w:color w:val="000000" w:themeColor="text1"/>
          <w:lang w:val="el-GR"/>
        </w:rPr>
        <w:t>εξωτερικού εμπορίου. Τ</w:t>
      </w:r>
      <w:r w:rsidRPr="00466073">
        <w:rPr>
          <w:rFonts w:asciiTheme="minorHAnsi" w:hAnsiTheme="minorHAnsi" w:cstheme="minorHAnsi"/>
          <w:color w:val="000000" w:themeColor="text1"/>
          <w:lang w:val="el-GR"/>
        </w:rPr>
        <w:t>ο εξωτερικό εμπόριο, χαρακτηρίσθηκε ως βασική προτεραιότητα της εξωτερικής πολιτικής της</w:t>
      </w:r>
      <w:r w:rsidR="009B12D4" w:rsidRPr="00466073">
        <w:rPr>
          <w:rFonts w:asciiTheme="minorHAnsi" w:hAnsiTheme="minorHAnsi" w:cstheme="minorHAnsi"/>
          <w:color w:val="000000" w:themeColor="text1"/>
          <w:lang w:val="el-GR"/>
        </w:rPr>
        <w:t xml:space="preserve"> χώρας, με αποτέλεσμα, οι εμπορικές δραστηριότητες ουγγρικών εξαγωγικών επιχειρήσεων να υποστηρίζονται από ένα δίκτυο 114 αποστολών σε 82 χώρες. </w:t>
      </w:r>
    </w:p>
    <w:p w:rsidR="00EA0F49" w:rsidRPr="00466073" w:rsidRDefault="00BB54D1" w:rsidP="004F60F8">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Το τρίπτυχο που υιοθετήθηκε, αποτελείτο από: α) την προώθηση / προσέλκυση επενδύσεων, β) </w:t>
      </w:r>
      <w:r w:rsidR="009B12D4" w:rsidRPr="00466073">
        <w:rPr>
          <w:rFonts w:asciiTheme="minorHAnsi" w:hAnsiTheme="minorHAnsi" w:cstheme="minorHAnsi"/>
          <w:color w:val="000000" w:themeColor="text1"/>
          <w:lang w:val="el-GR"/>
        </w:rPr>
        <w:t xml:space="preserve">την </w:t>
      </w:r>
      <w:r w:rsidRPr="00466073">
        <w:rPr>
          <w:rFonts w:asciiTheme="minorHAnsi" w:hAnsiTheme="minorHAnsi" w:cstheme="minorHAnsi"/>
          <w:color w:val="000000" w:themeColor="text1"/>
          <w:lang w:val="el-GR"/>
        </w:rPr>
        <w:t>ανάπτυξη του εμπορίου και γ</w:t>
      </w:r>
      <w:r w:rsidR="009B12D4" w:rsidRPr="00466073">
        <w:rPr>
          <w:rFonts w:asciiTheme="minorHAnsi" w:hAnsiTheme="minorHAnsi" w:cstheme="minorHAnsi"/>
          <w:color w:val="000000" w:themeColor="text1"/>
          <w:lang w:val="el-GR"/>
        </w:rPr>
        <w:t xml:space="preserve">) την χρηματοδότηση των εξαγωγών. Η κρατική </w:t>
      </w:r>
      <w:r w:rsidR="00BD473D" w:rsidRPr="00466073">
        <w:rPr>
          <w:rFonts w:asciiTheme="minorHAnsi" w:hAnsiTheme="minorHAnsi" w:cstheme="minorHAnsi"/>
          <w:color w:val="000000" w:themeColor="text1"/>
          <w:lang w:val="el-GR"/>
        </w:rPr>
        <w:t>Τ</w:t>
      </w:r>
      <w:r w:rsidR="009B12D4" w:rsidRPr="00466073">
        <w:rPr>
          <w:rFonts w:asciiTheme="minorHAnsi" w:hAnsiTheme="minorHAnsi" w:cstheme="minorHAnsi"/>
          <w:color w:val="000000" w:themeColor="text1"/>
          <w:lang w:val="el-GR"/>
        </w:rPr>
        <w:t xml:space="preserve">ράπεζα </w:t>
      </w:r>
      <w:r w:rsidR="00BD473D" w:rsidRPr="00466073">
        <w:rPr>
          <w:rFonts w:asciiTheme="minorHAnsi" w:hAnsiTheme="minorHAnsi" w:cstheme="minorHAnsi"/>
          <w:color w:val="000000" w:themeColor="text1"/>
          <w:lang w:val="el-GR"/>
        </w:rPr>
        <w:t>Εισαγωγών Ε</w:t>
      </w:r>
      <w:r w:rsidR="009B12D4" w:rsidRPr="00466073">
        <w:rPr>
          <w:rFonts w:asciiTheme="minorHAnsi" w:hAnsiTheme="minorHAnsi" w:cstheme="minorHAnsi"/>
          <w:color w:val="000000" w:themeColor="text1"/>
          <w:lang w:val="el-GR"/>
        </w:rPr>
        <w:t xml:space="preserve">ξαγωγών </w:t>
      </w:r>
      <w:r w:rsidR="00BD473D" w:rsidRPr="00466073">
        <w:rPr>
          <w:rFonts w:asciiTheme="minorHAnsi" w:hAnsiTheme="minorHAnsi" w:cstheme="minorHAnsi"/>
          <w:color w:val="000000" w:themeColor="text1"/>
          <w:lang w:val="el-GR"/>
        </w:rPr>
        <w:t>«</w:t>
      </w:r>
      <w:r w:rsidR="00224B11" w:rsidRPr="00466073">
        <w:rPr>
          <w:rFonts w:asciiTheme="minorHAnsi" w:hAnsiTheme="minorHAnsi" w:cstheme="minorHAnsi"/>
          <w:color w:val="000000" w:themeColor="text1"/>
          <w:lang w:val="el-GR"/>
        </w:rPr>
        <w:t>ΕΧΙΜ -</w:t>
      </w:r>
      <w:r w:rsidR="00224B11" w:rsidRPr="00466073">
        <w:rPr>
          <w:rFonts w:asciiTheme="minorHAnsi" w:hAnsiTheme="minorHAnsi" w:cstheme="minorHAnsi"/>
          <w:color w:val="000000" w:themeColor="text1"/>
          <w:spacing w:val="14"/>
          <w:lang w:val="el-GR"/>
        </w:rPr>
        <w:t xml:space="preserve"> </w:t>
      </w:r>
      <w:r w:rsidR="00224B11" w:rsidRPr="00466073">
        <w:rPr>
          <w:rFonts w:asciiTheme="minorHAnsi" w:hAnsiTheme="minorHAnsi" w:cstheme="minorHAnsi"/>
          <w:color w:val="000000" w:themeColor="text1"/>
          <w:spacing w:val="14"/>
        </w:rPr>
        <w:t>Hungarian</w:t>
      </w:r>
      <w:r w:rsidR="00224B11" w:rsidRPr="00466073">
        <w:rPr>
          <w:rFonts w:asciiTheme="minorHAnsi" w:hAnsiTheme="minorHAnsi" w:cstheme="minorHAnsi"/>
          <w:color w:val="000000" w:themeColor="text1"/>
          <w:spacing w:val="14"/>
          <w:lang w:val="el-GR"/>
        </w:rPr>
        <w:t xml:space="preserve"> </w:t>
      </w:r>
      <w:r w:rsidR="00224B11" w:rsidRPr="00466073">
        <w:rPr>
          <w:rFonts w:asciiTheme="minorHAnsi" w:hAnsiTheme="minorHAnsi" w:cstheme="minorHAnsi"/>
          <w:color w:val="000000" w:themeColor="text1"/>
          <w:spacing w:val="14"/>
        </w:rPr>
        <w:t>Export</w:t>
      </w:r>
      <w:r w:rsidR="00224B11" w:rsidRPr="00466073">
        <w:rPr>
          <w:rFonts w:asciiTheme="minorHAnsi" w:hAnsiTheme="minorHAnsi" w:cstheme="minorHAnsi"/>
          <w:color w:val="000000" w:themeColor="text1"/>
          <w:spacing w:val="14"/>
          <w:lang w:val="el-GR"/>
        </w:rPr>
        <w:t>-</w:t>
      </w:r>
      <w:r w:rsidR="00224B11" w:rsidRPr="00466073">
        <w:rPr>
          <w:rFonts w:asciiTheme="minorHAnsi" w:hAnsiTheme="minorHAnsi" w:cstheme="minorHAnsi"/>
          <w:color w:val="000000" w:themeColor="text1"/>
          <w:spacing w:val="14"/>
        </w:rPr>
        <w:t>Import</w:t>
      </w:r>
      <w:r w:rsidR="00224B11" w:rsidRPr="00466073">
        <w:rPr>
          <w:rFonts w:asciiTheme="minorHAnsi" w:hAnsiTheme="minorHAnsi" w:cstheme="minorHAnsi"/>
          <w:color w:val="000000" w:themeColor="text1"/>
          <w:spacing w:val="14"/>
          <w:lang w:val="el-GR"/>
        </w:rPr>
        <w:t xml:space="preserve"> </w:t>
      </w:r>
      <w:r w:rsidR="00224B11" w:rsidRPr="00466073">
        <w:rPr>
          <w:rFonts w:asciiTheme="minorHAnsi" w:hAnsiTheme="minorHAnsi" w:cstheme="minorHAnsi"/>
          <w:color w:val="000000" w:themeColor="text1"/>
          <w:spacing w:val="14"/>
        </w:rPr>
        <w:t>Bank</w:t>
      </w:r>
      <w:r w:rsidR="00224B11" w:rsidRPr="00466073">
        <w:rPr>
          <w:rFonts w:asciiTheme="minorHAnsi" w:hAnsiTheme="minorHAnsi" w:cstheme="minorHAnsi"/>
          <w:color w:val="000000" w:themeColor="text1"/>
          <w:spacing w:val="14"/>
          <w:lang w:val="el-GR"/>
        </w:rPr>
        <w:t xml:space="preserve"> </w:t>
      </w:r>
      <w:r w:rsidR="00224B11" w:rsidRPr="00466073">
        <w:rPr>
          <w:rFonts w:asciiTheme="minorHAnsi" w:hAnsiTheme="minorHAnsi" w:cstheme="minorHAnsi"/>
          <w:color w:val="000000" w:themeColor="text1"/>
          <w:spacing w:val="14"/>
        </w:rPr>
        <w:t>Plc</w:t>
      </w:r>
      <w:r w:rsidR="00224B11" w:rsidRPr="00466073">
        <w:rPr>
          <w:rFonts w:asciiTheme="minorHAnsi" w:hAnsiTheme="minorHAnsi" w:cstheme="minorHAnsi"/>
          <w:color w:val="000000" w:themeColor="text1"/>
          <w:spacing w:val="14"/>
          <w:lang w:val="el-GR"/>
        </w:rPr>
        <w:t>.</w:t>
      </w:r>
      <w:r w:rsidR="00BD473D" w:rsidRPr="00466073">
        <w:rPr>
          <w:rFonts w:asciiTheme="minorHAnsi" w:hAnsiTheme="minorHAnsi" w:cstheme="minorHAnsi"/>
          <w:color w:val="000000" w:themeColor="text1"/>
          <w:lang w:val="el-GR"/>
        </w:rPr>
        <w:t xml:space="preserve">» </w:t>
      </w:r>
      <w:r w:rsidR="00224B11" w:rsidRPr="00466073">
        <w:rPr>
          <w:rFonts w:asciiTheme="minorHAnsi" w:hAnsiTheme="minorHAnsi" w:cstheme="minorHAnsi"/>
          <w:color w:val="000000" w:themeColor="text1"/>
          <w:lang w:val="el-GR"/>
        </w:rPr>
        <w:t xml:space="preserve">από κοινού </w:t>
      </w:r>
      <w:r w:rsidR="00BD473D" w:rsidRPr="00466073">
        <w:rPr>
          <w:rFonts w:asciiTheme="minorHAnsi" w:hAnsiTheme="minorHAnsi" w:cstheme="minorHAnsi"/>
          <w:color w:val="000000" w:themeColor="text1"/>
          <w:lang w:val="el-GR"/>
        </w:rPr>
        <w:t>με τον κρατικό Οργανισμό Εξαγωγικών Πιστώσεων «</w:t>
      </w:r>
      <w:r w:rsidR="00BD473D" w:rsidRPr="00466073">
        <w:rPr>
          <w:rFonts w:asciiTheme="minorHAnsi" w:hAnsiTheme="minorHAnsi" w:cstheme="minorHAnsi"/>
          <w:color w:val="000000" w:themeColor="text1"/>
        </w:rPr>
        <w:t>MEHIB</w:t>
      </w:r>
      <w:r w:rsidR="00224B11" w:rsidRPr="00466073">
        <w:rPr>
          <w:rFonts w:asciiTheme="minorHAnsi" w:hAnsiTheme="minorHAnsi" w:cstheme="minorHAnsi"/>
          <w:color w:val="000000" w:themeColor="text1"/>
          <w:lang w:val="el-GR"/>
        </w:rPr>
        <w:t xml:space="preserve"> - </w:t>
      </w:r>
      <w:r w:rsidR="00224B11" w:rsidRPr="00466073">
        <w:rPr>
          <w:rFonts w:asciiTheme="minorHAnsi" w:hAnsiTheme="minorHAnsi" w:cstheme="minorHAnsi"/>
          <w:color w:val="000000" w:themeColor="text1"/>
          <w:spacing w:val="14"/>
        </w:rPr>
        <w:t>Hungarian</w:t>
      </w:r>
      <w:r w:rsidR="00224B11" w:rsidRPr="00466073">
        <w:rPr>
          <w:rFonts w:asciiTheme="minorHAnsi" w:hAnsiTheme="minorHAnsi" w:cstheme="minorHAnsi"/>
          <w:color w:val="000000" w:themeColor="text1"/>
          <w:spacing w:val="14"/>
          <w:lang w:val="el-GR"/>
        </w:rPr>
        <w:t xml:space="preserve"> </w:t>
      </w:r>
      <w:r w:rsidR="00224B11" w:rsidRPr="00466073">
        <w:rPr>
          <w:rFonts w:asciiTheme="minorHAnsi" w:hAnsiTheme="minorHAnsi" w:cstheme="minorHAnsi"/>
          <w:color w:val="000000" w:themeColor="text1"/>
          <w:spacing w:val="14"/>
        </w:rPr>
        <w:t>Export</w:t>
      </w:r>
      <w:r w:rsidR="00224B11" w:rsidRPr="00466073">
        <w:rPr>
          <w:rFonts w:asciiTheme="minorHAnsi" w:hAnsiTheme="minorHAnsi" w:cstheme="minorHAnsi"/>
          <w:color w:val="000000" w:themeColor="text1"/>
          <w:spacing w:val="14"/>
          <w:lang w:val="el-GR"/>
        </w:rPr>
        <w:t xml:space="preserve"> </w:t>
      </w:r>
      <w:r w:rsidR="00224B11" w:rsidRPr="00466073">
        <w:rPr>
          <w:rFonts w:asciiTheme="minorHAnsi" w:hAnsiTheme="minorHAnsi" w:cstheme="minorHAnsi"/>
          <w:color w:val="000000" w:themeColor="text1"/>
          <w:spacing w:val="14"/>
        </w:rPr>
        <w:t>Credit</w:t>
      </w:r>
      <w:r w:rsidR="00224B11" w:rsidRPr="00466073">
        <w:rPr>
          <w:rFonts w:asciiTheme="minorHAnsi" w:hAnsiTheme="minorHAnsi" w:cstheme="minorHAnsi"/>
          <w:color w:val="000000" w:themeColor="text1"/>
          <w:spacing w:val="14"/>
          <w:lang w:val="el-GR"/>
        </w:rPr>
        <w:t xml:space="preserve"> </w:t>
      </w:r>
      <w:r w:rsidR="00224B11" w:rsidRPr="00466073">
        <w:rPr>
          <w:rFonts w:asciiTheme="minorHAnsi" w:hAnsiTheme="minorHAnsi" w:cstheme="minorHAnsi"/>
          <w:color w:val="000000" w:themeColor="text1"/>
          <w:spacing w:val="14"/>
        </w:rPr>
        <w:t>Insurance</w:t>
      </w:r>
      <w:r w:rsidR="00224B11" w:rsidRPr="00466073">
        <w:rPr>
          <w:rFonts w:asciiTheme="minorHAnsi" w:hAnsiTheme="minorHAnsi" w:cstheme="minorHAnsi"/>
          <w:color w:val="000000" w:themeColor="text1"/>
          <w:spacing w:val="14"/>
          <w:lang w:val="el-GR"/>
        </w:rPr>
        <w:t xml:space="preserve"> </w:t>
      </w:r>
      <w:r w:rsidR="00224B11" w:rsidRPr="00466073">
        <w:rPr>
          <w:rFonts w:asciiTheme="minorHAnsi" w:hAnsiTheme="minorHAnsi" w:cstheme="minorHAnsi"/>
          <w:color w:val="000000" w:themeColor="text1"/>
          <w:spacing w:val="14"/>
        </w:rPr>
        <w:t>Plc</w:t>
      </w:r>
      <w:r w:rsidR="00224B11" w:rsidRPr="00466073">
        <w:rPr>
          <w:rFonts w:asciiTheme="minorHAnsi" w:hAnsiTheme="minorHAnsi" w:cstheme="minorHAnsi"/>
          <w:color w:val="000000" w:themeColor="text1"/>
          <w:spacing w:val="14"/>
          <w:lang w:val="el-GR"/>
        </w:rPr>
        <w:t>.</w:t>
      </w:r>
      <w:r w:rsidR="00BD473D" w:rsidRPr="00466073">
        <w:rPr>
          <w:rFonts w:asciiTheme="minorHAnsi" w:hAnsiTheme="minorHAnsi" w:cstheme="minorHAnsi"/>
          <w:color w:val="000000" w:themeColor="text1"/>
          <w:lang w:val="el-GR"/>
        </w:rPr>
        <w:t xml:space="preserve">», δημιουργούν και προσφέρουν στους Ούγγρους εξαγωγείς ένα ευρύ και ολοκληρωμένο πακέτο ενίσχυσης και </w:t>
      </w:r>
      <w:r w:rsidR="00BD473D" w:rsidRPr="00466073">
        <w:rPr>
          <w:rFonts w:asciiTheme="minorHAnsi" w:hAnsiTheme="minorHAnsi" w:cstheme="minorHAnsi"/>
          <w:color w:val="000000" w:themeColor="text1"/>
          <w:lang w:val="el-GR"/>
        </w:rPr>
        <w:lastRenderedPageBreak/>
        <w:t>υποστήριξης των επιχειρηματικών και εξαγωγικών τους δράσεων (παραγωγή, εμπόριο, δανεισμό, εγγυήσεις, ασφαλιστική κάλυψη</w:t>
      </w:r>
      <w:r w:rsidR="00224B11" w:rsidRPr="00466073">
        <w:rPr>
          <w:rFonts w:asciiTheme="minorHAnsi" w:hAnsiTheme="minorHAnsi" w:cstheme="minorHAnsi"/>
          <w:color w:val="000000" w:themeColor="text1"/>
          <w:lang w:val="el-GR"/>
        </w:rPr>
        <w:t xml:space="preserve"> </w:t>
      </w:r>
      <w:proofErr w:type="spellStart"/>
      <w:r w:rsidR="00224B11" w:rsidRPr="00466073">
        <w:rPr>
          <w:rFonts w:asciiTheme="minorHAnsi" w:hAnsiTheme="minorHAnsi" w:cstheme="minorHAnsi"/>
          <w:color w:val="000000" w:themeColor="text1"/>
          <w:lang w:val="el-GR"/>
        </w:rPr>
        <w:t>κ.ά</w:t>
      </w:r>
      <w:proofErr w:type="spellEnd"/>
      <w:r w:rsidR="00224B11" w:rsidRPr="00466073">
        <w:rPr>
          <w:rFonts w:asciiTheme="minorHAnsi" w:hAnsiTheme="minorHAnsi" w:cstheme="minorHAnsi"/>
          <w:color w:val="000000" w:themeColor="text1"/>
          <w:lang w:val="el-GR"/>
        </w:rPr>
        <w:t xml:space="preserve">). Οι δύο οργανισμοί </w:t>
      </w:r>
      <w:r w:rsidR="00BD473D" w:rsidRPr="00466073">
        <w:rPr>
          <w:rFonts w:asciiTheme="minorHAnsi" w:hAnsiTheme="minorHAnsi" w:cstheme="minorHAnsi"/>
          <w:color w:val="000000" w:themeColor="text1"/>
          <w:lang w:val="el-GR"/>
        </w:rPr>
        <w:t xml:space="preserve">λειτουργούν σύμφωνα με τη σχετική νομοθεσία του </w:t>
      </w:r>
      <w:r w:rsidR="00136CD3" w:rsidRPr="00466073">
        <w:rPr>
          <w:rFonts w:asciiTheme="minorHAnsi" w:hAnsiTheme="minorHAnsi" w:cstheme="minorHAnsi"/>
          <w:color w:val="000000" w:themeColor="text1"/>
          <w:lang w:val="el-GR"/>
        </w:rPr>
        <w:t>ΟΟΣΑ και της ΕΕ.</w:t>
      </w:r>
      <w:r w:rsidR="00BD473D" w:rsidRPr="00466073">
        <w:rPr>
          <w:rFonts w:asciiTheme="minorHAnsi" w:hAnsiTheme="minorHAnsi" w:cstheme="minorHAnsi"/>
          <w:color w:val="000000" w:themeColor="text1"/>
          <w:lang w:val="el-GR"/>
        </w:rPr>
        <w:t xml:space="preserve"> Το 2018, η ΕΧΙΜ υποστήριξε εξαγωγές αξίας €621 εκ., παραχώρησε δάνεια συνολικού ύψους €1,02 </w:t>
      </w:r>
      <w:proofErr w:type="spellStart"/>
      <w:r w:rsidR="00BD473D" w:rsidRPr="00466073">
        <w:rPr>
          <w:rFonts w:asciiTheme="minorHAnsi" w:hAnsiTheme="minorHAnsi" w:cstheme="minorHAnsi"/>
          <w:color w:val="000000" w:themeColor="text1"/>
          <w:lang w:val="el-GR"/>
        </w:rPr>
        <w:t>δισεκ</w:t>
      </w:r>
      <w:proofErr w:type="spellEnd"/>
      <w:r w:rsidR="00BD473D" w:rsidRPr="00466073">
        <w:rPr>
          <w:rFonts w:asciiTheme="minorHAnsi" w:hAnsiTheme="minorHAnsi" w:cstheme="minorHAnsi"/>
          <w:color w:val="000000" w:themeColor="text1"/>
          <w:lang w:val="el-GR"/>
        </w:rPr>
        <w:t xml:space="preserve">., ενώ το χαρτοφυλάκιό της δανείων και εγγυήσεων υπολογίστηκε στα τέλη του 2018 στα  €2,76 </w:t>
      </w:r>
      <w:proofErr w:type="spellStart"/>
      <w:r w:rsidR="00BD473D" w:rsidRPr="00466073">
        <w:rPr>
          <w:rFonts w:asciiTheme="minorHAnsi" w:hAnsiTheme="minorHAnsi" w:cstheme="minorHAnsi"/>
          <w:color w:val="000000" w:themeColor="text1"/>
          <w:lang w:val="el-GR"/>
        </w:rPr>
        <w:t>δισεκ</w:t>
      </w:r>
      <w:proofErr w:type="spellEnd"/>
      <w:r w:rsidR="00BD473D" w:rsidRPr="00466073">
        <w:rPr>
          <w:rFonts w:asciiTheme="minorHAnsi" w:hAnsiTheme="minorHAnsi" w:cstheme="minorHAnsi"/>
          <w:color w:val="000000" w:themeColor="text1"/>
          <w:lang w:val="el-GR"/>
        </w:rPr>
        <w:t>.</w:t>
      </w:r>
      <w:r w:rsidR="00136CD3" w:rsidRPr="00466073">
        <w:rPr>
          <w:rFonts w:asciiTheme="minorHAnsi" w:hAnsiTheme="minorHAnsi" w:cstheme="minorHAnsi"/>
          <w:color w:val="000000" w:themeColor="text1"/>
          <w:lang w:val="el-GR"/>
        </w:rPr>
        <w:t xml:space="preserve"> Το ίδιο έτος, για πρώτη φορά, </w:t>
      </w:r>
      <w:r w:rsidR="00BB182D" w:rsidRPr="00466073">
        <w:rPr>
          <w:rFonts w:asciiTheme="minorHAnsi" w:hAnsiTheme="minorHAnsi" w:cstheme="minorHAnsi"/>
          <w:color w:val="000000" w:themeColor="text1"/>
          <w:lang w:val="el-GR"/>
        </w:rPr>
        <w:t xml:space="preserve">η αξία του συνολικού όγκου </w:t>
      </w:r>
      <w:r w:rsidR="00136CD3" w:rsidRPr="00466073">
        <w:rPr>
          <w:rFonts w:asciiTheme="minorHAnsi" w:hAnsiTheme="minorHAnsi" w:cstheme="minorHAnsi"/>
          <w:color w:val="000000" w:themeColor="text1"/>
          <w:lang w:val="el-GR"/>
        </w:rPr>
        <w:t xml:space="preserve">εμπορικών </w:t>
      </w:r>
      <w:r w:rsidR="00BB182D" w:rsidRPr="00466073">
        <w:rPr>
          <w:rFonts w:asciiTheme="minorHAnsi" w:hAnsiTheme="minorHAnsi" w:cstheme="minorHAnsi"/>
          <w:color w:val="000000" w:themeColor="text1"/>
          <w:lang w:val="el-GR"/>
        </w:rPr>
        <w:t xml:space="preserve">συναλλαγών </w:t>
      </w:r>
      <w:r w:rsidR="00136CD3" w:rsidRPr="00466073">
        <w:rPr>
          <w:rFonts w:asciiTheme="minorHAnsi" w:hAnsiTheme="minorHAnsi" w:cstheme="minorHAnsi"/>
          <w:color w:val="000000" w:themeColor="text1"/>
          <w:lang w:val="el-GR"/>
        </w:rPr>
        <w:t xml:space="preserve">της Ουγγαρίας </w:t>
      </w:r>
      <w:r w:rsidR="00BA5601" w:rsidRPr="00466073">
        <w:rPr>
          <w:rFonts w:asciiTheme="minorHAnsi" w:hAnsiTheme="minorHAnsi" w:cstheme="minorHAnsi"/>
          <w:color w:val="000000" w:themeColor="text1"/>
          <w:lang w:val="el-GR"/>
        </w:rPr>
        <w:t>ξεπέρασε τα €</w:t>
      </w:r>
      <w:r w:rsidR="00BB182D" w:rsidRPr="00466073">
        <w:rPr>
          <w:rFonts w:asciiTheme="minorHAnsi" w:hAnsiTheme="minorHAnsi" w:cstheme="minorHAnsi"/>
          <w:color w:val="000000" w:themeColor="text1"/>
          <w:lang w:val="el-GR"/>
        </w:rPr>
        <w:t xml:space="preserve">200 </w:t>
      </w:r>
      <w:proofErr w:type="spellStart"/>
      <w:r w:rsidR="00BB182D" w:rsidRPr="00466073">
        <w:rPr>
          <w:rFonts w:asciiTheme="minorHAnsi" w:hAnsiTheme="minorHAnsi" w:cstheme="minorHAnsi"/>
          <w:color w:val="000000" w:themeColor="text1"/>
          <w:lang w:val="el-GR"/>
        </w:rPr>
        <w:t>δι</w:t>
      </w:r>
      <w:r w:rsidR="00136CD3" w:rsidRPr="00466073">
        <w:rPr>
          <w:rFonts w:asciiTheme="minorHAnsi" w:hAnsiTheme="minorHAnsi" w:cstheme="minorHAnsi"/>
          <w:color w:val="000000" w:themeColor="text1"/>
          <w:lang w:val="el-GR"/>
        </w:rPr>
        <w:t>σεκ</w:t>
      </w:r>
      <w:proofErr w:type="spellEnd"/>
      <w:r w:rsidR="00136CD3" w:rsidRPr="00466073">
        <w:rPr>
          <w:rFonts w:asciiTheme="minorHAnsi" w:hAnsiTheme="minorHAnsi" w:cstheme="minorHAnsi"/>
          <w:color w:val="000000" w:themeColor="text1"/>
          <w:lang w:val="el-GR"/>
        </w:rPr>
        <w:t xml:space="preserve">. Η ανοδική τάση, τόσο της αξίας του </w:t>
      </w:r>
      <w:r w:rsidR="00943603" w:rsidRPr="00466073">
        <w:rPr>
          <w:rFonts w:asciiTheme="minorHAnsi" w:hAnsiTheme="minorHAnsi" w:cstheme="minorHAnsi"/>
          <w:color w:val="000000" w:themeColor="text1"/>
          <w:lang w:val="el-GR"/>
        </w:rPr>
        <w:t>όγκου συναλλαγ</w:t>
      </w:r>
      <w:r w:rsidR="000D337B" w:rsidRPr="00466073">
        <w:rPr>
          <w:rFonts w:asciiTheme="minorHAnsi" w:hAnsiTheme="minorHAnsi" w:cstheme="minorHAnsi"/>
          <w:color w:val="000000" w:themeColor="text1"/>
          <w:lang w:val="el-GR"/>
        </w:rPr>
        <w:t xml:space="preserve">ών της χώρας – κυρίως </w:t>
      </w:r>
      <w:r w:rsidR="00136CD3" w:rsidRPr="00466073">
        <w:rPr>
          <w:rFonts w:asciiTheme="minorHAnsi" w:hAnsiTheme="minorHAnsi" w:cstheme="minorHAnsi"/>
          <w:color w:val="000000" w:themeColor="text1"/>
          <w:lang w:val="el-GR"/>
        </w:rPr>
        <w:t>των εξαγωγ</w:t>
      </w:r>
      <w:r w:rsidR="005036DE" w:rsidRPr="00466073">
        <w:rPr>
          <w:rFonts w:asciiTheme="minorHAnsi" w:hAnsiTheme="minorHAnsi" w:cstheme="minorHAnsi"/>
          <w:color w:val="000000" w:themeColor="text1"/>
          <w:lang w:val="el-GR"/>
        </w:rPr>
        <w:t xml:space="preserve">ών </w:t>
      </w:r>
      <w:r w:rsidR="000D337B" w:rsidRPr="00466073">
        <w:rPr>
          <w:rFonts w:asciiTheme="minorHAnsi" w:hAnsiTheme="minorHAnsi" w:cstheme="minorHAnsi"/>
          <w:color w:val="000000" w:themeColor="text1"/>
          <w:lang w:val="el-GR"/>
        </w:rPr>
        <w:t>της -</w:t>
      </w:r>
      <w:r w:rsidR="005036DE" w:rsidRPr="00466073">
        <w:rPr>
          <w:rFonts w:asciiTheme="minorHAnsi" w:hAnsiTheme="minorHAnsi" w:cstheme="minorHAnsi"/>
          <w:color w:val="000000" w:themeColor="text1"/>
          <w:lang w:val="el-GR"/>
        </w:rPr>
        <w:t>, συν</w:t>
      </w:r>
      <w:r w:rsidR="00943603" w:rsidRPr="00466073">
        <w:rPr>
          <w:rFonts w:asciiTheme="minorHAnsi" w:hAnsiTheme="minorHAnsi" w:cstheme="minorHAnsi"/>
          <w:color w:val="000000" w:themeColor="text1"/>
          <w:lang w:val="el-GR"/>
        </w:rPr>
        <w:t xml:space="preserve">εχίστηκε και το 2019, το 2020, </w:t>
      </w:r>
      <w:r w:rsidR="005036DE" w:rsidRPr="00466073">
        <w:rPr>
          <w:rFonts w:asciiTheme="minorHAnsi" w:hAnsiTheme="minorHAnsi" w:cstheme="minorHAnsi"/>
          <w:color w:val="000000" w:themeColor="text1"/>
          <w:lang w:val="el-GR"/>
        </w:rPr>
        <w:t>εν μέσω πανδημίας, οι εμπορικές συναλλαγές της χώρας κιν</w:t>
      </w:r>
      <w:r w:rsidR="00943603" w:rsidRPr="00466073">
        <w:rPr>
          <w:rFonts w:asciiTheme="minorHAnsi" w:hAnsiTheme="minorHAnsi" w:cstheme="minorHAnsi"/>
          <w:color w:val="000000" w:themeColor="text1"/>
          <w:lang w:val="el-GR"/>
        </w:rPr>
        <w:t xml:space="preserve">ήθηκαν σε ικανοποιητικά επίπεδα, </w:t>
      </w:r>
      <w:r w:rsidR="005036DE" w:rsidRPr="00466073">
        <w:rPr>
          <w:rFonts w:asciiTheme="minorHAnsi" w:hAnsiTheme="minorHAnsi" w:cstheme="minorHAnsi"/>
          <w:color w:val="000000" w:themeColor="text1"/>
          <w:lang w:val="el-GR"/>
        </w:rPr>
        <w:t xml:space="preserve"> </w:t>
      </w:r>
      <w:r w:rsidR="00224B11" w:rsidRPr="00466073">
        <w:rPr>
          <w:rFonts w:asciiTheme="minorHAnsi" w:hAnsiTheme="minorHAnsi" w:cstheme="minorHAnsi"/>
          <w:color w:val="000000" w:themeColor="text1"/>
          <w:lang w:val="el-GR"/>
        </w:rPr>
        <w:t>το 2021</w:t>
      </w:r>
      <w:r w:rsidR="00943603" w:rsidRPr="00466073">
        <w:rPr>
          <w:rFonts w:asciiTheme="minorHAnsi" w:hAnsiTheme="minorHAnsi" w:cstheme="minorHAnsi"/>
          <w:color w:val="000000" w:themeColor="text1"/>
          <w:lang w:val="el-GR"/>
        </w:rPr>
        <w:t xml:space="preserve"> ο όγκος σε αξίες σημείωσε ρεκόρ στα</w:t>
      </w:r>
      <w:r w:rsidR="00136CD3" w:rsidRPr="00466073">
        <w:rPr>
          <w:rFonts w:asciiTheme="minorHAnsi" w:hAnsiTheme="minorHAnsi" w:cstheme="minorHAnsi"/>
          <w:color w:val="000000" w:themeColor="text1"/>
          <w:lang w:val="el-GR"/>
        </w:rPr>
        <w:t xml:space="preserve"> </w:t>
      </w:r>
      <w:r w:rsidR="00943603" w:rsidRPr="00466073">
        <w:rPr>
          <w:rFonts w:asciiTheme="minorHAnsi" w:hAnsiTheme="minorHAnsi" w:cstheme="minorHAnsi"/>
          <w:color w:val="000000" w:themeColor="text1"/>
          <w:lang w:val="el-GR"/>
        </w:rPr>
        <w:t xml:space="preserve"> €</w:t>
      </w:r>
      <w:r w:rsidR="00224B11" w:rsidRPr="00466073">
        <w:rPr>
          <w:rFonts w:asciiTheme="minorHAnsi" w:hAnsiTheme="minorHAnsi" w:cstheme="minorHAnsi"/>
          <w:color w:val="000000" w:themeColor="text1"/>
          <w:lang w:val="el-GR"/>
        </w:rPr>
        <w:t xml:space="preserve"> </w:t>
      </w:r>
      <w:r w:rsidR="00943603" w:rsidRPr="00466073">
        <w:rPr>
          <w:rFonts w:asciiTheme="minorHAnsi" w:hAnsiTheme="minorHAnsi" w:cstheme="minorHAnsi"/>
          <w:color w:val="000000" w:themeColor="text1"/>
          <w:lang w:val="el-GR"/>
        </w:rPr>
        <w:t xml:space="preserve">236,7 </w:t>
      </w:r>
      <w:proofErr w:type="spellStart"/>
      <w:r w:rsidR="00943603" w:rsidRPr="00466073">
        <w:rPr>
          <w:rFonts w:asciiTheme="minorHAnsi" w:hAnsiTheme="minorHAnsi" w:cstheme="minorHAnsi"/>
          <w:color w:val="000000" w:themeColor="text1"/>
          <w:lang w:val="el-GR"/>
        </w:rPr>
        <w:t>δισεκ</w:t>
      </w:r>
      <w:proofErr w:type="spellEnd"/>
      <w:r w:rsidR="00943603" w:rsidRPr="00466073">
        <w:rPr>
          <w:rFonts w:asciiTheme="minorHAnsi" w:hAnsiTheme="minorHAnsi" w:cstheme="minorHAnsi"/>
          <w:color w:val="000000" w:themeColor="text1"/>
          <w:lang w:val="el-GR"/>
        </w:rPr>
        <w:t>.</w:t>
      </w:r>
      <w:r w:rsidR="00224B11" w:rsidRPr="00466073">
        <w:rPr>
          <w:rFonts w:asciiTheme="minorHAnsi" w:hAnsiTheme="minorHAnsi" w:cstheme="minorHAnsi"/>
          <w:color w:val="000000" w:themeColor="text1"/>
          <w:lang w:val="el-GR"/>
        </w:rPr>
        <w:t xml:space="preserve"> και το 2022 στα €</w:t>
      </w:r>
      <w:r w:rsidR="000D337B" w:rsidRPr="00466073">
        <w:rPr>
          <w:rFonts w:asciiTheme="minorHAnsi" w:hAnsiTheme="minorHAnsi" w:cstheme="minorHAnsi"/>
          <w:color w:val="000000" w:themeColor="text1"/>
          <w:lang w:val="el-GR"/>
        </w:rPr>
        <w:t xml:space="preserve"> 292,9</w:t>
      </w:r>
      <w:r w:rsidR="00224B11" w:rsidRPr="00466073">
        <w:rPr>
          <w:rFonts w:asciiTheme="minorHAnsi" w:hAnsiTheme="minorHAnsi" w:cstheme="minorHAnsi"/>
          <w:color w:val="000000" w:themeColor="text1"/>
          <w:lang w:val="el-GR"/>
        </w:rPr>
        <w:t xml:space="preserve"> </w:t>
      </w:r>
      <w:proofErr w:type="spellStart"/>
      <w:r w:rsidR="00224B11" w:rsidRPr="00466073">
        <w:rPr>
          <w:rFonts w:asciiTheme="minorHAnsi" w:hAnsiTheme="minorHAnsi" w:cstheme="minorHAnsi"/>
          <w:color w:val="000000" w:themeColor="text1"/>
          <w:lang w:val="el-GR"/>
        </w:rPr>
        <w:t>δισεκ</w:t>
      </w:r>
      <w:proofErr w:type="spellEnd"/>
      <w:r w:rsidR="00224B11" w:rsidRPr="00466073">
        <w:rPr>
          <w:rFonts w:asciiTheme="minorHAnsi" w:hAnsiTheme="minorHAnsi" w:cstheme="minorHAnsi"/>
          <w:color w:val="000000" w:themeColor="text1"/>
          <w:lang w:val="el-GR"/>
        </w:rPr>
        <w:t>.</w:t>
      </w:r>
      <w:r w:rsidR="000D337B" w:rsidRPr="00466073">
        <w:rPr>
          <w:rFonts w:asciiTheme="minorHAnsi" w:hAnsiTheme="minorHAnsi" w:cstheme="minorHAnsi"/>
          <w:color w:val="000000" w:themeColor="text1"/>
          <w:lang w:val="el-GR"/>
        </w:rPr>
        <w:t xml:space="preserve">. </w:t>
      </w:r>
      <w:r w:rsidR="00224B11" w:rsidRPr="00466073">
        <w:rPr>
          <w:rFonts w:asciiTheme="minorHAnsi" w:hAnsiTheme="minorHAnsi" w:cstheme="minorHAnsi"/>
          <w:color w:val="000000" w:themeColor="text1"/>
          <w:lang w:val="el-GR"/>
        </w:rPr>
        <w:t xml:space="preserve"> </w:t>
      </w:r>
      <w:r w:rsidR="000D337B" w:rsidRPr="00466073">
        <w:rPr>
          <w:rFonts w:asciiTheme="minorHAnsi" w:hAnsiTheme="minorHAnsi" w:cstheme="minorHAnsi"/>
          <w:color w:val="000000" w:themeColor="text1"/>
          <w:lang w:val="el-GR"/>
        </w:rPr>
        <w:t xml:space="preserve">Το 2022 </w:t>
      </w:r>
      <w:r w:rsidR="00224B11" w:rsidRPr="00466073">
        <w:rPr>
          <w:rFonts w:asciiTheme="minorHAnsi" w:hAnsiTheme="minorHAnsi" w:cstheme="minorHAnsi"/>
          <w:color w:val="000000" w:themeColor="text1"/>
          <w:lang w:val="el-GR"/>
        </w:rPr>
        <w:t>το χαρτοφυλάκιό της</w:t>
      </w:r>
      <w:r w:rsidR="000D337B" w:rsidRPr="00466073">
        <w:rPr>
          <w:rFonts w:asciiTheme="minorHAnsi" w:hAnsiTheme="minorHAnsi" w:cstheme="minorHAnsi"/>
          <w:color w:val="000000" w:themeColor="text1"/>
          <w:lang w:val="el-GR"/>
        </w:rPr>
        <w:t xml:space="preserve"> ΕΧΙΜ</w:t>
      </w:r>
      <w:r w:rsidR="00224B11" w:rsidRPr="00466073">
        <w:rPr>
          <w:rFonts w:asciiTheme="minorHAnsi" w:hAnsiTheme="minorHAnsi" w:cstheme="minorHAnsi"/>
          <w:color w:val="000000" w:themeColor="text1"/>
          <w:lang w:val="el-GR"/>
        </w:rPr>
        <w:t xml:space="preserve">, δανείων και εγγυήσεων, υπολογίστηκε στα  € 4,2 </w:t>
      </w:r>
      <w:proofErr w:type="spellStart"/>
      <w:r w:rsidR="00224B11" w:rsidRPr="00466073">
        <w:rPr>
          <w:rFonts w:asciiTheme="minorHAnsi" w:hAnsiTheme="minorHAnsi" w:cstheme="minorHAnsi"/>
          <w:color w:val="000000" w:themeColor="text1"/>
          <w:lang w:val="el-GR"/>
        </w:rPr>
        <w:t>δισεκ</w:t>
      </w:r>
      <w:proofErr w:type="spellEnd"/>
      <w:r w:rsidR="00224B11" w:rsidRPr="00466073">
        <w:rPr>
          <w:rFonts w:asciiTheme="minorHAnsi" w:hAnsiTheme="minorHAnsi" w:cstheme="minorHAnsi"/>
          <w:color w:val="000000" w:themeColor="text1"/>
          <w:lang w:val="el-GR"/>
        </w:rPr>
        <w:t>.</w:t>
      </w:r>
    </w:p>
    <w:p w:rsidR="00EA0F49" w:rsidRPr="00466073" w:rsidRDefault="00EA0F49" w:rsidP="004F60F8">
      <w:pPr>
        <w:jc w:val="both"/>
        <w:rPr>
          <w:rFonts w:asciiTheme="minorHAnsi" w:hAnsiTheme="minorHAnsi" w:cstheme="minorHAnsi"/>
          <w:lang w:val="el-GR"/>
        </w:rPr>
      </w:pPr>
    </w:p>
    <w:p w:rsidR="00F56350" w:rsidRPr="00466073" w:rsidRDefault="00BA5601" w:rsidP="004F60F8">
      <w:pPr>
        <w:jc w:val="both"/>
        <w:rPr>
          <w:rFonts w:asciiTheme="minorHAnsi" w:hAnsiTheme="minorHAnsi" w:cstheme="minorHAnsi"/>
          <w:color w:val="000000"/>
          <w:lang w:val="el-GR"/>
        </w:rPr>
      </w:pPr>
      <w:r w:rsidRPr="00466073">
        <w:rPr>
          <w:rFonts w:asciiTheme="minorHAnsi" w:hAnsiTheme="minorHAnsi" w:cstheme="minorHAnsi"/>
          <w:lang w:val="el-GR"/>
        </w:rPr>
        <w:t>Η κυβερνητική πολιτική ενίσχυσης της εξωστρεφούς επιχειρηματικότητας και της παροχής κινήτρων σε εξαγωγικές ουγγρικές επιχειρήσεις</w:t>
      </w:r>
      <w:r w:rsidR="00136CD3" w:rsidRPr="00466073">
        <w:rPr>
          <w:rFonts w:asciiTheme="minorHAnsi" w:hAnsiTheme="minorHAnsi" w:cstheme="minorHAnsi"/>
          <w:lang w:val="el-GR"/>
        </w:rPr>
        <w:t>, σε συνδυασμό με την υποστήριξη των εξαγωγικών δράσεων από τις διπλωματικές αρχές της χώρας, αποδίδουν καρπούς και η Ουγγαρία διατηρεί τα τελευταία χρόνια, σημαντικό εμπορικό πλεόνασμα.</w:t>
      </w:r>
      <w:r w:rsidR="004F60F8" w:rsidRPr="00466073">
        <w:rPr>
          <w:rFonts w:asciiTheme="minorHAnsi" w:hAnsiTheme="minorHAnsi" w:cstheme="minorHAnsi"/>
          <w:lang w:val="el-GR"/>
        </w:rPr>
        <w:t xml:space="preserve"> Τ</w:t>
      </w:r>
      <w:r w:rsidR="001A619D" w:rsidRPr="00466073">
        <w:rPr>
          <w:rFonts w:asciiTheme="minorHAnsi" w:hAnsiTheme="minorHAnsi" w:cstheme="minorHAnsi"/>
          <w:lang w:val="el-GR"/>
        </w:rPr>
        <w:t xml:space="preserve">ο 2016 καταγράφηκε το μεγαλύτερο εμπορικό πλεόνασμα στην ιστορία της χώρας με ταυτόχρονη αύξηση και των εισαγωγών και των εξαγωγών. Αυξημένο κατά €1,3 </w:t>
      </w:r>
      <w:proofErr w:type="spellStart"/>
      <w:r w:rsidR="001A619D" w:rsidRPr="00466073">
        <w:rPr>
          <w:rFonts w:asciiTheme="minorHAnsi" w:hAnsiTheme="minorHAnsi" w:cstheme="minorHAnsi"/>
          <w:lang w:val="el-GR"/>
        </w:rPr>
        <w:t>δι</w:t>
      </w:r>
      <w:r w:rsidR="004F60F8" w:rsidRPr="00466073">
        <w:rPr>
          <w:rFonts w:asciiTheme="minorHAnsi" w:hAnsiTheme="minorHAnsi" w:cstheme="minorHAnsi"/>
          <w:lang w:val="el-GR"/>
        </w:rPr>
        <w:t>σεκ</w:t>
      </w:r>
      <w:proofErr w:type="spellEnd"/>
      <w:r w:rsidR="004F60F8" w:rsidRPr="00466073">
        <w:rPr>
          <w:rFonts w:asciiTheme="minorHAnsi" w:hAnsiTheme="minorHAnsi" w:cstheme="minorHAnsi"/>
          <w:lang w:val="el-GR"/>
        </w:rPr>
        <w:t>.</w:t>
      </w:r>
      <w:r w:rsidR="001A619D" w:rsidRPr="00466073">
        <w:rPr>
          <w:rFonts w:asciiTheme="minorHAnsi" w:hAnsiTheme="minorHAnsi" w:cstheme="minorHAnsi"/>
          <w:lang w:val="el-GR"/>
        </w:rPr>
        <w:t xml:space="preserve"> σε σχέση με το προηγούμενο έτος, ξεπέρασε τα €9,9 </w:t>
      </w:r>
      <w:proofErr w:type="spellStart"/>
      <w:r w:rsidR="001A619D" w:rsidRPr="00466073">
        <w:rPr>
          <w:rFonts w:asciiTheme="minorHAnsi" w:hAnsiTheme="minorHAnsi" w:cstheme="minorHAnsi"/>
          <w:lang w:val="el-GR"/>
        </w:rPr>
        <w:t>δι</w:t>
      </w:r>
      <w:r w:rsidR="004F60F8" w:rsidRPr="00466073">
        <w:rPr>
          <w:rFonts w:asciiTheme="minorHAnsi" w:hAnsiTheme="minorHAnsi" w:cstheme="minorHAnsi"/>
          <w:lang w:val="el-GR"/>
        </w:rPr>
        <w:t>σεκ</w:t>
      </w:r>
      <w:proofErr w:type="spellEnd"/>
      <w:r w:rsidR="001A619D" w:rsidRPr="00466073">
        <w:rPr>
          <w:rFonts w:asciiTheme="minorHAnsi" w:hAnsiTheme="minorHAnsi" w:cstheme="minorHAnsi"/>
          <w:lang w:val="el-GR"/>
        </w:rPr>
        <w:t xml:space="preserve">. </w:t>
      </w:r>
      <w:r w:rsidR="00BB182D" w:rsidRPr="00466073">
        <w:rPr>
          <w:rFonts w:asciiTheme="minorHAnsi" w:hAnsiTheme="minorHAnsi" w:cstheme="minorHAnsi"/>
          <w:lang w:val="el-GR"/>
        </w:rPr>
        <w:t xml:space="preserve">Το 2018 </w:t>
      </w:r>
      <w:r w:rsidR="00BB182D" w:rsidRPr="00466073">
        <w:rPr>
          <w:rFonts w:asciiTheme="minorHAnsi" w:hAnsiTheme="minorHAnsi" w:cstheme="minorHAnsi"/>
          <w:color w:val="000000"/>
          <w:lang w:val="el-GR"/>
        </w:rPr>
        <w:t xml:space="preserve">η αξία των εξαγωγών της χώρας σημείωσε νέα αύξηση 4,3% σε σχέση με το 2017, αλλά ο υψηλότερος ρυθμός αύξησης των εισαγωγών οδήγησε σε μείωση του εμπορικού πλεονάσματος </w:t>
      </w:r>
      <w:r w:rsidR="005B1F98" w:rsidRPr="00466073">
        <w:rPr>
          <w:rFonts w:asciiTheme="minorHAnsi" w:hAnsiTheme="minorHAnsi" w:cstheme="minorHAnsi"/>
          <w:color w:val="000000"/>
          <w:lang w:val="el-GR"/>
        </w:rPr>
        <w:t>κατά €</w:t>
      </w:r>
      <w:r w:rsidR="00B03131" w:rsidRPr="00466073">
        <w:rPr>
          <w:rFonts w:asciiTheme="minorHAnsi" w:hAnsiTheme="minorHAnsi" w:cstheme="minorHAnsi"/>
          <w:color w:val="000000"/>
          <w:lang w:val="el-GR"/>
        </w:rPr>
        <w:t xml:space="preserve">2,5 </w:t>
      </w:r>
      <w:proofErr w:type="spellStart"/>
      <w:r w:rsidR="00B03131" w:rsidRPr="00466073">
        <w:rPr>
          <w:rFonts w:asciiTheme="minorHAnsi" w:hAnsiTheme="minorHAnsi" w:cstheme="minorHAnsi"/>
          <w:color w:val="000000"/>
          <w:lang w:val="el-GR"/>
        </w:rPr>
        <w:t>δισεκ</w:t>
      </w:r>
      <w:proofErr w:type="spellEnd"/>
      <w:r w:rsidR="005B1F98" w:rsidRPr="00466073">
        <w:rPr>
          <w:rFonts w:asciiTheme="minorHAnsi" w:hAnsiTheme="minorHAnsi" w:cstheme="minorHAnsi"/>
          <w:color w:val="000000"/>
          <w:lang w:val="el-GR"/>
        </w:rPr>
        <w:t>.</w:t>
      </w:r>
      <w:r w:rsidR="00BB182D" w:rsidRPr="00466073">
        <w:rPr>
          <w:rFonts w:asciiTheme="minorHAnsi" w:hAnsiTheme="minorHAnsi" w:cstheme="minorHAnsi"/>
          <w:color w:val="000000"/>
          <w:lang w:val="el-GR"/>
        </w:rPr>
        <w:t xml:space="preserve"> </w:t>
      </w:r>
      <w:r w:rsidR="005D278B" w:rsidRPr="00466073">
        <w:rPr>
          <w:rFonts w:asciiTheme="minorHAnsi" w:hAnsiTheme="minorHAnsi" w:cstheme="minorHAnsi"/>
          <w:color w:val="000000"/>
          <w:lang w:val="el-GR"/>
        </w:rPr>
        <w:t>Τα έτη 2019, 2020 και 2021</w:t>
      </w:r>
      <w:r w:rsidR="00F56350" w:rsidRPr="00466073">
        <w:rPr>
          <w:rFonts w:asciiTheme="minorHAnsi" w:hAnsiTheme="minorHAnsi" w:cstheme="minorHAnsi"/>
          <w:color w:val="000000"/>
          <w:lang w:val="el-GR"/>
        </w:rPr>
        <w:t xml:space="preserve">, </w:t>
      </w:r>
      <w:r w:rsidR="005D278B" w:rsidRPr="00466073">
        <w:rPr>
          <w:rFonts w:asciiTheme="minorHAnsi" w:hAnsiTheme="minorHAnsi" w:cstheme="minorHAnsi"/>
          <w:color w:val="000000"/>
          <w:lang w:val="el-GR"/>
        </w:rPr>
        <w:t xml:space="preserve"> σημειώθηκ</w:t>
      </w:r>
      <w:r w:rsidR="00F56350" w:rsidRPr="00466073">
        <w:rPr>
          <w:rFonts w:asciiTheme="minorHAnsi" w:hAnsiTheme="minorHAnsi" w:cstheme="minorHAnsi"/>
          <w:color w:val="000000"/>
          <w:lang w:val="el-GR"/>
        </w:rPr>
        <w:t>αν</w:t>
      </w:r>
      <w:r w:rsidR="005D278B" w:rsidRPr="00466073">
        <w:rPr>
          <w:rFonts w:asciiTheme="minorHAnsi" w:hAnsiTheme="minorHAnsi" w:cstheme="minorHAnsi"/>
          <w:color w:val="000000"/>
          <w:lang w:val="el-GR"/>
        </w:rPr>
        <w:t xml:space="preserve"> πλε</w:t>
      </w:r>
      <w:r w:rsidR="00F56350" w:rsidRPr="00466073">
        <w:rPr>
          <w:rFonts w:asciiTheme="minorHAnsi" w:hAnsiTheme="minorHAnsi" w:cstheme="minorHAnsi"/>
          <w:color w:val="000000"/>
          <w:lang w:val="el-GR"/>
        </w:rPr>
        <w:t>ονάσματα</w:t>
      </w:r>
      <w:r w:rsidR="005D278B" w:rsidRPr="00466073">
        <w:rPr>
          <w:rFonts w:asciiTheme="minorHAnsi" w:hAnsiTheme="minorHAnsi" w:cstheme="minorHAnsi"/>
          <w:color w:val="000000"/>
          <w:lang w:val="el-GR"/>
        </w:rPr>
        <w:t xml:space="preserve"> ύψους €4,3 </w:t>
      </w:r>
      <w:proofErr w:type="spellStart"/>
      <w:r w:rsidR="005D278B" w:rsidRPr="00466073">
        <w:rPr>
          <w:rFonts w:asciiTheme="minorHAnsi" w:hAnsiTheme="minorHAnsi" w:cstheme="minorHAnsi"/>
          <w:color w:val="000000"/>
          <w:lang w:val="el-GR"/>
        </w:rPr>
        <w:t>δισεκ</w:t>
      </w:r>
      <w:proofErr w:type="spellEnd"/>
      <w:r w:rsidR="005D278B" w:rsidRPr="00466073">
        <w:rPr>
          <w:rFonts w:asciiTheme="minorHAnsi" w:hAnsiTheme="minorHAnsi" w:cstheme="minorHAnsi"/>
          <w:color w:val="000000"/>
          <w:lang w:val="el-GR"/>
        </w:rPr>
        <w:t xml:space="preserve">., €5,6 </w:t>
      </w:r>
      <w:proofErr w:type="spellStart"/>
      <w:r w:rsidR="005D278B" w:rsidRPr="00466073">
        <w:rPr>
          <w:rFonts w:asciiTheme="minorHAnsi" w:hAnsiTheme="minorHAnsi" w:cstheme="minorHAnsi"/>
          <w:color w:val="000000"/>
          <w:lang w:val="el-GR"/>
        </w:rPr>
        <w:t>δισεκ</w:t>
      </w:r>
      <w:proofErr w:type="spellEnd"/>
      <w:r w:rsidR="005D278B" w:rsidRPr="00466073">
        <w:rPr>
          <w:rFonts w:asciiTheme="minorHAnsi" w:hAnsiTheme="minorHAnsi" w:cstheme="minorHAnsi"/>
          <w:color w:val="000000"/>
          <w:lang w:val="el-GR"/>
        </w:rPr>
        <w:t>.</w:t>
      </w:r>
      <w:r w:rsidR="00F56350" w:rsidRPr="00466073">
        <w:rPr>
          <w:rFonts w:asciiTheme="minorHAnsi" w:hAnsiTheme="minorHAnsi" w:cstheme="minorHAnsi"/>
          <w:color w:val="000000"/>
          <w:lang w:val="el-GR"/>
        </w:rPr>
        <w:t xml:space="preserve"> και </w:t>
      </w:r>
      <w:r w:rsidR="005D278B" w:rsidRPr="00466073">
        <w:rPr>
          <w:rFonts w:asciiTheme="minorHAnsi" w:hAnsiTheme="minorHAnsi" w:cstheme="minorHAnsi"/>
          <w:color w:val="000000"/>
          <w:lang w:val="el-GR"/>
        </w:rPr>
        <w:t xml:space="preserve">€1,6 </w:t>
      </w:r>
      <w:proofErr w:type="spellStart"/>
      <w:r w:rsidR="005D278B" w:rsidRPr="00466073">
        <w:rPr>
          <w:rFonts w:asciiTheme="minorHAnsi" w:hAnsiTheme="minorHAnsi" w:cstheme="minorHAnsi"/>
          <w:color w:val="000000"/>
          <w:lang w:val="el-GR"/>
        </w:rPr>
        <w:t>δισεκ</w:t>
      </w:r>
      <w:proofErr w:type="spellEnd"/>
      <w:r w:rsidR="005D278B" w:rsidRPr="00466073">
        <w:rPr>
          <w:rFonts w:asciiTheme="minorHAnsi" w:hAnsiTheme="minorHAnsi" w:cstheme="minorHAnsi"/>
          <w:color w:val="000000"/>
          <w:lang w:val="el-GR"/>
        </w:rPr>
        <w:t xml:space="preserve">. </w:t>
      </w:r>
      <w:r w:rsidR="00F56350" w:rsidRPr="00466073">
        <w:rPr>
          <w:rFonts w:asciiTheme="minorHAnsi" w:hAnsiTheme="minorHAnsi" w:cstheme="minorHAnsi"/>
          <w:color w:val="000000"/>
          <w:lang w:val="el-GR"/>
        </w:rPr>
        <w:t xml:space="preserve">αντίστοιχα, </w:t>
      </w:r>
      <w:r w:rsidR="005D278B" w:rsidRPr="00466073">
        <w:rPr>
          <w:rFonts w:asciiTheme="minorHAnsi" w:hAnsiTheme="minorHAnsi" w:cstheme="minorHAnsi"/>
          <w:color w:val="000000"/>
          <w:lang w:val="el-GR"/>
        </w:rPr>
        <w:t xml:space="preserve">ενώ το 2022 σημειώθηκε ελλειμματικό </w:t>
      </w:r>
      <w:r w:rsidR="00F56350" w:rsidRPr="00466073">
        <w:rPr>
          <w:rFonts w:asciiTheme="minorHAnsi" w:hAnsiTheme="minorHAnsi" w:cstheme="minorHAnsi"/>
          <w:color w:val="000000"/>
          <w:lang w:val="el-GR"/>
        </w:rPr>
        <w:t xml:space="preserve">εμπορικό </w:t>
      </w:r>
      <w:r w:rsidR="005D278B" w:rsidRPr="00466073">
        <w:rPr>
          <w:rFonts w:asciiTheme="minorHAnsi" w:hAnsiTheme="minorHAnsi" w:cstheme="minorHAnsi"/>
          <w:color w:val="000000"/>
          <w:lang w:val="el-GR"/>
        </w:rPr>
        <w:t xml:space="preserve">ισοζύγιο </w:t>
      </w:r>
      <w:r w:rsidR="00F56350" w:rsidRPr="00466073">
        <w:rPr>
          <w:rFonts w:asciiTheme="minorHAnsi" w:hAnsiTheme="minorHAnsi" w:cstheme="minorHAnsi"/>
          <w:color w:val="000000"/>
          <w:lang w:val="el-GR"/>
        </w:rPr>
        <w:t xml:space="preserve">της τάξης των </w:t>
      </w:r>
      <w:r w:rsidR="005D278B" w:rsidRPr="00466073">
        <w:rPr>
          <w:rFonts w:asciiTheme="minorHAnsi" w:hAnsiTheme="minorHAnsi" w:cstheme="minorHAnsi"/>
          <w:color w:val="000000"/>
          <w:lang w:val="el-GR"/>
        </w:rPr>
        <w:t>€</w:t>
      </w:r>
      <w:r w:rsidR="0083314A" w:rsidRPr="00466073">
        <w:rPr>
          <w:rFonts w:asciiTheme="minorHAnsi" w:hAnsiTheme="minorHAnsi" w:cstheme="minorHAnsi"/>
          <w:color w:val="000000"/>
          <w:lang w:val="el-GR"/>
        </w:rPr>
        <w:t xml:space="preserve">8,6 </w:t>
      </w:r>
      <w:proofErr w:type="spellStart"/>
      <w:r w:rsidR="0083314A" w:rsidRPr="00466073">
        <w:rPr>
          <w:rFonts w:asciiTheme="minorHAnsi" w:hAnsiTheme="minorHAnsi" w:cstheme="minorHAnsi"/>
          <w:color w:val="000000"/>
          <w:lang w:val="el-GR"/>
        </w:rPr>
        <w:t>δισεκ</w:t>
      </w:r>
      <w:proofErr w:type="spellEnd"/>
      <w:r w:rsidR="0083314A" w:rsidRPr="00466073">
        <w:rPr>
          <w:rFonts w:asciiTheme="minorHAnsi" w:hAnsiTheme="minorHAnsi" w:cstheme="minorHAnsi"/>
          <w:color w:val="000000"/>
          <w:lang w:val="el-GR"/>
        </w:rPr>
        <w:t>.</w:t>
      </w:r>
      <w:r w:rsidR="000A3433" w:rsidRPr="00466073">
        <w:rPr>
          <w:rFonts w:asciiTheme="minorHAnsi" w:hAnsiTheme="minorHAnsi" w:cstheme="minorHAnsi"/>
          <w:color w:val="000000"/>
          <w:lang w:val="el-GR"/>
        </w:rPr>
        <w:t xml:space="preserve">. Ωστόσο, πρέπει να σημειωθεί, ότι το 2022 η Ουγγαρία σχεδόν διπλασίασε τις εισαγωγές της σε φυσικό αέριο, ηλεκτρική ενέργεια και αργό πετρέλαιο, συνολικού ποσού </w:t>
      </w:r>
      <w:r w:rsidR="0083314A" w:rsidRPr="00466073">
        <w:rPr>
          <w:rFonts w:asciiTheme="minorHAnsi" w:hAnsiTheme="minorHAnsi" w:cstheme="minorHAnsi"/>
          <w:color w:val="000000"/>
          <w:lang w:val="el-GR"/>
        </w:rPr>
        <w:t xml:space="preserve"> €19,1 </w:t>
      </w:r>
      <w:proofErr w:type="spellStart"/>
      <w:r w:rsidR="0083314A" w:rsidRPr="00466073">
        <w:rPr>
          <w:rFonts w:asciiTheme="minorHAnsi" w:hAnsiTheme="minorHAnsi" w:cstheme="minorHAnsi"/>
          <w:color w:val="000000"/>
          <w:lang w:val="el-GR"/>
        </w:rPr>
        <w:t>δισεκ</w:t>
      </w:r>
      <w:proofErr w:type="spellEnd"/>
      <w:r w:rsidR="0083314A" w:rsidRPr="00466073">
        <w:rPr>
          <w:rFonts w:asciiTheme="minorHAnsi" w:hAnsiTheme="minorHAnsi" w:cstheme="minorHAnsi"/>
          <w:color w:val="000000"/>
          <w:lang w:val="el-GR"/>
        </w:rPr>
        <w:t xml:space="preserve">. </w:t>
      </w:r>
    </w:p>
    <w:p w:rsidR="0098184F" w:rsidRPr="00466073" w:rsidRDefault="004F60F8" w:rsidP="004F60F8">
      <w:pPr>
        <w:jc w:val="both"/>
        <w:rPr>
          <w:rFonts w:asciiTheme="minorHAnsi" w:hAnsiTheme="minorHAnsi" w:cstheme="minorHAnsi"/>
          <w:i/>
          <w:color w:val="000000" w:themeColor="text1"/>
          <w:u w:val="single"/>
          <w:lang w:val="el-GR"/>
        </w:rPr>
      </w:pPr>
      <w:r w:rsidRPr="00466073">
        <w:rPr>
          <w:rFonts w:asciiTheme="minorHAnsi" w:hAnsiTheme="minorHAnsi" w:cstheme="minorHAnsi"/>
          <w:color w:val="000000" w:themeColor="text1"/>
          <w:lang w:val="el-GR"/>
        </w:rPr>
        <w:t>Διαχρονικά, τ</w:t>
      </w:r>
      <w:r w:rsidR="00C6417A" w:rsidRPr="00466073">
        <w:rPr>
          <w:rFonts w:asciiTheme="minorHAnsi" w:hAnsiTheme="minorHAnsi" w:cstheme="minorHAnsi"/>
          <w:color w:val="000000" w:themeColor="text1"/>
          <w:lang w:val="el-GR"/>
        </w:rPr>
        <w:t xml:space="preserve">α σημαντικότερα </w:t>
      </w:r>
      <w:r w:rsidR="00C6417A" w:rsidRPr="00466073">
        <w:rPr>
          <w:rFonts w:asciiTheme="minorHAnsi" w:hAnsiTheme="minorHAnsi" w:cstheme="minorHAnsi"/>
          <w:b/>
          <w:color w:val="000000" w:themeColor="text1"/>
          <w:lang w:val="el-GR"/>
        </w:rPr>
        <w:t>εξαγόμενα</w:t>
      </w:r>
      <w:r w:rsidR="00C6417A" w:rsidRPr="00466073">
        <w:rPr>
          <w:rFonts w:asciiTheme="minorHAnsi" w:hAnsiTheme="minorHAnsi" w:cstheme="minorHAnsi"/>
          <w:color w:val="000000" w:themeColor="text1"/>
          <w:lang w:val="el-GR"/>
        </w:rPr>
        <w:t xml:space="preserve"> </w:t>
      </w:r>
      <w:r w:rsidR="0098184F" w:rsidRPr="00466073">
        <w:rPr>
          <w:rFonts w:asciiTheme="minorHAnsi" w:hAnsiTheme="minorHAnsi" w:cstheme="minorHAnsi"/>
          <w:color w:val="000000" w:themeColor="text1"/>
          <w:lang w:val="el-GR"/>
        </w:rPr>
        <w:t>ουγγρικά προϊόντα</w:t>
      </w:r>
      <w:r w:rsidRPr="00466073">
        <w:rPr>
          <w:rFonts w:asciiTheme="minorHAnsi" w:hAnsiTheme="minorHAnsi" w:cstheme="minorHAnsi"/>
          <w:color w:val="000000" w:themeColor="text1"/>
          <w:lang w:val="el-GR"/>
        </w:rPr>
        <w:t xml:space="preserve"> περιλαμβάνουν</w:t>
      </w:r>
      <w:r w:rsidR="00B35FAF" w:rsidRPr="00466073">
        <w:rPr>
          <w:rFonts w:asciiTheme="minorHAnsi" w:hAnsiTheme="minorHAnsi" w:cstheme="minorHAnsi"/>
          <w:color w:val="000000" w:themeColor="text1"/>
          <w:lang w:val="el-GR"/>
        </w:rPr>
        <w:t>:</w:t>
      </w:r>
      <w:r w:rsidR="00C6417A"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αυτοκίνητα και</w:t>
      </w:r>
      <w:r w:rsidR="00437BF8" w:rsidRPr="00466073">
        <w:rPr>
          <w:rFonts w:asciiTheme="minorHAnsi" w:hAnsiTheme="minorHAnsi" w:cstheme="minorHAnsi"/>
          <w:color w:val="000000" w:themeColor="text1"/>
          <w:lang w:val="el-GR"/>
        </w:rPr>
        <w:t xml:space="preserve"> εξαρτήματα αυτ</w:t>
      </w:r>
      <w:r w:rsidRPr="00466073">
        <w:rPr>
          <w:rFonts w:asciiTheme="minorHAnsi" w:hAnsiTheme="minorHAnsi" w:cstheme="minorHAnsi"/>
          <w:color w:val="000000" w:themeColor="text1"/>
          <w:lang w:val="el-GR"/>
        </w:rPr>
        <w:t>ών</w:t>
      </w:r>
      <w:r w:rsidR="00437BF8" w:rsidRPr="00466073">
        <w:rPr>
          <w:rFonts w:asciiTheme="minorHAnsi" w:hAnsiTheme="minorHAnsi" w:cstheme="minorHAnsi"/>
          <w:color w:val="000000" w:themeColor="text1"/>
          <w:lang w:val="el-GR"/>
        </w:rPr>
        <w:t>, κινητήρες, φάρμακα</w:t>
      </w:r>
      <w:r w:rsidR="003263F9" w:rsidRPr="00466073">
        <w:rPr>
          <w:rFonts w:asciiTheme="minorHAnsi" w:hAnsiTheme="minorHAnsi" w:cstheme="minorHAnsi"/>
          <w:color w:val="000000" w:themeColor="text1"/>
          <w:lang w:val="el-GR"/>
        </w:rPr>
        <w:t>, ηλεκτρονικο</w:t>
      </w:r>
      <w:r w:rsidRPr="00466073">
        <w:rPr>
          <w:rFonts w:asciiTheme="minorHAnsi" w:hAnsiTheme="minorHAnsi" w:cstheme="minorHAnsi"/>
          <w:color w:val="000000" w:themeColor="text1"/>
          <w:lang w:val="el-GR"/>
        </w:rPr>
        <w:t>ύς</w:t>
      </w:r>
      <w:r w:rsidR="003263F9" w:rsidRPr="00466073">
        <w:rPr>
          <w:rFonts w:asciiTheme="minorHAnsi" w:hAnsiTheme="minorHAnsi" w:cstheme="minorHAnsi"/>
          <w:color w:val="000000" w:themeColor="text1"/>
          <w:lang w:val="el-GR"/>
        </w:rPr>
        <w:t xml:space="preserve"> υπολογιστές</w:t>
      </w:r>
      <w:r w:rsidR="00437BF8" w:rsidRPr="00466073">
        <w:rPr>
          <w:rFonts w:asciiTheme="minorHAnsi" w:hAnsiTheme="minorHAnsi" w:cstheme="minorHAnsi"/>
          <w:color w:val="000000" w:themeColor="text1"/>
          <w:lang w:val="el-GR"/>
        </w:rPr>
        <w:t xml:space="preserve"> και τηλεφωνικές συσκευές. Στον παρακάτω πίνακα εμφανίζονται τα δέκα πρώτα σε αξία εξαγόμενα ουγγρικά προϊόντα (4</w:t>
      </w:r>
      <w:r w:rsidR="005036DE" w:rsidRPr="00466073">
        <w:rPr>
          <w:rFonts w:asciiTheme="minorHAnsi" w:hAnsiTheme="minorHAnsi" w:cstheme="minorHAnsi"/>
          <w:color w:val="000000" w:themeColor="text1"/>
          <w:lang w:val="el-GR"/>
        </w:rPr>
        <w:t>-</w:t>
      </w:r>
      <w:r w:rsidR="00943603" w:rsidRPr="00466073">
        <w:rPr>
          <w:rFonts w:asciiTheme="minorHAnsi" w:hAnsiTheme="minorHAnsi" w:cstheme="minorHAnsi"/>
          <w:color w:val="000000" w:themeColor="text1"/>
          <w:lang w:val="el-GR"/>
        </w:rPr>
        <w:t>ψήφιος κωδικός Σ.Ο.) για το 202</w:t>
      </w:r>
      <w:r w:rsidR="00C1736A" w:rsidRPr="00466073">
        <w:rPr>
          <w:rFonts w:asciiTheme="minorHAnsi" w:hAnsiTheme="minorHAnsi" w:cstheme="minorHAnsi"/>
          <w:color w:val="000000" w:themeColor="text1"/>
          <w:lang w:val="el-GR"/>
        </w:rPr>
        <w:t>2</w:t>
      </w:r>
      <w:r w:rsidRPr="00466073">
        <w:rPr>
          <w:rFonts w:asciiTheme="minorHAnsi" w:hAnsiTheme="minorHAnsi" w:cstheme="minorHAnsi"/>
          <w:color w:val="000000" w:themeColor="text1"/>
          <w:lang w:val="el-GR"/>
        </w:rPr>
        <w:t>.</w:t>
      </w:r>
      <w:r w:rsidR="000A3433" w:rsidRPr="00466073">
        <w:rPr>
          <w:rFonts w:asciiTheme="minorHAnsi" w:hAnsiTheme="minorHAnsi" w:cstheme="minorHAnsi"/>
          <w:color w:val="000000" w:themeColor="text1"/>
          <w:lang w:val="el-GR"/>
        </w:rPr>
        <w:t xml:space="preserve">  </w:t>
      </w:r>
      <w:r w:rsidR="000A3433" w:rsidRPr="00466073">
        <w:rPr>
          <w:rFonts w:asciiTheme="minorHAnsi" w:hAnsiTheme="minorHAnsi" w:cstheme="minorHAnsi"/>
          <w:i/>
          <w:color w:val="000000" w:themeColor="text1"/>
          <w:lang w:val="el-GR"/>
        </w:rPr>
        <w:t xml:space="preserve">Στις εξαγωγές της χώρας συμπεριλαμβάνεται και ο κωδικός </w:t>
      </w:r>
      <w:r w:rsidR="00C1736A" w:rsidRPr="00466073">
        <w:rPr>
          <w:rFonts w:asciiTheme="minorHAnsi" w:hAnsiTheme="minorHAnsi" w:cstheme="minorHAnsi"/>
          <w:i/>
          <w:color w:val="000000" w:themeColor="text1"/>
          <w:lang w:val="el-GR"/>
        </w:rPr>
        <w:t xml:space="preserve">2716 </w:t>
      </w:r>
      <w:r w:rsidR="000A3433" w:rsidRPr="00466073">
        <w:rPr>
          <w:rFonts w:asciiTheme="minorHAnsi" w:hAnsiTheme="minorHAnsi" w:cstheme="minorHAnsi"/>
          <w:i/>
          <w:color w:val="000000" w:themeColor="text1"/>
          <w:lang w:val="el-GR"/>
        </w:rPr>
        <w:t>: Ηλεκτρική ενέργεια με</w:t>
      </w:r>
      <w:r w:rsidR="00875487" w:rsidRPr="00466073">
        <w:rPr>
          <w:rFonts w:asciiTheme="minorHAnsi" w:hAnsiTheme="minorHAnsi" w:cstheme="minorHAnsi"/>
          <w:i/>
          <w:color w:val="000000" w:themeColor="text1"/>
          <w:lang w:val="el-GR"/>
        </w:rPr>
        <w:t xml:space="preserve"> </w:t>
      </w:r>
      <w:r w:rsidR="000A3433" w:rsidRPr="00466073">
        <w:rPr>
          <w:rFonts w:asciiTheme="minorHAnsi" w:hAnsiTheme="minorHAnsi" w:cstheme="minorHAnsi"/>
          <w:i/>
          <w:color w:val="000000" w:themeColor="text1"/>
          <w:lang w:val="el-GR"/>
        </w:rPr>
        <w:t xml:space="preserve"> € </w:t>
      </w:r>
      <w:r w:rsidR="000A3433" w:rsidRPr="00466073">
        <w:rPr>
          <w:rFonts w:asciiTheme="minorHAnsi" w:hAnsiTheme="minorHAnsi" w:cstheme="minorHAnsi"/>
          <w:i/>
          <w:color w:val="000000" w:themeColor="text1"/>
          <w:shd w:val="clear" w:color="auto" w:fill="FFFFFF"/>
          <w:lang w:val="el-GR"/>
        </w:rPr>
        <w:t>3.200.969.</w:t>
      </w:r>
      <w:r w:rsidR="00C1736A" w:rsidRPr="00466073">
        <w:rPr>
          <w:rFonts w:asciiTheme="minorHAnsi" w:hAnsiTheme="minorHAnsi" w:cstheme="minorHAnsi"/>
          <w:i/>
          <w:color w:val="000000" w:themeColor="text1"/>
          <w:shd w:val="clear" w:color="auto" w:fill="FFFFFF"/>
          <w:lang w:val="el-GR"/>
        </w:rPr>
        <w:t>562</w:t>
      </w:r>
      <w:r w:rsidR="000A3433" w:rsidRPr="00466073">
        <w:rPr>
          <w:rFonts w:asciiTheme="minorHAnsi" w:hAnsiTheme="minorHAnsi" w:cstheme="minorHAnsi"/>
          <w:i/>
          <w:color w:val="000000" w:themeColor="text1"/>
          <w:shd w:val="clear" w:color="auto" w:fill="FFFFFF"/>
          <w:lang w:val="el-GR"/>
        </w:rPr>
        <w:t>.</w:t>
      </w:r>
      <w:r w:rsidR="000A3433" w:rsidRPr="00466073">
        <w:rPr>
          <w:rFonts w:asciiTheme="minorHAnsi" w:hAnsiTheme="minorHAnsi" w:cstheme="minorHAnsi"/>
          <w:i/>
          <w:color w:val="000000" w:themeColor="text1"/>
          <w:u w:val="single"/>
          <w:shd w:val="clear" w:color="auto" w:fill="FFFFFF"/>
          <w:lang w:val="el-GR"/>
        </w:rPr>
        <w:t xml:space="preserve"> </w:t>
      </w:r>
    </w:p>
    <w:p w:rsidR="00680D81" w:rsidRPr="00466073" w:rsidRDefault="00680D81" w:rsidP="004F60F8">
      <w:pPr>
        <w:jc w:val="both"/>
        <w:rPr>
          <w:rFonts w:asciiTheme="minorHAnsi" w:hAnsiTheme="minorHAnsi" w:cstheme="minorHAnsi"/>
          <w:lang w:val="el-GR"/>
        </w:rPr>
      </w:pPr>
    </w:p>
    <w:p w:rsidR="0098184F" w:rsidRPr="00466073" w:rsidRDefault="0098184F" w:rsidP="0098184F">
      <w:pPr>
        <w:widowControl w:val="0"/>
        <w:autoSpaceDE w:val="0"/>
        <w:autoSpaceDN w:val="0"/>
        <w:adjustRightInd w:val="0"/>
        <w:spacing w:line="292" w:lineRule="exact"/>
        <w:jc w:val="center"/>
        <w:rPr>
          <w:rFonts w:asciiTheme="minorHAnsi" w:hAnsiTheme="minorHAnsi" w:cstheme="minorHAnsi"/>
          <w:b/>
          <w:lang w:val="el-GR"/>
        </w:rPr>
      </w:pPr>
      <w:r w:rsidRPr="00466073">
        <w:rPr>
          <w:rFonts w:asciiTheme="minorHAnsi" w:hAnsiTheme="minorHAnsi" w:cstheme="minorHAnsi"/>
          <w:b/>
          <w:lang w:val="el-GR"/>
        </w:rPr>
        <w:t>Εξαγωγές ουγγρικών προϊόντων - 20</w:t>
      </w:r>
      <w:r w:rsidR="00701AB7" w:rsidRPr="00466073">
        <w:rPr>
          <w:rFonts w:asciiTheme="minorHAnsi" w:hAnsiTheme="minorHAnsi" w:cstheme="minorHAnsi"/>
          <w:b/>
          <w:lang w:val="el-GR"/>
        </w:rPr>
        <w:t>2</w:t>
      </w:r>
      <w:r w:rsidR="00C1736A" w:rsidRPr="00466073">
        <w:rPr>
          <w:rFonts w:asciiTheme="minorHAnsi" w:hAnsiTheme="minorHAnsi" w:cstheme="minorHAnsi"/>
          <w:b/>
          <w:lang w:val="el-GR"/>
        </w:rPr>
        <w:t>2</w:t>
      </w:r>
    </w:p>
    <w:tbl>
      <w:tblPr>
        <w:tblW w:w="9630" w:type="dxa"/>
        <w:tblInd w:w="-72" w:type="dxa"/>
        <w:tblCellMar>
          <w:left w:w="0" w:type="dxa"/>
          <w:right w:w="0" w:type="dxa"/>
        </w:tblCellMar>
        <w:tblLook w:val="00A0"/>
      </w:tblPr>
      <w:tblGrid>
        <w:gridCol w:w="7740"/>
        <w:gridCol w:w="1890"/>
      </w:tblGrid>
      <w:tr w:rsidR="0098184F" w:rsidRPr="00466073" w:rsidTr="0028474A">
        <w:tc>
          <w:tcPr>
            <w:tcW w:w="77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tcPr>
          <w:p w:rsidR="0098184F" w:rsidRPr="00466073" w:rsidRDefault="0098184F" w:rsidP="007A7567">
            <w:pPr>
              <w:spacing w:before="100" w:beforeAutospacing="1" w:after="100" w:afterAutospacing="1"/>
              <w:jc w:val="center"/>
              <w:rPr>
                <w:rFonts w:asciiTheme="minorHAnsi" w:hAnsiTheme="minorHAnsi" w:cstheme="minorHAnsi"/>
                <w:lang w:val="el-GR"/>
              </w:rPr>
            </w:pPr>
            <w:r w:rsidRPr="00466073">
              <w:rPr>
                <w:rFonts w:asciiTheme="minorHAnsi" w:hAnsiTheme="minorHAnsi" w:cstheme="minorHAnsi"/>
                <w:lang w:val="el-GR"/>
              </w:rPr>
              <w:t>4-ψήφιος κωδικός Σ.Ο.</w:t>
            </w:r>
          </w:p>
        </w:tc>
        <w:tc>
          <w:tcPr>
            <w:tcW w:w="189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tcPr>
          <w:p w:rsidR="0098184F" w:rsidRPr="00466073" w:rsidRDefault="0098184F" w:rsidP="007A7567">
            <w:pPr>
              <w:spacing w:before="100" w:beforeAutospacing="1" w:after="100" w:afterAutospacing="1"/>
              <w:jc w:val="center"/>
              <w:rPr>
                <w:rFonts w:asciiTheme="minorHAnsi" w:hAnsiTheme="minorHAnsi" w:cstheme="minorHAnsi"/>
                <w:b/>
                <w:lang w:val="el-GR"/>
              </w:rPr>
            </w:pPr>
            <w:r w:rsidRPr="00466073">
              <w:rPr>
                <w:rFonts w:asciiTheme="minorHAnsi" w:hAnsiTheme="minorHAnsi" w:cstheme="minorHAnsi"/>
                <w:b/>
                <w:lang w:val="el-GR"/>
              </w:rPr>
              <w:t xml:space="preserve">(σε </w:t>
            </w:r>
            <w:r w:rsidRPr="00466073">
              <w:rPr>
                <w:rFonts w:asciiTheme="minorHAnsi" w:hAnsiTheme="minorHAnsi" w:cstheme="minorHAnsi"/>
                <w:lang w:val="el-GR"/>
              </w:rPr>
              <w:t>€)</w:t>
            </w:r>
          </w:p>
        </w:tc>
      </w:tr>
      <w:tr w:rsidR="0098184F" w:rsidRPr="00466073" w:rsidTr="007A7567">
        <w:tc>
          <w:tcPr>
            <w:tcW w:w="774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rsidR="0098184F" w:rsidRPr="00466073" w:rsidRDefault="0098184F" w:rsidP="007A7567">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8703</w:t>
            </w:r>
            <w:r w:rsidRPr="00466073">
              <w:rPr>
                <w:rFonts w:asciiTheme="minorHAnsi" w:hAnsiTheme="minorHAnsi" w:cstheme="minorHAnsi"/>
                <w:lang w:val="el-GR"/>
              </w:rPr>
              <w:t xml:space="preserve"> : Επιβατικά αυτοκίνητα και οχήματα μεταφοράς προσώπων</w:t>
            </w:r>
          </w:p>
        </w:tc>
        <w:tc>
          <w:tcPr>
            <w:tcW w:w="189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rsidR="00C1736A" w:rsidRPr="00466073" w:rsidRDefault="00C1736A" w:rsidP="00943603">
            <w:pPr>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1</w:t>
            </w:r>
            <w:r w:rsidR="000A3433" w:rsidRPr="00466073">
              <w:rPr>
                <w:rFonts w:asciiTheme="minorHAnsi" w:hAnsiTheme="minorHAnsi" w:cstheme="minorHAnsi"/>
                <w:color w:val="000000" w:themeColor="text1"/>
                <w:shd w:val="clear" w:color="auto" w:fill="FFFFFF"/>
              </w:rPr>
              <w:t>1</w:t>
            </w:r>
            <w:r w:rsidR="000A3433" w:rsidRPr="00466073">
              <w:rPr>
                <w:rFonts w:asciiTheme="minorHAnsi" w:hAnsiTheme="minorHAnsi" w:cstheme="minorHAnsi"/>
                <w:color w:val="000000" w:themeColor="text1"/>
                <w:shd w:val="clear" w:color="auto" w:fill="FFFFFF"/>
                <w:lang w:val="el-GR"/>
              </w:rPr>
              <w:t>.</w:t>
            </w:r>
            <w:r w:rsidR="000A3433" w:rsidRPr="00466073">
              <w:rPr>
                <w:rFonts w:asciiTheme="minorHAnsi" w:hAnsiTheme="minorHAnsi" w:cstheme="minorHAnsi"/>
                <w:color w:val="000000" w:themeColor="text1"/>
                <w:shd w:val="clear" w:color="auto" w:fill="FFFFFF"/>
              </w:rPr>
              <w:t>598</w:t>
            </w:r>
            <w:r w:rsidR="000A3433" w:rsidRPr="00466073">
              <w:rPr>
                <w:rFonts w:asciiTheme="minorHAnsi" w:hAnsiTheme="minorHAnsi" w:cstheme="minorHAnsi"/>
                <w:color w:val="000000" w:themeColor="text1"/>
                <w:shd w:val="clear" w:color="auto" w:fill="FFFFFF"/>
                <w:lang w:val="el-GR"/>
              </w:rPr>
              <w:t>.</w:t>
            </w:r>
            <w:r w:rsidR="000A3433" w:rsidRPr="00466073">
              <w:rPr>
                <w:rFonts w:asciiTheme="minorHAnsi" w:hAnsiTheme="minorHAnsi" w:cstheme="minorHAnsi"/>
                <w:color w:val="000000" w:themeColor="text1"/>
                <w:shd w:val="clear" w:color="auto" w:fill="FFFFFF"/>
              </w:rPr>
              <w:t>310</w:t>
            </w:r>
            <w:r w:rsidR="000A3433" w:rsidRPr="00466073">
              <w:rPr>
                <w:rFonts w:asciiTheme="minorHAnsi" w:hAnsiTheme="minorHAnsi" w:cstheme="minorHAnsi"/>
                <w:color w:val="000000" w:themeColor="text1"/>
                <w:shd w:val="clear" w:color="auto" w:fill="FFFFFF"/>
                <w:lang w:val="el-GR"/>
              </w:rPr>
              <w:t>.</w:t>
            </w:r>
            <w:r w:rsidRPr="00466073">
              <w:rPr>
                <w:rFonts w:asciiTheme="minorHAnsi" w:hAnsiTheme="minorHAnsi" w:cstheme="minorHAnsi"/>
                <w:color w:val="000000" w:themeColor="text1"/>
                <w:shd w:val="clear" w:color="auto" w:fill="FFFFFF"/>
              </w:rPr>
              <w:t>316</w:t>
            </w:r>
          </w:p>
        </w:tc>
      </w:tr>
      <w:tr w:rsidR="0098184F" w:rsidRPr="00466073" w:rsidTr="007A7567">
        <w:tc>
          <w:tcPr>
            <w:tcW w:w="7740" w:type="dxa"/>
            <w:tcBorders>
              <w:top w:val="single" w:sz="4" w:space="0" w:color="auto"/>
              <w:left w:val="double" w:sz="4" w:space="0" w:color="auto"/>
              <w:bottom w:val="single" w:sz="4" w:space="0" w:color="auto"/>
              <w:right w:val="double" w:sz="4" w:space="0" w:color="auto"/>
            </w:tcBorders>
            <w:tcMar>
              <w:top w:w="0" w:type="dxa"/>
              <w:left w:w="108" w:type="dxa"/>
              <w:bottom w:w="0" w:type="dxa"/>
              <w:right w:w="108" w:type="dxa"/>
            </w:tcMar>
          </w:tcPr>
          <w:p w:rsidR="0098184F" w:rsidRPr="00466073" w:rsidRDefault="0098184F" w:rsidP="007A7567">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8708</w:t>
            </w:r>
            <w:r w:rsidRPr="00466073">
              <w:rPr>
                <w:rFonts w:asciiTheme="minorHAnsi" w:hAnsiTheme="minorHAnsi" w:cstheme="minorHAnsi"/>
                <w:lang w:val="el-GR"/>
              </w:rPr>
              <w:t xml:space="preserve"> :</w:t>
            </w:r>
            <w:r w:rsidRPr="00466073">
              <w:rPr>
                <w:rFonts w:asciiTheme="minorHAnsi" w:hAnsiTheme="minorHAnsi" w:cstheme="minorHAnsi"/>
                <w:b/>
                <w:lang w:val="el-GR"/>
              </w:rPr>
              <w:t xml:space="preserve"> </w:t>
            </w:r>
            <w:r w:rsidRPr="00466073">
              <w:rPr>
                <w:rFonts w:asciiTheme="minorHAnsi" w:hAnsiTheme="minorHAnsi" w:cstheme="minorHAnsi"/>
                <w:lang w:val="el-GR"/>
              </w:rPr>
              <w:t>Μέρη και εξαρτήματα αυτοκινήτων</w:t>
            </w:r>
          </w:p>
        </w:tc>
        <w:tc>
          <w:tcPr>
            <w:tcW w:w="1890" w:type="dxa"/>
            <w:tcBorders>
              <w:top w:val="single" w:sz="4" w:space="0" w:color="auto"/>
              <w:left w:val="double" w:sz="4" w:space="0" w:color="auto"/>
              <w:bottom w:val="single" w:sz="4" w:space="0" w:color="auto"/>
              <w:right w:val="double" w:sz="4" w:space="0" w:color="auto"/>
            </w:tcBorders>
            <w:tcMar>
              <w:top w:w="0" w:type="dxa"/>
              <w:left w:w="108" w:type="dxa"/>
              <w:bottom w:w="0" w:type="dxa"/>
              <w:right w:w="108" w:type="dxa"/>
            </w:tcMar>
          </w:tcPr>
          <w:p w:rsidR="00C1736A" w:rsidRPr="00466073" w:rsidRDefault="00C1736A" w:rsidP="00943603">
            <w:pPr>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7</w:t>
            </w:r>
            <w:r w:rsidR="000A3433" w:rsidRPr="00466073">
              <w:rPr>
                <w:rFonts w:asciiTheme="minorHAnsi" w:hAnsiTheme="minorHAnsi" w:cstheme="minorHAnsi"/>
                <w:color w:val="000000" w:themeColor="text1"/>
                <w:shd w:val="clear" w:color="auto" w:fill="FFFFFF"/>
                <w:lang w:val="el-GR"/>
              </w:rPr>
              <w:t>.</w:t>
            </w:r>
            <w:r w:rsidR="000A3433" w:rsidRPr="00466073">
              <w:rPr>
                <w:rFonts w:asciiTheme="minorHAnsi" w:hAnsiTheme="minorHAnsi" w:cstheme="minorHAnsi"/>
                <w:color w:val="000000" w:themeColor="text1"/>
                <w:shd w:val="clear" w:color="auto" w:fill="FFFFFF"/>
              </w:rPr>
              <w:t>387</w:t>
            </w:r>
            <w:r w:rsidR="000A3433" w:rsidRPr="00466073">
              <w:rPr>
                <w:rFonts w:asciiTheme="minorHAnsi" w:hAnsiTheme="minorHAnsi" w:cstheme="minorHAnsi"/>
                <w:color w:val="000000" w:themeColor="text1"/>
                <w:shd w:val="clear" w:color="auto" w:fill="FFFFFF"/>
                <w:lang w:val="el-GR"/>
              </w:rPr>
              <w:t>.</w:t>
            </w:r>
            <w:r w:rsidR="000A3433" w:rsidRPr="00466073">
              <w:rPr>
                <w:rFonts w:asciiTheme="minorHAnsi" w:hAnsiTheme="minorHAnsi" w:cstheme="minorHAnsi"/>
                <w:color w:val="000000" w:themeColor="text1"/>
                <w:shd w:val="clear" w:color="auto" w:fill="FFFFFF"/>
              </w:rPr>
              <w:t>806</w:t>
            </w:r>
            <w:r w:rsidR="000A3433" w:rsidRPr="00466073">
              <w:rPr>
                <w:rFonts w:asciiTheme="minorHAnsi" w:hAnsiTheme="minorHAnsi" w:cstheme="minorHAnsi"/>
                <w:color w:val="000000" w:themeColor="text1"/>
                <w:shd w:val="clear" w:color="auto" w:fill="FFFFFF"/>
                <w:lang w:val="el-GR"/>
              </w:rPr>
              <w:t>.</w:t>
            </w:r>
            <w:r w:rsidRPr="00466073">
              <w:rPr>
                <w:rFonts w:asciiTheme="minorHAnsi" w:hAnsiTheme="minorHAnsi" w:cstheme="minorHAnsi"/>
                <w:color w:val="000000" w:themeColor="text1"/>
                <w:shd w:val="clear" w:color="auto" w:fill="FFFFFF"/>
              </w:rPr>
              <w:t>440</w:t>
            </w:r>
          </w:p>
        </w:tc>
      </w:tr>
      <w:tr w:rsidR="00875487" w:rsidRPr="00466073" w:rsidTr="00701AB7">
        <w:tc>
          <w:tcPr>
            <w:tcW w:w="774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01AB7">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8507</w:t>
            </w:r>
            <w:r w:rsidRPr="00466073">
              <w:rPr>
                <w:rFonts w:asciiTheme="minorHAnsi" w:hAnsiTheme="minorHAnsi" w:cstheme="minorHAnsi"/>
                <w:lang w:val="el-GR"/>
              </w:rPr>
              <w:t xml:space="preserve"> : </w:t>
            </w:r>
            <w:proofErr w:type="spellStart"/>
            <w:r w:rsidRPr="00466073">
              <w:rPr>
                <w:rFonts w:asciiTheme="minorHAnsi" w:hAnsiTheme="minorHAnsi" w:cstheme="minorHAnsi"/>
              </w:rPr>
              <w:t>Ηλεκτρικοί</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συσσωρευτές</w:t>
            </w:r>
            <w:proofErr w:type="spellEnd"/>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01AB7">
            <w:pPr>
              <w:spacing w:before="100" w:beforeAutospacing="1" w:after="100" w:afterAutospacing="1"/>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7.104.791.196</w:t>
            </w:r>
          </w:p>
        </w:tc>
      </w:tr>
      <w:tr w:rsidR="00875487" w:rsidRPr="00466073" w:rsidTr="00701AB7">
        <w:tc>
          <w:tcPr>
            <w:tcW w:w="774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251759">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8471</w:t>
            </w:r>
            <w:r w:rsidRPr="00466073">
              <w:rPr>
                <w:rFonts w:asciiTheme="minorHAnsi" w:hAnsiTheme="minorHAnsi" w:cstheme="minorHAnsi"/>
                <w:lang w:val="el-GR"/>
              </w:rPr>
              <w:t xml:space="preserve"> : </w:t>
            </w:r>
            <w:proofErr w:type="spellStart"/>
            <w:r w:rsidRPr="00466073">
              <w:rPr>
                <w:rFonts w:asciiTheme="minorHAnsi" w:hAnsiTheme="minorHAnsi" w:cstheme="minorHAnsi"/>
                <w:lang w:val="el-GR"/>
              </w:rPr>
              <w:t>Αυτόµατες</w:t>
            </w:r>
            <w:proofErr w:type="spellEnd"/>
            <w:r w:rsidRPr="00466073">
              <w:rPr>
                <w:rFonts w:asciiTheme="minorHAnsi" w:hAnsiTheme="minorHAnsi" w:cstheme="minorHAnsi"/>
                <w:lang w:val="el-GR"/>
              </w:rPr>
              <w:t xml:space="preserve"> µ</w:t>
            </w:r>
            <w:proofErr w:type="spellStart"/>
            <w:r w:rsidRPr="00466073">
              <w:rPr>
                <w:rFonts w:asciiTheme="minorHAnsi" w:hAnsiTheme="minorHAnsi" w:cstheme="minorHAnsi"/>
                <w:lang w:val="el-GR"/>
              </w:rPr>
              <w:t>ηχανές</w:t>
            </w:r>
            <w:proofErr w:type="spellEnd"/>
            <w:r w:rsidRPr="00466073">
              <w:rPr>
                <w:rFonts w:asciiTheme="minorHAnsi" w:hAnsiTheme="minorHAnsi" w:cstheme="minorHAnsi"/>
                <w:lang w:val="el-GR"/>
              </w:rPr>
              <w:t xml:space="preserve"> επεξεργασίας πληροφοριών</w:t>
            </w:r>
            <w:r w:rsidRPr="00466073">
              <w:rPr>
                <w:rFonts w:asciiTheme="minorHAnsi" w:hAnsiTheme="minorHAnsi" w:cstheme="minorHAnsi"/>
                <w:b/>
                <w:lang w:val="el-GR"/>
              </w:rPr>
              <w:t xml:space="preserve"> </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251759">
            <w:pPr>
              <w:spacing w:before="100" w:beforeAutospacing="1" w:after="100" w:afterAutospacing="1"/>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4.639.832.231</w:t>
            </w:r>
          </w:p>
        </w:tc>
      </w:tr>
      <w:tr w:rsidR="00875487" w:rsidRPr="00466073" w:rsidTr="00701AB7">
        <w:tc>
          <w:tcPr>
            <w:tcW w:w="774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251759">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3004</w:t>
            </w:r>
            <w:r w:rsidRPr="00466073">
              <w:rPr>
                <w:rFonts w:asciiTheme="minorHAnsi" w:hAnsiTheme="minorHAnsi" w:cstheme="minorHAnsi"/>
                <w:lang w:val="el-GR"/>
              </w:rPr>
              <w:t xml:space="preserve"> : </w:t>
            </w:r>
            <w:proofErr w:type="spellStart"/>
            <w:r w:rsidRPr="00466073">
              <w:rPr>
                <w:rFonts w:asciiTheme="minorHAnsi" w:hAnsiTheme="minorHAnsi" w:cstheme="minorHAnsi"/>
                <w:lang w:val="el-GR"/>
              </w:rPr>
              <w:t>Φάρµακα</w:t>
            </w:r>
            <w:proofErr w:type="spellEnd"/>
            <w:r w:rsidRPr="00466073">
              <w:rPr>
                <w:rFonts w:asciiTheme="minorHAnsi" w:hAnsiTheme="minorHAnsi" w:cstheme="minorHAnsi"/>
                <w:b/>
                <w:lang w:val="el-GR"/>
              </w:rPr>
              <w:t xml:space="preserve"> </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251759">
            <w:pPr>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3.790.114.526</w:t>
            </w:r>
          </w:p>
        </w:tc>
      </w:tr>
      <w:tr w:rsidR="00875487" w:rsidRPr="00466073" w:rsidTr="007A7567">
        <w:tc>
          <w:tcPr>
            <w:tcW w:w="7740" w:type="dxa"/>
            <w:tcBorders>
              <w:top w:val="single" w:sz="4"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D768A">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 xml:space="preserve">8517 </w:t>
            </w:r>
            <w:r w:rsidRPr="00466073">
              <w:rPr>
                <w:rFonts w:asciiTheme="minorHAnsi" w:hAnsiTheme="minorHAnsi" w:cstheme="minorHAnsi"/>
                <w:lang w:val="el-GR"/>
              </w:rPr>
              <w:t>: Τηλεφωνικές συσκευές</w:t>
            </w:r>
          </w:p>
        </w:tc>
        <w:tc>
          <w:tcPr>
            <w:tcW w:w="1890" w:type="dxa"/>
            <w:tcBorders>
              <w:top w:val="single" w:sz="4"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943603">
            <w:pPr>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3.721.878.404</w:t>
            </w:r>
          </w:p>
        </w:tc>
      </w:tr>
      <w:tr w:rsidR="00875487" w:rsidRPr="00466073" w:rsidTr="00701AB7">
        <w:tc>
          <w:tcPr>
            <w:tcW w:w="774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01AB7">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8528</w:t>
            </w:r>
            <w:r w:rsidRPr="00466073">
              <w:rPr>
                <w:rFonts w:asciiTheme="minorHAnsi" w:hAnsiTheme="minorHAnsi" w:cstheme="minorHAnsi"/>
                <w:lang w:val="el-GR"/>
              </w:rPr>
              <w:t xml:space="preserve"> : Οθόνες απεικόνισης και συσκευές προβολής</w:t>
            </w:r>
            <w:r w:rsidRPr="00466073">
              <w:rPr>
                <w:rFonts w:asciiTheme="minorHAnsi" w:hAnsiTheme="minorHAnsi" w:cstheme="minorHAnsi"/>
                <w:b/>
                <w:lang w:val="el-GR"/>
              </w:rPr>
              <w:t xml:space="preserve"> </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01AB7">
            <w:pPr>
              <w:spacing w:before="100" w:beforeAutospacing="1" w:after="100" w:afterAutospacing="1"/>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2.980.554.283</w:t>
            </w:r>
          </w:p>
        </w:tc>
      </w:tr>
      <w:tr w:rsidR="00875487" w:rsidRPr="00466073" w:rsidTr="007A7567">
        <w:tc>
          <w:tcPr>
            <w:tcW w:w="774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A7567">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 xml:space="preserve">8407 </w:t>
            </w:r>
            <w:r w:rsidRPr="00466073">
              <w:rPr>
                <w:rFonts w:asciiTheme="minorHAnsi" w:hAnsiTheme="minorHAnsi" w:cstheme="minorHAnsi"/>
                <w:lang w:val="el-GR"/>
              </w:rPr>
              <w:t>: Κινητήρες (εσωτερικής καύσης)</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CD7720">
            <w:pPr>
              <w:spacing w:before="100" w:beforeAutospacing="1" w:after="100" w:afterAutospacing="1"/>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2.834.418.484</w:t>
            </w:r>
          </w:p>
        </w:tc>
      </w:tr>
      <w:tr w:rsidR="00875487" w:rsidRPr="00466073" w:rsidTr="007A7567">
        <w:tc>
          <w:tcPr>
            <w:tcW w:w="774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01AB7">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8544</w:t>
            </w:r>
            <w:r w:rsidRPr="00466073">
              <w:rPr>
                <w:rFonts w:asciiTheme="minorHAnsi" w:hAnsiTheme="minorHAnsi" w:cstheme="minorHAnsi"/>
                <w:lang w:val="el-GR"/>
              </w:rPr>
              <w:t xml:space="preserve"> : Σύρματα, καλώδια και άλλοι αγωγοί με ηλεκτρική μόνωση</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01AB7">
            <w:pPr>
              <w:spacing w:before="100" w:beforeAutospacing="1" w:after="100" w:afterAutospacing="1"/>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2.529.518.939</w:t>
            </w:r>
          </w:p>
        </w:tc>
      </w:tr>
      <w:tr w:rsidR="00875487" w:rsidRPr="00466073" w:rsidTr="007A7567">
        <w:tc>
          <w:tcPr>
            <w:tcW w:w="774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7A7567">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8537</w:t>
            </w:r>
            <w:r w:rsidRPr="00466073">
              <w:rPr>
                <w:rFonts w:asciiTheme="minorHAnsi" w:hAnsiTheme="minorHAnsi" w:cstheme="minorHAnsi"/>
                <w:lang w:val="el-GR"/>
              </w:rPr>
              <w:t xml:space="preserve"> : Πίνακες, πλαίσια, κονσόλες και βάσεις για έλεγχο / </w:t>
            </w:r>
            <w:proofErr w:type="spellStart"/>
            <w:r w:rsidRPr="00466073">
              <w:rPr>
                <w:rFonts w:asciiTheme="minorHAnsi" w:hAnsiTheme="minorHAnsi" w:cstheme="minorHAnsi"/>
                <w:lang w:val="el-GR"/>
              </w:rPr>
              <w:t>διανοµή</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ρεύµατος</w:t>
            </w:r>
            <w:proofErr w:type="spellEnd"/>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CD7720">
            <w:pPr>
              <w:spacing w:before="100" w:beforeAutospacing="1" w:after="100" w:afterAutospacing="1"/>
              <w:jc w:val="right"/>
              <w:rPr>
                <w:rFonts w:asciiTheme="minorHAnsi" w:hAnsiTheme="minorHAnsi" w:cstheme="minorHAnsi"/>
                <w:color w:val="000000" w:themeColor="text1"/>
                <w:lang w:val="el-GR"/>
              </w:rPr>
            </w:pPr>
            <w:r w:rsidRPr="00466073">
              <w:rPr>
                <w:rFonts w:asciiTheme="minorHAnsi" w:hAnsiTheme="minorHAnsi" w:cstheme="minorHAnsi"/>
                <w:color w:val="000000" w:themeColor="text1"/>
                <w:shd w:val="clear" w:color="auto" w:fill="FFFFFF"/>
              </w:rPr>
              <w:t>2.344.606.271</w:t>
            </w:r>
          </w:p>
        </w:tc>
      </w:tr>
      <w:tr w:rsidR="00875487" w:rsidRPr="00466073" w:rsidTr="00354932">
        <w:tc>
          <w:tcPr>
            <w:tcW w:w="774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9B7E1E">
            <w:pPr>
              <w:spacing w:before="100" w:beforeAutospacing="1" w:after="100" w:afterAutospacing="1"/>
              <w:jc w:val="right"/>
              <w:rPr>
                <w:rFonts w:asciiTheme="minorHAnsi" w:hAnsiTheme="minorHAnsi" w:cstheme="minorHAnsi"/>
                <w:lang w:val="el-GR"/>
              </w:rPr>
            </w:pPr>
            <w:r w:rsidRPr="00466073">
              <w:rPr>
                <w:rFonts w:asciiTheme="minorHAnsi" w:hAnsiTheme="minorHAnsi" w:cstheme="minorHAnsi"/>
                <w:lang w:val="el-GR"/>
              </w:rPr>
              <w:t>ΜΕΡΙΚΟ ΣΥΝΟΛΟ (3</w:t>
            </w:r>
            <w:r w:rsidRPr="00466073">
              <w:rPr>
                <w:rFonts w:asciiTheme="minorHAnsi" w:hAnsiTheme="minorHAnsi" w:cstheme="minorHAnsi"/>
              </w:rPr>
              <w:t>4</w:t>
            </w:r>
            <w:r w:rsidRPr="00466073">
              <w:rPr>
                <w:rFonts w:asciiTheme="minorHAnsi" w:hAnsiTheme="minorHAnsi" w:cstheme="minorHAnsi"/>
                <w:lang w:val="el-GR"/>
              </w:rPr>
              <w:t>,</w:t>
            </w:r>
            <w:r w:rsidRPr="00466073">
              <w:rPr>
                <w:rFonts w:asciiTheme="minorHAnsi" w:hAnsiTheme="minorHAnsi" w:cstheme="minorHAnsi"/>
              </w:rPr>
              <w:t>41%)</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875487" w:rsidRPr="00466073" w:rsidRDefault="00875487" w:rsidP="00CD7720">
            <w:pPr>
              <w:spacing w:before="100" w:beforeAutospacing="1" w:after="100" w:afterAutospacing="1"/>
              <w:jc w:val="right"/>
              <w:rPr>
                <w:rFonts w:asciiTheme="minorHAnsi" w:hAnsiTheme="minorHAnsi" w:cstheme="minorHAnsi"/>
              </w:rPr>
            </w:pPr>
            <w:r w:rsidRPr="00466073">
              <w:rPr>
                <w:rFonts w:asciiTheme="minorHAnsi" w:hAnsiTheme="minorHAnsi" w:cstheme="minorHAnsi"/>
              </w:rPr>
              <w:t>48.931.831.090</w:t>
            </w:r>
          </w:p>
        </w:tc>
      </w:tr>
      <w:tr w:rsidR="00875487" w:rsidRPr="00466073" w:rsidTr="00F403FB">
        <w:tc>
          <w:tcPr>
            <w:tcW w:w="7740" w:type="dxa"/>
            <w:tcBorders>
              <w:top w:val="single" w:sz="8" w:space="0" w:color="auto"/>
              <w:left w:val="double" w:sz="4" w:space="0" w:color="auto"/>
              <w:bottom w:val="double" w:sz="4" w:space="0" w:color="auto"/>
              <w:right w:val="double" w:sz="4" w:space="0" w:color="auto"/>
            </w:tcBorders>
            <w:tcMar>
              <w:top w:w="0" w:type="dxa"/>
              <w:left w:w="108" w:type="dxa"/>
              <w:bottom w:w="0" w:type="dxa"/>
              <w:right w:w="108" w:type="dxa"/>
            </w:tcMar>
          </w:tcPr>
          <w:p w:rsidR="00875487" w:rsidRPr="00466073" w:rsidRDefault="00875487" w:rsidP="00F403FB">
            <w:pPr>
              <w:spacing w:before="100" w:beforeAutospacing="1" w:after="100" w:afterAutospacing="1"/>
              <w:jc w:val="right"/>
              <w:rPr>
                <w:rFonts w:asciiTheme="minorHAnsi" w:hAnsiTheme="minorHAnsi" w:cstheme="minorHAnsi"/>
                <w:lang w:val="el-GR"/>
              </w:rPr>
            </w:pPr>
            <w:r w:rsidRPr="00466073">
              <w:rPr>
                <w:rFonts w:asciiTheme="minorHAnsi" w:hAnsiTheme="minorHAnsi" w:cstheme="minorHAnsi"/>
                <w:lang w:val="el-GR"/>
              </w:rPr>
              <w:t>ΥΠΟΛΟΙΠΟ</w:t>
            </w:r>
          </w:p>
        </w:tc>
        <w:tc>
          <w:tcPr>
            <w:tcW w:w="1890"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875487" w:rsidRPr="00466073" w:rsidRDefault="00875487" w:rsidP="00CB7D46">
            <w:pPr>
              <w:spacing w:before="100" w:beforeAutospacing="1" w:after="100" w:afterAutospacing="1"/>
              <w:jc w:val="right"/>
              <w:rPr>
                <w:rFonts w:asciiTheme="minorHAnsi" w:hAnsiTheme="minorHAnsi" w:cstheme="minorHAnsi"/>
              </w:rPr>
            </w:pPr>
            <w:r w:rsidRPr="00466073">
              <w:rPr>
                <w:rFonts w:asciiTheme="minorHAnsi" w:hAnsiTheme="minorHAnsi" w:cstheme="minorHAnsi"/>
              </w:rPr>
              <w:t>93.256.865.614</w:t>
            </w:r>
          </w:p>
        </w:tc>
      </w:tr>
      <w:tr w:rsidR="00875487" w:rsidRPr="00466073" w:rsidTr="0028474A">
        <w:tc>
          <w:tcPr>
            <w:tcW w:w="774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tcPr>
          <w:p w:rsidR="00875487" w:rsidRPr="00466073" w:rsidRDefault="00875487" w:rsidP="009B7E1E">
            <w:pPr>
              <w:spacing w:before="100" w:beforeAutospacing="1" w:after="100" w:afterAutospacing="1"/>
              <w:jc w:val="right"/>
              <w:rPr>
                <w:rFonts w:asciiTheme="minorHAnsi" w:hAnsiTheme="minorHAnsi" w:cstheme="minorHAnsi"/>
                <w:b/>
                <w:lang w:val="el-GR"/>
              </w:rPr>
            </w:pPr>
            <w:r w:rsidRPr="00466073">
              <w:rPr>
                <w:rFonts w:asciiTheme="minorHAnsi" w:hAnsiTheme="minorHAnsi" w:cstheme="minorHAnsi"/>
                <w:b/>
                <w:lang w:val="el-GR"/>
              </w:rPr>
              <w:t>ΣΥΝΟΛΟ</w:t>
            </w:r>
          </w:p>
        </w:tc>
        <w:tc>
          <w:tcPr>
            <w:tcW w:w="189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tcPr>
          <w:p w:rsidR="00875487" w:rsidRPr="00466073" w:rsidRDefault="00875487" w:rsidP="00670E44">
            <w:pPr>
              <w:spacing w:before="100" w:beforeAutospacing="1" w:after="100" w:afterAutospacing="1"/>
              <w:jc w:val="right"/>
              <w:rPr>
                <w:rFonts w:asciiTheme="minorHAnsi" w:hAnsiTheme="minorHAnsi" w:cstheme="minorHAnsi"/>
                <w:b/>
              </w:rPr>
            </w:pPr>
            <w:r w:rsidRPr="00466073">
              <w:rPr>
                <w:rFonts w:asciiTheme="minorHAnsi" w:hAnsiTheme="minorHAnsi" w:cstheme="minorHAnsi"/>
                <w:b/>
              </w:rPr>
              <w:t>1</w:t>
            </w:r>
            <w:r w:rsidRPr="00466073">
              <w:rPr>
                <w:rFonts w:asciiTheme="minorHAnsi" w:hAnsiTheme="minorHAnsi" w:cstheme="minorHAnsi"/>
                <w:b/>
                <w:lang w:val="el-GR"/>
              </w:rPr>
              <w:t xml:space="preserve">42.188.696.704 </w:t>
            </w:r>
          </w:p>
        </w:tc>
      </w:tr>
    </w:tbl>
    <w:p w:rsidR="0098184F" w:rsidRPr="00466073" w:rsidRDefault="0098184F" w:rsidP="0098184F">
      <w:pPr>
        <w:ind w:left="630" w:hanging="630"/>
        <w:jc w:val="both"/>
        <w:rPr>
          <w:rFonts w:asciiTheme="minorHAnsi" w:hAnsiTheme="minorHAnsi" w:cstheme="minorHAnsi"/>
          <w:lang w:val="el-GR"/>
        </w:rPr>
      </w:pPr>
      <w:r w:rsidRPr="00466073">
        <w:rPr>
          <w:rFonts w:asciiTheme="minorHAnsi" w:hAnsiTheme="minorHAnsi" w:cstheme="minorHAnsi"/>
          <w:u w:val="single"/>
          <w:lang w:val="el-GR"/>
        </w:rPr>
        <w:t>Πηγές</w:t>
      </w:r>
      <w:r w:rsidRPr="00466073">
        <w:rPr>
          <w:rFonts w:asciiTheme="minorHAnsi" w:hAnsiTheme="minorHAnsi" w:cstheme="minorHAnsi"/>
          <w:lang w:val="el-GR"/>
        </w:rPr>
        <w:t>: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670E44" w:rsidRPr="00466073" w:rsidRDefault="00670E44" w:rsidP="00A314C2">
      <w:pPr>
        <w:jc w:val="both"/>
        <w:rPr>
          <w:rFonts w:asciiTheme="minorHAnsi" w:hAnsiTheme="minorHAnsi" w:cstheme="minorHAnsi"/>
          <w:color w:val="3C3C3C"/>
          <w:shd w:val="clear" w:color="auto" w:fill="FFFFFF"/>
          <w:lang w:val="el-GR"/>
        </w:rPr>
      </w:pPr>
    </w:p>
    <w:p w:rsidR="00B35FAF" w:rsidRPr="00466073" w:rsidRDefault="00B35FAF" w:rsidP="00A314C2">
      <w:pPr>
        <w:jc w:val="both"/>
        <w:rPr>
          <w:rFonts w:asciiTheme="minorHAnsi" w:hAnsiTheme="minorHAnsi" w:cstheme="minorHAnsi"/>
        </w:rPr>
      </w:pPr>
      <w:r w:rsidRPr="00466073">
        <w:rPr>
          <w:rFonts w:asciiTheme="minorHAnsi" w:hAnsiTheme="minorHAnsi" w:cstheme="minorHAnsi"/>
          <w:lang w:val="el-GR"/>
        </w:rPr>
        <w:t>Εύκολα διαπιστώνει κανείς ότι ο κύριος όγκος των ουγγρικών εξαγωγών αποτελείται από οχήματα, μηχανολογικό εξοπλισμό και βιομηχανικά είδη. Σχετικό είναι και το γράφημα που ακολουθεί.</w:t>
      </w:r>
    </w:p>
    <w:p w:rsidR="001A24AC" w:rsidRPr="00466073" w:rsidRDefault="001A24AC" w:rsidP="00A314C2">
      <w:pPr>
        <w:jc w:val="both"/>
        <w:rPr>
          <w:rFonts w:asciiTheme="minorHAnsi" w:hAnsiTheme="minorHAnsi" w:cstheme="minorHAnsi"/>
        </w:rPr>
      </w:pPr>
    </w:p>
    <w:p w:rsidR="001A24AC" w:rsidRPr="00466073" w:rsidRDefault="001A24AC" w:rsidP="00A314C2">
      <w:pPr>
        <w:jc w:val="both"/>
        <w:rPr>
          <w:rFonts w:asciiTheme="minorHAnsi" w:hAnsiTheme="minorHAnsi" w:cstheme="minorHAnsi"/>
        </w:rPr>
      </w:pPr>
    </w:p>
    <w:p w:rsidR="001A24AC" w:rsidRPr="00466073" w:rsidRDefault="001A24AC" w:rsidP="001A24AC">
      <w:pPr>
        <w:jc w:val="both"/>
        <w:rPr>
          <w:rFonts w:asciiTheme="minorHAnsi" w:hAnsiTheme="minorHAnsi" w:cstheme="minorHAnsi"/>
        </w:rPr>
      </w:pPr>
      <w:r w:rsidRPr="00466073">
        <w:rPr>
          <w:rFonts w:asciiTheme="minorHAnsi" w:hAnsiTheme="minorHAnsi" w:cstheme="minorHAnsi"/>
          <w:noProof/>
        </w:rPr>
        <w:drawing>
          <wp:inline distT="0" distB="0" distL="0" distR="0">
            <wp:extent cx="6577989" cy="3036499"/>
            <wp:effectExtent l="19050" t="0" r="13311"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914B6" w:rsidRPr="00466073" w:rsidRDefault="00A914B6" w:rsidP="00516C8D">
      <w:pPr>
        <w:widowControl w:val="0"/>
        <w:autoSpaceDE w:val="0"/>
        <w:autoSpaceDN w:val="0"/>
        <w:adjustRightInd w:val="0"/>
        <w:spacing w:line="233" w:lineRule="auto"/>
        <w:rPr>
          <w:rFonts w:asciiTheme="minorHAnsi" w:hAnsiTheme="minorHAnsi" w:cstheme="minorHAnsi"/>
          <w:u w:val="single"/>
        </w:rPr>
      </w:pPr>
    </w:p>
    <w:p w:rsidR="008179B6" w:rsidRPr="00466073" w:rsidRDefault="008179B6" w:rsidP="00516C8D">
      <w:pPr>
        <w:widowControl w:val="0"/>
        <w:autoSpaceDE w:val="0"/>
        <w:autoSpaceDN w:val="0"/>
        <w:adjustRightInd w:val="0"/>
        <w:spacing w:line="233" w:lineRule="auto"/>
        <w:rPr>
          <w:rFonts w:asciiTheme="minorHAnsi" w:hAnsiTheme="minorHAnsi" w:cstheme="minorHAnsi"/>
          <w:bCs/>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 xml:space="preserve">. </w:t>
      </w:r>
    </w:p>
    <w:p w:rsidR="00A914B6" w:rsidRPr="00466073" w:rsidRDefault="00A914B6" w:rsidP="006A6FAC">
      <w:pPr>
        <w:jc w:val="both"/>
        <w:rPr>
          <w:rFonts w:asciiTheme="minorHAnsi" w:hAnsiTheme="minorHAnsi" w:cstheme="minorHAnsi"/>
          <w:lang w:val="el-GR"/>
        </w:rPr>
      </w:pPr>
    </w:p>
    <w:p w:rsidR="00E909D9" w:rsidRPr="00466073" w:rsidRDefault="00816210" w:rsidP="006A6FAC">
      <w:pPr>
        <w:jc w:val="both"/>
        <w:rPr>
          <w:rFonts w:asciiTheme="minorHAnsi" w:hAnsiTheme="minorHAnsi" w:cstheme="minorHAnsi"/>
          <w:lang w:val="hu-HU"/>
        </w:rPr>
      </w:pPr>
      <w:r w:rsidRPr="00466073">
        <w:rPr>
          <w:rFonts w:asciiTheme="minorHAnsi" w:hAnsiTheme="minorHAnsi" w:cstheme="minorHAnsi"/>
          <w:lang w:val="el-GR"/>
        </w:rPr>
        <w:t>Κύριες αγορές για τα ουγγρικά προϊόντα αναδεικν</w:t>
      </w:r>
      <w:r w:rsidR="008179B6" w:rsidRPr="00466073">
        <w:rPr>
          <w:rFonts w:asciiTheme="minorHAnsi" w:hAnsiTheme="minorHAnsi" w:cstheme="minorHAnsi"/>
          <w:lang w:val="el-GR"/>
        </w:rPr>
        <w:t>ύονται για το 20</w:t>
      </w:r>
      <w:r w:rsidR="00516C8D" w:rsidRPr="00466073">
        <w:rPr>
          <w:rFonts w:asciiTheme="minorHAnsi" w:hAnsiTheme="minorHAnsi" w:cstheme="minorHAnsi"/>
          <w:lang w:val="el-GR"/>
        </w:rPr>
        <w:t>2</w:t>
      </w:r>
      <w:r w:rsidR="00A914B6" w:rsidRPr="00466073">
        <w:rPr>
          <w:rFonts w:asciiTheme="minorHAnsi" w:hAnsiTheme="minorHAnsi" w:cstheme="minorHAnsi"/>
          <w:lang w:val="el-GR"/>
        </w:rPr>
        <w:t>2</w:t>
      </w:r>
      <w:r w:rsidR="008179B6" w:rsidRPr="00466073">
        <w:rPr>
          <w:rFonts w:asciiTheme="minorHAnsi" w:hAnsiTheme="minorHAnsi" w:cstheme="minorHAnsi"/>
          <w:lang w:val="el-GR"/>
        </w:rPr>
        <w:t xml:space="preserve"> (κατά σειρά)</w:t>
      </w:r>
      <w:r w:rsidRPr="00466073">
        <w:rPr>
          <w:rFonts w:asciiTheme="minorHAnsi" w:hAnsiTheme="minorHAnsi" w:cstheme="minorHAnsi"/>
          <w:lang w:val="el-GR"/>
        </w:rPr>
        <w:t xml:space="preserve">: </w:t>
      </w:r>
      <w:r w:rsidR="00E909D9" w:rsidRPr="00466073">
        <w:rPr>
          <w:rFonts w:asciiTheme="minorHAnsi" w:hAnsiTheme="minorHAnsi" w:cstheme="minorHAnsi"/>
          <w:b/>
          <w:lang w:val="el-GR"/>
        </w:rPr>
        <w:t>Γερμανία (2</w:t>
      </w:r>
      <w:r w:rsidR="00A7433B" w:rsidRPr="00466073">
        <w:rPr>
          <w:rFonts w:asciiTheme="minorHAnsi" w:hAnsiTheme="minorHAnsi" w:cstheme="minorHAnsi"/>
          <w:b/>
          <w:lang w:val="el-GR"/>
        </w:rPr>
        <w:t>5</w:t>
      </w:r>
      <w:r w:rsidR="00053B74" w:rsidRPr="00466073">
        <w:rPr>
          <w:rFonts w:asciiTheme="minorHAnsi" w:hAnsiTheme="minorHAnsi" w:cstheme="minorHAnsi"/>
          <w:b/>
          <w:lang w:val="el-GR"/>
        </w:rPr>
        <w:t>,</w:t>
      </w:r>
      <w:r w:rsidR="00A7433B" w:rsidRPr="00466073">
        <w:rPr>
          <w:rFonts w:asciiTheme="minorHAnsi" w:hAnsiTheme="minorHAnsi" w:cstheme="minorHAnsi"/>
          <w:b/>
          <w:lang w:val="hu-HU"/>
        </w:rPr>
        <w:t>13</w:t>
      </w:r>
      <w:r w:rsidR="00053B74" w:rsidRPr="00466073">
        <w:rPr>
          <w:rFonts w:asciiTheme="minorHAnsi" w:hAnsiTheme="minorHAnsi" w:cstheme="minorHAnsi"/>
          <w:b/>
          <w:lang w:val="el-GR"/>
        </w:rPr>
        <w:t>%)</w:t>
      </w:r>
      <w:r w:rsidR="00053B74" w:rsidRPr="00466073">
        <w:rPr>
          <w:rFonts w:asciiTheme="minorHAnsi" w:hAnsiTheme="minorHAnsi" w:cstheme="minorHAnsi"/>
          <w:lang w:val="el-GR"/>
        </w:rPr>
        <w:t xml:space="preserve">, </w:t>
      </w:r>
      <w:r w:rsidR="00A7433B" w:rsidRPr="00466073">
        <w:rPr>
          <w:rFonts w:asciiTheme="minorHAnsi" w:hAnsiTheme="minorHAnsi" w:cstheme="minorHAnsi"/>
          <w:lang w:val="el-GR"/>
        </w:rPr>
        <w:t xml:space="preserve">Ιταλία (5,66%), Ρουμανία (5,33%), </w:t>
      </w:r>
      <w:r w:rsidR="00E909D9" w:rsidRPr="00466073">
        <w:rPr>
          <w:rFonts w:asciiTheme="minorHAnsi" w:hAnsiTheme="minorHAnsi" w:cstheme="minorHAnsi"/>
          <w:lang w:val="el-GR"/>
        </w:rPr>
        <w:t>Σλοβακία (5,</w:t>
      </w:r>
      <w:r w:rsidR="00A7433B" w:rsidRPr="00466073">
        <w:rPr>
          <w:rFonts w:asciiTheme="minorHAnsi" w:hAnsiTheme="minorHAnsi" w:cstheme="minorHAnsi"/>
          <w:lang w:val="el-GR"/>
        </w:rPr>
        <w:t>09</w:t>
      </w:r>
      <w:r w:rsidR="00E909D9" w:rsidRPr="00466073">
        <w:rPr>
          <w:rFonts w:asciiTheme="minorHAnsi" w:hAnsiTheme="minorHAnsi" w:cstheme="minorHAnsi"/>
          <w:lang w:val="el-GR"/>
        </w:rPr>
        <w:t xml:space="preserve">%), </w:t>
      </w:r>
      <w:r w:rsidR="006C54DA" w:rsidRPr="00466073">
        <w:rPr>
          <w:rFonts w:asciiTheme="minorHAnsi" w:hAnsiTheme="minorHAnsi" w:cstheme="minorHAnsi"/>
          <w:lang w:val="el-GR"/>
        </w:rPr>
        <w:t>Αυστρία</w:t>
      </w:r>
      <w:r w:rsidR="00E909D9" w:rsidRPr="00466073">
        <w:rPr>
          <w:rFonts w:asciiTheme="minorHAnsi" w:hAnsiTheme="minorHAnsi" w:cstheme="minorHAnsi"/>
          <w:lang w:val="el-GR"/>
        </w:rPr>
        <w:t xml:space="preserve"> (4,</w:t>
      </w:r>
      <w:r w:rsidR="00A7433B" w:rsidRPr="00466073">
        <w:rPr>
          <w:rFonts w:asciiTheme="minorHAnsi" w:hAnsiTheme="minorHAnsi" w:cstheme="minorHAnsi"/>
          <w:lang w:val="hu-HU"/>
        </w:rPr>
        <w:t>5</w:t>
      </w:r>
      <w:r w:rsidR="00A7433B" w:rsidRPr="00466073">
        <w:rPr>
          <w:rFonts w:asciiTheme="minorHAnsi" w:hAnsiTheme="minorHAnsi" w:cstheme="minorHAnsi"/>
          <w:lang w:val="el-GR"/>
        </w:rPr>
        <w:t>0</w:t>
      </w:r>
      <w:r w:rsidR="00942409" w:rsidRPr="00466073">
        <w:rPr>
          <w:rFonts w:asciiTheme="minorHAnsi" w:hAnsiTheme="minorHAnsi" w:cstheme="minorHAnsi"/>
          <w:lang w:val="el-GR"/>
        </w:rPr>
        <w:t>%)</w:t>
      </w:r>
      <w:r w:rsidR="00053B74" w:rsidRPr="00466073">
        <w:rPr>
          <w:rFonts w:asciiTheme="minorHAnsi" w:hAnsiTheme="minorHAnsi" w:cstheme="minorHAnsi"/>
          <w:lang w:val="el-GR"/>
        </w:rPr>
        <w:t xml:space="preserve">, </w:t>
      </w:r>
      <w:r w:rsidR="00E909D9" w:rsidRPr="00466073">
        <w:rPr>
          <w:rFonts w:asciiTheme="minorHAnsi" w:hAnsiTheme="minorHAnsi" w:cstheme="minorHAnsi"/>
          <w:lang w:val="el-GR"/>
        </w:rPr>
        <w:t>Πολωνία</w:t>
      </w:r>
      <w:r w:rsidR="00E909D9" w:rsidRPr="00466073">
        <w:rPr>
          <w:rFonts w:asciiTheme="minorHAnsi" w:hAnsiTheme="minorHAnsi" w:cstheme="minorHAnsi"/>
          <w:lang w:val="hu-HU"/>
        </w:rPr>
        <w:t>,</w:t>
      </w:r>
      <w:r w:rsidR="00E909D9" w:rsidRPr="00466073">
        <w:rPr>
          <w:rFonts w:asciiTheme="minorHAnsi" w:hAnsiTheme="minorHAnsi" w:cstheme="minorHAnsi"/>
          <w:lang w:val="el-GR"/>
        </w:rPr>
        <w:t xml:space="preserve"> </w:t>
      </w:r>
      <w:r w:rsidR="00942409" w:rsidRPr="00466073">
        <w:rPr>
          <w:rFonts w:asciiTheme="minorHAnsi" w:hAnsiTheme="minorHAnsi" w:cstheme="minorHAnsi"/>
          <w:lang w:val="el-GR"/>
        </w:rPr>
        <w:t xml:space="preserve">Γαλλία, </w:t>
      </w:r>
      <w:r w:rsidR="00B47914" w:rsidRPr="00466073">
        <w:rPr>
          <w:rFonts w:asciiTheme="minorHAnsi" w:hAnsiTheme="minorHAnsi" w:cstheme="minorHAnsi"/>
          <w:lang w:val="el-GR"/>
        </w:rPr>
        <w:t xml:space="preserve">Τσεχία, </w:t>
      </w:r>
      <w:r w:rsidR="00B8560D" w:rsidRPr="00466073">
        <w:rPr>
          <w:rFonts w:asciiTheme="minorHAnsi" w:hAnsiTheme="minorHAnsi" w:cstheme="minorHAnsi"/>
          <w:lang w:val="el-GR"/>
        </w:rPr>
        <w:t>Ολλανδία</w:t>
      </w:r>
      <w:r w:rsidR="00053B74" w:rsidRPr="00466073">
        <w:rPr>
          <w:rFonts w:asciiTheme="minorHAnsi" w:hAnsiTheme="minorHAnsi" w:cstheme="minorHAnsi"/>
          <w:lang w:val="el-GR"/>
        </w:rPr>
        <w:t>.</w:t>
      </w:r>
      <w:r w:rsidR="006F6155" w:rsidRPr="00466073">
        <w:rPr>
          <w:rFonts w:asciiTheme="minorHAnsi" w:hAnsiTheme="minorHAnsi" w:cstheme="minorHAnsi"/>
          <w:lang w:val="el-GR"/>
        </w:rPr>
        <w:t xml:space="preserve"> </w:t>
      </w:r>
      <w:r w:rsidR="00E909D9" w:rsidRPr="00466073">
        <w:rPr>
          <w:rFonts w:asciiTheme="minorHAnsi" w:hAnsiTheme="minorHAnsi" w:cstheme="minorHAnsi"/>
          <w:lang w:val="hu-HU"/>
        </w:rPr>
        <w:t xml:space="preserve"> </w:t>
      </w:r>
      <w:r w:rsidR="00005057" w:rsidRPr="00466073">
        <w:rPr>
          <w:rFonts w:asciiTheme="minorHAnsi" w:hAnsiTheme="minorHAnsi" w:cstheme="minorHAnsi"/>
          <w:lang w:val="el-GR"/>
        </w:rPr>
        <w:t xml:space="preserve">Από τις χώρες </w:t>
      </w:r>
      <w:r w:rsidR="009243A0" w:rsidRPr="00466073">
        <w:rPr>
          <w:rFonts w:asciiTheme="minorHAnsi" w:hAnsiTheme="minorHAnsi" w:cstheme="minorHAnsi"/>
          <w:lang w:val="el-GR"/>
        </w:rPr>
        <w:t xml:space="preserve">εκτός Ε.Ε. </w:t>
      </w:r>
      <w:r w:rsidR="00005057" w:rsidRPr="00466073">
        <w:rPr>
          <w:rFonts w:asciiTheme="minorHAnsi" w:hAnsiTheme="minorHAnsi" w:cstheme="minorHAnsi"/>
          <w:lang w:val="el-GR"/>
        </w:rPr>
        <w:t xml:space="preserve">τα περισσότερα </w:t>
      </w:r>
      <w:r w:rsidR="009243A0" w:rsidRPr="00466073">
        <w:rPr>
          <w:rFonts w:asciiTheme="minorHAnsi" w:hAnsiTheme="minorHAnsi" w:cstheme="minorHAnsi"/>
          <w:lang w:val="el-GR"/>
        </w:rPr>
        <w:t>ουγγρικ</w:t>
      </w:r>
      <w:r w:rsidR="00005057" w:rsidRPr="00466073">
        <w:rPr>
          <w:rFonts w:asciiTheme="minorHAnsi" w:hAnsiTheme="minorHAnsi" w:cstheme="minorHAnsi"/>
          <w:lang w:val="el-GR"/>
        </w:rPr>
        <w:t xml:space="preserve">ά </w:t>
      </w:r>
      <w:r w:rsidR="009243A0" w:rsidRPr="00466073">
        <w:rPr>
          <w:rFonts w:asciiTheme="minorHAnsi" w:hAnsiTheme="minorHAnsi" w:cstheme="minorHAnsi"/>
          <w:lang w:val="el-GR"/>
        </w:rPr>
        <w:t>προϊόντ</w:t>
      </w:r>
      <w:r w:rsidR="00005057" w:rsidRPr="00466073">
        <w:rPr>
          <w:rFonts w:asciiTheme="minorHAnsi" w:hAnsiTheme="minorHAnsi" w:cstheme="minorHAnsi"/>
          <w:lang w:val="el-GR"/>
        </w:rPr>
        <w:t xml:space="preserve">α απορροφούν </w:t>
      </w:r>
      <w:r w:rsidR="00A7433B" w:rsidRPr="00466073">
        <w:rPr>
          <w:rFonts w:asciiTheme="minorHAnsi" w:hAnsiTheme="minorHAnsi" w:cstheme="minorHAnsi"/>
          <w:lang w:val="el-GR"/>
        </w:rPr>
        <w:t>οι ΗΠΑ (3</w:t>
      </w:r>
      <w:r w:rsidR="00A7433B" w:rsidRPr="00466073">
        <w:rPr>
          <w:rFonts w:asciiTheme="minorHAnsi" w:hAnsiTheme="minorHAnsi" w:cstheme="minorHAnsi"/>
          <w:lang w:val="hu-HU"/>
        </w:rPr>
        <w:t>,</w:t>
      </w:r>
      <w:r w:rsidR="00A7433B" w:rsidRPr="00466073">
        <w:rPr>
          <w:rFonts w:asciiTheme="minorHAnsi" w:hAnsiTheme="minorHAnsi" w:cstheme="minorHAnsi"/>
          <w:lang w:val="el-GR"/>
        </w:rPr>
        <w:t xml:space="preserve">52%), </w:t>
      </w:r>
      <w:r w:rsidR="00E909D9" w:rsidRPr="00466073">
        <w:rPr>
          <w:rFonts w:asciiTheme="minorHAnsi" w:hAnsiTheme="minorHAnsi" w:cstheme="minorHAnsi"/>
          <w:lang w:val="el-GR"/>
        </w:rPr>
        <w:t>το Ην. Βασίλειο (3,</w:t>
      </w:r>
      <w:r w:rsidR="00A7433B" w:rsidRPr="00466073">
        <w:rPr>
          <w:rFonts w:asciiTheme="minorHAnsi" w:hAnsiTheme="minorHAnsi" w:cstheme="minorHAnsi"/>
          <w:lang w:val="hu-HU"/>
        </w:rPr>
        <w:t>1</w:t>
      </w:r>
      <w:r w:rsidR="00A7433B" w:rsidRPr="00466073">
        <w:rPr>
          <w:rFonts w:asciiTheme="minorHAnsi" w:hAnsiTheme="minorHAnsi" w:cstheme="minorHAnsi"/>
          <w:lang w:val="el-GR"/>
        </w:rPr>
        <w:t>8</w:t>
      </w:r>
      <w:r w:rsidR="00D30DE0" w:rsidRPr="00466073">
        <w:rPr>
          <w:rFonts w:asciiTheme="minorHAnsi" w:hAnsiTheme="minorHAnsi" w:cstheme="minorHAnsi"/>
          <w:lang w:val="el-GR"/>
        </w:rPr>
        <w:t xml:space="preserve">%), </w:t>
      </w:r>
      <w:r w:rsidR="00005057" w:rsidRPr="00466073">
        <w:rPr>
          <w:rFonts w:asciiTheme="minorHAnsi" w:hAnsiTheme="minorHAnsi" w:cstheme="minorHAnsi"/>
          <w:lang w:val="el-GR"/>
        </w:rPr>
        <w:t>και α</w:t>
      </w:r>
      <w:r w:rsidR="006A6FAC" w:rsidRPr="00466073">
        <w:rPr>
          <w:rFonts w:asciiTheme="minorHAnsi" w:hAnsiTheme="minorHAnsi" w:cstheme="minorHAnsi"/>
          <w:lang w:val="el-GR"/>
        </w:rPr>
        <w:t>κολουθ</w:t>
      </w:r>
      <w:r w:rsidR="00942409" w:rsidRPr="00466073">
        <w:rPr>
          <w:rFonts w:asciiTheme="minorHAnsi" w:hAnsiTheme="minorHAnsi" w:cstheme="minorHAnsi"/>
          <w:lang w:val="el-GR"/>
        </w:rPr>
        <w:t xml:space="preserve">ούν </w:t>
      </w:r>
      <w:r w:rsidR="00A7433B" w:rsidRPr="00466073">
        <w:rPr>
          <w:rFonts w:asciiTheme="minorHAnsi" w:hAnsiTheme="minorHAnsi" w:cstheme="minorHAnsi"/>
          <w:lang w:val="el-GR"/>
        </w:rPr>
        <w:t>Σερβία</w:t>
      </w:r>
      <w:r w:rsidR="00A7433B" w:rsidRPr="00466073">
        <w:rPr>
          <w:rFonts w:asciiTheme="minorHAnsi" w:hAnsiTheme="minorHAnsi" w:cstheme="minorHAnsi"/>
          <w:lang w:val="hu-HU"/>
        </w:rPr>
        <w:t xml:space="preserve">, </w:t>
      </w:r>
      <w:r w:rsidR="00942409" w:rsidRPr="00466073">
        <w:rPr>
          <w:rFonts w:asciiTheme="minorHAnsi" w:hAnsiTheme="minorHAnsi" w:cstheme="minorHAnsi"/>
          <w:lang w:val="el-GR"/>
        </w:rPr>
        <w:t xml:space="preserve">Ουκρανία, </w:t>
      </w:r>
      <w:r w:rsidR="00E909D9" w:rsidRPr="00466073">
        <w:rPr>
          <w:rFonts w:asciiTheme="minorHAnsi" w:hAnsiTheme="minorHAnsi" w:cstheme="minorHAnsi"/>
          <w:lang w:val="el-GR"/>
        </w:rPr>
        <w:t>Κίνα, Τουρκία</w:t>
      </w:r>
      <w:r w:rsidR="00A7433B" w:rsidRPr="00466073">
        <w:rPr>
          <w:rFonts w:asciiTheme="minorHAnsi" w:hAnsiTheme="minorHAnsi" w:cstheme="minorHAnsi"/>
          <w:lang w:val="el-GR"/>
        </w:rPr>
        <w:t xml:space="preserve">, Ελβετία </w:t>
      </w:r>
      <w:r w:rsidR="00D30DE0" w:rsidRPr="00466073">
        <w:rPr>
          <w:rFonts w:asciiTheme="minorHAnsi" w:hAnsiTheme="minorHAnsi" w:cstheme="minorHAnsi"/>
          <w:lang w:val="el-GR"/>
        </w:rPr>
        <w:t xml:space="preserve">και </w:t>
      </w:r>
      <w:r w:rsidR="00942409" w:rsidRPr="00466073">
        <w:rPr>
          <w:rFonts w:asciiTheme="minorHAnsi" w:hAnsiTheme="minorHAnsi" w:cstheme="minorHAnsi"/>
          <w:lang w:val="el-GR"/>
        </w:rPr>
        <w:t>Ρωσία</w:t>
      </w:r>
      <w:r w:rsidR="006A6FAC" w:rsidRPr="00466073">
        <w:rPr>
          <w:rFonts w:asciiTheme="minorHAnsi" w:hAnsiTheme="minorHAnsi" w:cstheme="minorHAnsi"/>
          <w:lang w:val="el-GR"/>
        </w:rPr>
        <w:t>.</w:t>
      </w:r>
      <w:r w:rsidR="006F6155" w:rsidRPr="00466073">
        <w:rPr>
          <w:rFonts w:asciiTheme="minorHAnsi" w:hAnsiTheme="minorHAnsi" w:cstheme="minorHAnsi"/>
          <w:lang w:val="el-GR"/>
        </w:rPr>
        <w:t xml:space="preserve"> </w:t>
      </w:r>
    </w:p>
    <w:p w:rsidR="006A6FAC" w:rsidRPr="00466073" w:rsidRDefault="006A6FAC" w:rsidP="006A6FAC">
      <w:pPr>
        <w:jc w:val="both"/>
        <w:rPr>
          <w:rFonts w:asciiTheme="minorHAnsi" w:hAnsiTheme="minorHAnsi" w:cstheme="minorHAnsi"/>
          <w:lang w:val="el-GR"/>
        </w:rPr>
      </w:pPr>
      <w:r w:rsidRPr="00466073">
        <w:rPr>
          <w:rFonts w:asciiTheme="minorHAnsi" w:hAnsiTheme="minorHAnsi" w:cstheme="minorHAnsi"/>
          <w:lang w:val="el-GR"/>
        </w:rPr>
        <w:t xml:space="preserve">Η </w:t>
      </w:r>
      <w:r w:rsidRPr="00466073">
        <w:rPr>
          <w:rFonts w:asciiTheme="minorHAnsi" w:hAnsiTheme="minorHAnsi" w:cstheme="minorHAnsi"/>
          <w:b/>
          <w:lang w:val="el-GR"/>
        </w:rPr>
        <w:t>Ελλάδα</w:t>
      </w:r>
      <w:r w:rsidR="00E909D9" w:rsidRPr="00466073">
        <w:rPr>
          <w:rFonts w:asciiTheme="minorHAnsi" w:hAnsiTheme="minorHAnsi" w:cstheme="minorHAnsi"/>
          <w:lang w:val="el-GR"/>
        </w:rPr>
        <w:t>, το 202</w:t>
      </w:r>
      <w:r w:rsidR="00A7433B" w:rsidRPr="00466073">
        <w:rPr>
          <w:rFonts w:asciiTheme="minorHAnsi" w:hAnsiTheme="minorHAnsi" w:cstheme="minorHAnsi"/>
          <w:lang w:val="el-GR"/>
        </w:rPr>
        <w:t>2</w:t>
      </w:r>
      <w:r w:rsidRPr="00466073">
        <w:rPr>
          <w:rFonts w:asciiTheme="minorHAnsi" w:hAnsiTheme="minorHAnsi" w:cstheme="minorHAnsi"/>
          <w:lang w:val="el-GR"/>
        </w:rPr>
        <w:t xml:space="preserve"> εισήγαγε από την Ουγγαρία προϊόντα αξίας €</w:t>
      </w:r>
      <w:r w:rsidR="00A7433B" w:rsidRPr="00466073">
        <w:rPr>
          <w:rFonts w:asciiTheme="minorHAnsi" w:hAnsiTheme="minorHAnsi" w:cstheme="minorHAnsi"/>
          <w:lang w:val="el-GR"/>
        </w:rPr>
        <w:t>724</w:t>
      </w:r>
      <w:r w:rsidR="00E909D9" w:rsidRPr="00466073">
        <w:rPr>
          <w:rFonts w:asciiTheme="minorHAnsi" w:hAnsiTheme="minorHAnsi" w:cstheme="minorHAnsi"/>
          <w:lang w:val="el-GR"/>
        </w:rPr>
        <w:t>,</w:t>
      </w:r>
      <w:r w:rsidR="00A7433B" w:rsidRPr="00466073">
        <w:rPr>
          <w:rFonts w:asciiTheme="minorHAnsi" w:hAnsiTheme="minorHAnsi" w:cstheme="minorHAnsi"/>
          <w:lang w:val="el-GR"/>
        </w:rPr>
        <w:t>63</w:t>
      </w:r>
      <w:r w:rsidRPr="00466073">
        <w:rPr>
          <w:rFonts w:asciiTheme="minorHAnsi" w:hAnsiTheme="minorHAnsi" w:cstheme="minorHAnsi"/>
          <w:lang w:val="el-GR"/>
        </w:rPr>
        <w:t xml:space="preserve"> εκ.</w:t>
      </w:r>
      <w:r w:rsidR="00D30DE0" w:rsidRPr="00466073">
        <w:rPr>
          <w:rFonts w:asciiTheme="minorHAnsi" w:hAnsiTheme="minorHAnsi" w:cstheme="minorHAnsi"/>
          <w:lang w:val="el-GR"/>
        </w:rPr>
        <w:t xml:space="preserve">, καταλαμβάνοντας την 28η θέση </w:t>
      </w:r>
      <w:r w:rsidR="00942409" w:rsidRPr="00466073">
        <w:rPr>
          <w:rFonts w:asciiTheme="minorHAnsi" w:hAnsiTheme="minorHAnsi" w:cstheme="minorHAnsi"/>
          <w:lang w:val="el-GR"/>
        </w:rPr>
        <w:t xml:space="preserve">στην κατάταξη των </w:t>
      </w:r>
      <w:r w:rsidR="00B47914" w:rsidRPr="00466073">
        <w:rPr>
          <w:rFonts w:asciiTheme="minorHAnsi" w:hAnsiTheme="minorHAnsi" w:cstheme="minorHAnsi"/>
          <w:lang w:val="el-GR"/>
        </w:rPr>
        <w:t>σημαντικότερων</w:t>
      </w:r>
      <w:r w:rsidR="001D13EA" w:rsidRPr="00466073">
        <w:rPr>
          <w:rFonts w:asciiTheme="minorHAnsi" w:hAnsiTheme="minorHAnsi" w:cstheme="minorHAnsi"/>
          <w:lang w:val="el-GR"/>
        </w:rPr>
        <w:t xml:space="preserve"> αγορών </w:t>
      </w:r>
      <w:r w:rsidRPr="00466073">
        <w:rPr>
          <w:rFonts w:asciiTheme="minorHAnsi" w:hAnsiTheme="minorHAnsi" w:cstheme="minorHAnsi"/>
          <w:lang w:val="el-GR"/>
        </w:rPr>
        <w:t>για την Ουγγαρία.</w:t>
      </w:r>
      <w:r w:rsidR="001D13EA" w:rsidRPr="00466073">
        <w:rPr>
          <w:rFonts w:asciiTheme="minorHAnsi" w:hAnsiTheme="minorHAnsi" w:cstheme="minorHAnsi"/>
          <w:lang w:val="el-GR"/>
        </w:rPr>
        <w:t xml:space="preserve"> Η Ελλάδα απορρόφησε το 0,</w:t>
      </w:r>
      <w:r w:rsidR="0099655F" w:rsidRPr="00466073">
        <w:rPr>
          <w:rFonts w:asciiTheme="minorHAnsi" w:hAnsiTheme="minorHAnsi" w:cstheme="minorHAnsi"/>
          <w:lang w:val="el-GR"/>
        </w:rPr>
        <w:t>51</w:t>
      </w:r>
      <w:r w:rsidR="001D13EA" w:rsidRPr="00466073">
        <w:rPr>
          <w:rFonts w:asciiTheme="minorHAnsi" w:hAnsiTheme="minorHAnsi" w:cstheme="minorHAnsi"/>
          <w:lang w:val="el-GR"/>
        </w:rPr>
        <w:t>%</w:t>
      </w:r>
      <w:r w:rsidR="00393B53" w:rsidRPr="00466073">
        <w:rPr>
          <w:rFonts w:asciiTheme="minorHAnsi" w:hAnsiTheme="minorHAnsi" w:cstheme="minorHAnsi"/>
          <w:lang w:val="el-GR"/>
        </w:rPr>
        <w:t xml:space="preserve"> </w:t>
      </w:r>
      <w:r w:rsidR="001D13EA" w:rsidRPr="00466073">
        <w:rPr>
          <w:rFonts w:asciiTheme="minorHAnsi" w:hAnsiTheme="minorHAnsi" w:cstheme="minorHAnsi"/>
          <w:lang w:val="el-GR"/>
        </w:rPr>
        <w:t>της αξίας των συνολικών εξαγωγών της Ουγγαρίας</w:t>
      </w:r>
      <w:r w:rsidR="00E909D9" w:rsidRPr="00466073">
        <w:rPr>
          <w:rFonts w:asciiTheme="minorHAnsi" w:hAnsiTheme="minorHAnsi" w:cstheme="minorHAnsi"/>
          <w:lang w:val="el-GR"/>
        </w:rPr>
        <w:t xml:space="preserve"> (0,4</w:t>
      </w:r>
      <w:r w:rsidR="0099655F" w:rsidRPr="00466073">
        <w:rPr>
          <w:rFonts w:asciiTheme="minorHAnsi" w:hAnsiTheme="minorHAnsi" w:cstheme="minorHAnsi"/>
          <w:lang w:val="el-GR"/>
        </w:rPr>
        <w:t>7</w:t>
      </w:r>
      <w:r w:rsidR="00E909D9" w:rsidRPr="00466073">
        <w:rPr>
          <w:rFonts w:asciiTheme="minorHAnsi" w:hAnsiTheme="minorHAnsi" w:cstheme="minorHAnsi"/>
          <w:lang w:val="el-GR"/>
        </w:rPr>
        <w:t>% το 20</w:t>
      </w:r>
      <w:r w:rsidR="0099655F" w:rsidRPr="00466073">
        <w:rPr>
          <w:rFonts w:asciiTheme="minorHAnsi" w:hAnsiTheme="minorHAnsi" w:cstheme="minorHAnsi"/>
          <w:lang w:val="hu-HU"/>
        </w:rPr>
        <w:t>2</w:t>
      </w:r>
      <w:r w:rsidR="0099655F" w:rsidRPr="00466073">
        <w:rPr>
          <w:rFonts w:asciiTheme="minorHAnsi" w:hAnsiTheme="minorHAnsi" w:cstheme="minorHAnsi"/>
          <w:lang w:val="el-GR"/>
        </w:rPr>
        <w:t>1</w:t>
      </w:r>
      <w:r w:rsidR="00942409" w:rsidRPr="00466073">
        <w:rPr>
          <w:rFonts w:asciiTheme="minorHAnsi" w:hAnsiTheme="minorHAnsi" w:cstheme="minorHAnsi"/>
          <w:lang w:val="el-GR"/>
        </w:rPr>
        <w:t>)</w:t>
      </w:r>
      <w:r w:rsidR="001D13EA" w:rsidRPr="00466073">
        <w:rPr>
          <w:rFonts w:asciiTheme="minorHAnsi" w:hAnsiTheme="minorHAnsi" w:cstheme="minorHAnsi"/>
          <w:lang w:val="el-GR"/>
        </w:rPr>
        <w:t xml:space="preserve">.  </w:t>
      </w:r>
    </w:p>
    <w:p w:rsidR="00E60292" w:rsidRPr="00466073" w:rsidRDefault="00E60292" w:rsidP="006D3D64">
      <w:pPr>
        <w:jc w:val="both"/>
        <w:rPr>
          <w:rFonts w:asciiTheme="minorHAnsi" w:hAnsiTheme="minorHAnsi" w:cstheme="minorHAnsi"/>
          <w:lang w:val="el-GR"/>
        </w:rPr>
      </w:pPr>
    </w:p>
    <w:p w:rsidR="006D3D64" w:rsidRPr="00466073" w:rsidRDefault="006D3D64" w:rsidP="006D3D64">
      <w:pPr>
        <w:jc w:val="both"/>
        <w:rPr>
          <w:rFonts w:asciiTheme="minorHAnsi" w:hAnsiTheme="minorHAnsi" w:cstheme="minorHAnsi"/>
          <w:i/>
          <w:lang w:val="el-GR"/>
        </w:rPr>
      </w:pPr>
      <w:r w:rsidRPr="00466073">
        <w:rPr>
          <w:rFonts w:asciiTheme="minorHAnsi" w:hAnsiTheme="minorHAnsi" w:cstheme="minorHAnsi"/>
          <w:lang w:val="el-GR"/>
        </w:rPr>
        <w:t xml:space="preserve">Τα σημαντικότερα </w:t>
      </w:r>
      <w:r w:rsidRPr="00466073">
        <w:rPr>
          <w:rFonts w:asciiTheme="minorHAnsi" w:hAnsiTheme="minorHAnsi" w:cstheme="minorHAnsi"/>
          <w:b/>
          <w:lang w:val="el-GR"/>
        </w:rPr>
        <w:t>εισαγόμενα</w:t>
      </w:r>
      <w:r w:rsidRPr="00466073">
        <w:rPr>
          <w:rFonts w:asciiTheme="minorHAnsi" w:hAnsiTheme="minorHAnsi" w:cstheme="minorHAnsi"/>
          <w:lang w:val="el-GR"/>
        </w:rPr>
        <w:t xml:space="preserve"> στην Ουγγαρία προϊόντα για το 2022 ήταν: Μέρη και εξαρτήματα οχημάτων, τηλεφωνικές συσκευές, αυτοκίνητα, ηλεκτρονικά κυκλώματα και φάρμακα. </w:t>
      </w:r>
      <w:r w:rsidRPr="00466073">
        <w:rPr>
          <w:rFonts w:asciiTheme="minorHAnsi" w:hAnsiTheme="minorHAnsi" w:cstheme="minorHAnsi"/>
          <w:i/>
          <w:color w:val="000000" w:themeColor="text1"/>
          <w:lang w:val="el-GR"/>
        </w:rPr>
        <w:t xml:space="preserve">Πέραν των προϊόντων, στις εισαγωγές συμπεριλαμβάνονται και ο κωδικός ΣΟ 2711:Αέρια πετρελαίου και άλλοι αέριοι υδρογονάνθρακες με αξία εισαγωγής  € </w:t>
      </w:r>
      <w:r w:rsidRPr="00466073">
        <w:rPr>
          <w:rFonts w:asciiTheme="minorHAnsi" w:hAnsiTheme="minorHAnsi" w:cstheme="minorHAnsi"/>
          <w:i/>
          <w:color w:val="000000" w:themeColor="text1"/>
          <w:shd w:val="clear" w:color="auto" w:fill="FFFFFF"/>
          <w:lang w:val="el-GR"/>
        </w:rPr>
        <w:t xml:space="preserve">9.479.252.819, ο </w:t>
      </w:r>
      <w:r w:rsidRPr="00466073">
        <w:rPr>
          <w:rFonts w:asciiTheme="minorHAnsi" w:hAnsiTheme="minorHAnsi" w:cstheme="minorHAnsi"/>
          <w:i/>
          <w:color w:val="000000" w:themeColor="text1"/>
          <w:lang w:val="el-GR"/>
        </w:rPr>
        <w:t xml:space="preserve"> κωδικός ΣΟ 2716:Ηλεκτρική ενέργεια με €</w:t>
      </w:r>
      <w:r w:rsidRPr="00466073">
        <w:rPr>
          <w:rFonts w:asciiTheme="minorHAnsi" w:hAnsiTheme="minorHAnsi" w:cstheme="minorHAnsi"/>
          <w:i/>
          <w:color w:val="000000" w:themeColor="text1"/>
          <w:shd w:val="clear" w:color="auto" w:fill="FFFFFF"/>
          <w:lang w:val="el-GR"/>
        </w:rPr>
        <w:t xml:space="preserve">7.234.774.868, ο κωδικός ΣΟ 2709:Λάδια ακατέργαστα από πετρέλαιο με </w:t>
      </w:r>
      <w:r w:rsidRPr="00466073">
        <w:rPr>
          <w:rFonts w:asciiTheme="minorHAnsi" w:hAnsiTheme="minorHAnsi" w:cstheme="minorHAnsi"/>
          <w:i/>
          <w:color w:val="000000" w:themeColor="text1"/>
          <w:lang w:val="el-GR"/>
        </w:rPr>
        <w:t xml:space="preserve">€2.967.712.511, </w:t>
      </w:r>
      <w:r w:rsidRPr="00466073">
        <w:rPr>
          <w:rFonts w:asciiTheme="minorHAnsi" w:hAnsiTheme="minorHAnsi" w:cstheme="minorHAnsi"/>
          <w:i/>
          <w:color w:val="000000" w:themeColor="text1"/>
          <w:shd w:val="clear" w:color="auto" w:fill="FFFFFF"/>
          <w:lang w:val="el-GR"/>
        </w:rPr>
        <w:t xml:space="preserve">καθώς και ο κωδικός ΣΟ 2710:Λάδια από πετρέλαιο που προορίζονται για καθορισμένη κατεργασία, με εισαγωγές  </w:t>
      </w:r>
      <w:r w:rsidRPr="00466073">
        <w:rPr>
          <w:rFonts w:asciiTheme="minorHAnsi" w:hAnsiTheme="minorHAnsi" w:cstheme="minorHAnsi"/>
          <w:i/>
          <w:color w:val="000000" w:themeColor="text1"/>
          <w:lang w:val="el-GR"/>
        </w:rPr>
        <w:t>€</w:t>
      </w:r>
      <w:r w:rsidRPr="00466073">
        <w:rPr>
          <w:rFonts w:asciiTheme="minorHAnsi" w:hAnsiTheme="minorHAnsi" w:cstheme="minorHAnsi"/>
          <w:i/>
          <w:color w:val="000000" w:themeColor="text1"/>
          <w:shd w:val="clear" w:color="auto" w:fill="FFFFFF"/>
          <w:lang w:val="el-GR"/>
        </w:rPr>
        <w:t>2.447.268.048.</w:t>
      </w:r>
    </w:p>
    <w:p w:rsidR="006E5A54" w:rsidRPr="00466073" w:rsidRDefault="006E5A54" w:rsidP="009228D2">
      <w:pPr>
        <w:jc w:val="both"/>
        <w:rPr>
          <w:rFonts w:asciiTheme="minorHAnsi" w:hAnsiTheme="minorHAnsi" w:cstheme="minorHAnsi"/>
          <w:lang w:val="el-GR"/>
        </w:rPr>
      </w:pPr>
    </w:p>
    <w:p w:rsidR="00462E72" w:rsidRDefault="0043441E" w:rsidP="009228D2">
      <w:pPr>
        <w:jc w:val="both"/>
        <w:rPr>
          <w:rFonts w:asciiTheme="minorHAnsi" w:hAnsiTheme="minorHAnsi" w:cstheme="minorHAnsi"/>
          <w:lang w:val="el-GR"/>
        </w:rPr>
      </w:pPr>
      <w:r w:rsidRPr="00466073">
        <w:rPr>
          <w:rFonts w:asciiTheme="minorHAnsi" w:hAnsiTheme="minorHAnsi" w:cstheme="minorHAnsi"/>
          <w:lang w:val="el-GR"/>
        </w:rPr>
        <w:t>Στον παρακάτω πίνακα εμφανίζονται τα δέκα πρώτα σε αξία εισαγόμενα στην Ουγγαρία προϊόντα (4-ψήφιος κωδικός Σ.Ο.) για το 20</w:t>
      </w:r>
      <w:r w:rsidR="00E909D9" w:rsidRPr="00466073">
        <w:rPr>
          <w:rFonts w:asciiTheme="minorHAnsi" w:hAnsiTheme="minorHAnsi" w:cstheme="minorHAnsi"/>
          <w:lang w:val="el-GR"/>
        </w:rPr>
        <w:t>2</w:t>
      </w:r>
      <w:r w:rsidR="006E5A54" w:rsidRPr="00466073">
        <w:rPr>
          <w:rFonts w:asciiTheme="minorHAnsi" w:hAnsiTheme="minorHAnsi" w:cstheme="minorHAnsi"/>
          <w:lang w:val="el-GR"/>
        </w:rPr>
        <w:t>2</w:t>
      </w:r>
    </w:p>
    <w:p w:rsidR="002E7491" w:rsidRDefault="002E7491" w:rsidP="009228D2">
      <w:pPr>
        <w:jc w:val="both"/>
        <w:rPr>
          <w:rFonts w:asciiTheme="minorHAnsi" w:hAnsiTheme="minorHAnsi" w:cstheme="minorHAnsi"/>
          <w:lang w:val="el-GR"/>
        </w:rPr>
      </w:pPr>
    </w:p>
    <w:p w:rsidR="002E7491" w:rsidRDefault="002E7491" w:rsidP="009228D2">
      <w:pPr>
        <w:jc w:val="both"/>
        <w:rPr>
          <w:rFonts w:asciiTheme="minorHAnsi" w:hAnsiTheme="minorHAnsi" w:cstheme="minorHAnsi"/>
          <w:lang w:val="el-GR"/>
        </w:rPr>
      </w:pPr>
    </w:p>
    <w:p w:rsidR="002E7491" w:rsidRPr="00466073" w:rsidRDefault="002E7491" w:rsidP="009228D2">
      <w:pPr>
        <w:jc w:val="both"/>
        <w:rPr>
          <w:rFonts w:asciiTheme="minorHAnsi" w:hAnsiTheme="minorHAnsi" w:cstheme="minorHAnsi"/>
          <w:lang w:val="hu-HU"/>
        </w:rPr>
      </w:pPr>
    </w:p>
    <w:p w:rsidR="00EF6B8A" w:rsidRPr="00466073" w:rsidRDefault="00EF6B8A" w:rsidP="009228D2">
      <w:pPr>
        <w:jc w:val="both"/>
        <w:rPr>
          <w:rFonts w:asciiTheme="minorHAnsi" w:hAnsiTheme="minorHAnsi" w:cstheme="minorHAnsi"/>
          <w:lang w:val="el-GR"/>
        </w:rPr>
      </w:pPr>
    </w:p>
    <w:p w:rsidR="009228D2" w:rsidRPr="00466073" w:rsidRDefault="009228D2" w:rsidP="009228D2">
      <w:pPr>
        <w:widowControl w:val="0"/>
        <w:autoSpaceDE w:val="0"/>
        <w:autoSpaceDN w:val="0"/>
        <w:adjustRightInd w:val="0"/>
        <w:spacing w:line="292" w:lineRule="exact"/>
        <w:jc w:val="center"/>
        <w:rPr>
          <w:rFonts w:asciiTheme="minorHAnsi" w:hAnsiTheme="minorHAnsi" w:cstheme="minorHAnsi"/>
          <w:b/>
          <w:lang w:val="hu-HU"/>
        </w:rPr>
      </w:pPr>
      <w:r w:rsidRPr="00466073">
        <w:rPr>
          <w:rFonts w:asciiTheme="minorHAnsi" w:hAnsiTheme="minorHAnsi" w:cstheme="minorHAnsi"/>
          <w:b/>
          <w:lang w:val="el-GR"/>
        </w:rPr>
        <w:lastRenderedPageBreak/>
        <w:t xml:space="preserve">Εισαγωγές προϊόντων στην Ουγγαρία </w:t>
      </w:r>
      <w:r w:rsidR="0031008D" w:rsidRPr="00466073">
        <w:rPr>
          <w:rFonts w:asciiTheme="minorHAnsi" w:hAnsiTheme="minorHAnsi" w:cstheme="minorHAnsi"/>
          <w:b/>
          <w:lang w:val="el-GR"/>
        </w:rPr>
        <w:t>–</w:t>
      </w:r>
      <w:r w:rsidR="00E909D9" w:rsidRPr="00466073">
        <w:rPr>
          <w:rFonts w:asciiTheme="minorHAnsi" w:hAnsiTheme="minorHAnsi" w:cstheme="minorHAnsi"/>
          <w:b/>
          <w:lang w:val="el-GR"/>
        </w:rPr>
        <w:t xml:space="preserve"> 202</w:t>
      </w:r>
      <w:r w:rsidR="00C1736A" w:rsidRPr="00466073">
        <w:rPr>
          <w:rFonts w:asciiTheme="minorHAnsi" w:hAnsiTheme="minorHAnsi" w:cstheme="minorHAnsi"/>
          <w:b/>
          <w:lang w:val="hu-HU"/>
        </w:rPr>
        <w:t>2</w:t>
      </w:r>
    </w:p>
    <w:tbl>
      <w:tblPr>
        <w:tblW w:w="9900" w:type="dxa"/>
        <w:tblInd w:w="-72" w:type="dxa"/>
        <w:tblLayout w:type="fixed"/>
        <w:tblCellMar>
          <w:left w:w="0" w:type="dxa"/>
          <w:right w:w="0" w:type="dxa"/>
        </w:tblCellMar>
        <w:tblLook w:val="00A0"/>
      </w:tblPr>
      <w:tblGrid>
        <w:gridCol w:w="8010"/>
        <w:gridCol w:w="1890"/>
      </w:tblGrid>
      <w:tr w:rsidR="0031008D" w:rsidRPr="00466073" w:rsidTr="009902A0">
        <w:tc>
          <w:tcPr>
            <w:tcW w:w="801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tcPr>
          <w:p w:rsidR="0031008D" w:rsidRPr="00466073" w:rsidRDefault="0031008D" w:rsidP="0031008D">
            <w:pPr>
              <w:spacing w:before="100" w:beforeAutospacing="1" w:after="100" w:afterAutospacing="1"/>
              <w:jc w:val="center"/>
              <w:rPr>
                <w:rFonts w:asciiTheme="minorHAnsi" w:hAnsiTheme="minorHAnsi" w:cstheme="minorHAnsi"/>
                <w:lang w:val="el-GR"/>
              </w:rPr>
            </w:pPr>
            <w:r w:rsidRPr="00466073">
              <w:rPr>
                <w:rFonts w:asciiTheme="minorHAnsi" w:hAnsiTheme="minorHAnsi" w:cstheme="minorHAnsi"/>
                <w:lang w:val="el-GR"/>
              </w:rPr>
              <w:t>4-ψήφιος κωδικός Σ.Ο.</w:t>
            </w:r>
          </w:p>
        </w:tc>
        <w:tc>
          <w:tcPr>
            <w:tcW w:w="189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tcPr>
          <w:p w:rsidR="0031008D" w:rsidRPr="00466073" w:rsidRDefault="0031008D" w:rsidP="0031008D">
            <w:pPr>
              <w:spacing w:before="100" w:beforeAutospacing="1" w:after="100" w:afterAutospacing="1"/>
              <w:jc w:val="center"/>
              <w:rPr>
                <w:rFonts w:asciiTheme="minorHAnsi" w:hAnsiTheme="minorHAnsi" w:cstheme="minorHAnsi"/>
                <w:b/>
                <w:lang w:val="el-GR"/>
              </w:rPr>
            </w:pPr>
            <w:r w:rsidRPr="00466073">
              <w:rPr>
                <w:rFonts w:asciiTheme="minorHAnsi" w:hAnsiTheme="minorHAnsi" w:cstheme="minorHAnsi"/>
                <w:b/>
                <w:lang w:val="el-GR"/>
              </w:rPr>
              <w:t xml:space="preserve">(σε </w:t>
            </w:r>
            <w:r w:rsidRPr="00466073">
              <w:rPr>
                <w:rFonts w:asciiTheme="minorHAnsi" w:hAnsiTheme="minorHAnsi" w:cstheme="minorHAnsi"/>
                <w:lang w:val="el-GR"/>
              </w:rPr>
              <w:t>€)</w:t>
            </w:r>
          </w:p>
        </w:tc>
      </w:tr>
      <w:tr w:rsidR="0031008D" w:rsidRPr="00466073" w:rsidTr="009902A0">
        <w:tc>
          <w:tcPr>
            <w:tcW w:w="801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rsidR="0031008D" w:rsidRPr="00466073" w:rsidRDefault="0031008D" w:rsidP="0031008D">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8708</w:t>
            </w:r>
            <w:r w:rsidRPr="00466073">
              <w:rPr>
                <w:rFonts w:asciiTheme="minorHAnsi" w:hAnsiTheme="minorHAnsi" w:cstheme="minorHAnsi"/>
                <w:lang w:val="el-GR"/>
              </w:rPr>
              <w:t xml:space="preserve"> :</w:t>
            </w:r>
            <w:r w:rsidRPr="00466073">
              <w:rPr>
                <w:rFonts w:asciiTheme="minorHAnsi" w:hAnsiTheme="minorHAnsi" w:cstheme="minorHAnsi"/>
                <w:b/>
                <w:lang w:val="el-GR"/>
              </w:rPr>
              <w:t xml:space="preserve"> </w:t>
            </w:r>
            <w:r w:rsidRPr="00466073">
              <w:rPr>
                <w:rFonts w:asciiTheme="minorHAnsi" w:hAnsiTheme="minorHAnsi" w:cstheme="minorHAnsi"/>
                <w:lang w:val="el-GR"/>
              </w:rPr>
              <w:t>Μέρη και εξαρτήματα αυτοκινήτων</w:t>
            </w:r>
            <w:r w:rsidRPr="00466073">
              <w:rPr>
                <w:rFonts w:asciiTheme="minorHAnsi" w:hAnsiTheme="minorHAnsi" w:cstheme="minorHAnsi"/>
                <w:b/>
                <w:lang w:val="el-GR"/>
              </w:rPr>
              <w:t xml:space="preserve"> </w:t>
            </w:r>
          </w:p>
        </w:tc>
        <w:tc>
          <w:tcPr>
            <w:tcW w:w="1890" w:type="dxa"/>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rsidR="0083314A" w:rsidRPr="00466073" w:rsidRDefault="0083314A" w:rsidP="00386569">
            <w:pPr>
              <w:spacing w:before="100" w:beforeAutospacing="1" w:after="100" w:afterAutospacing="1"/>
              <w:jc w:val="right"/>
              <w:rPr>
                <w:rFonts w:asciiTheme="minorHAnsi" w:hAnsiTheme="minorHAnsi" w:cstheme="minorHAnsi"/>
              </w:rPr>
            </w:pPr>
            <w:r w:rsidRPr="00466073">
              <w:rPr>
                <w:rFonts w:asciiTheme="minorHAnsi" w:hAnsiTheme="minorHAnsi" w:cstheme="minorHAnsi"/>
                <w:color w:val="3C3C3C"/>
                <w:shd w:val="clear" w:color="auto" w:fill="FFFFFF"/>
              </w:rPr>
              <w:t>6</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318</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707</w:t>
            </w:r>
            <w:r w:rsidR="009B7E1E"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945</w:t>
            </w:r>
          </w:p>
        </w:tc>
      </w:tr>
      <w:tr w:rsidR="0031008D" w:rsidRPr="00466073" w:rsidTr="009902A0">
        <w:tc>
          <w:tcPr>
            <w:tcW w:w="8010" w:type="dxa"/>
            <w:tcBorders>
              <w:top w:val="single" w:sz="4" w:space="0" w:color="auto"/>
              <w:left w:val="double" w:sz="4" w:space="0" w:color="auto"/>
              <w:bottom w:val="single" w:sz="4" w:space="0" w:color="auto"/>
              <w:right w:val="double" w:sz="4" w:space="0" w:color="auto"/>
            </w:tcBorders>
            <w:tcMar>
              <w:top w:w="0" w:type="dxa"/>
              <w:left w:w="108" w:type="dxa"/>
              <w:bottom w:w="0" w:type="dxa"/>
              <w:right w:w="108" w:type="dxa"/>
            </w:tcMar>
          </w:tcPr>
          <w:p w:rsidR="0031008D" w:rsidRPr="00466073" w:rsidRDefault="0031008D" w:rsidP="0031008D">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 xml:space="preserve">8517 </w:t>
            </w:r>
            <w:r w:rsidRPr="00466073">
              <w:rPr>
                <w:rFonts w:asciiTheme="minorHAnsi" w:hAnsiTheme="minorHAnsi" w:cstheme="minorHAnsi"/>
                <w:lang w:val="el-GR"/>
              </w:rPr>
              <w:t>: Τηλεφωνικές συσκευές</w:t>
            </w:r>
          </w:p>
        </w:tc>
        <w:tc>
          <w:tcPr>
            <w:tcW w:w="1890" w:type="dxa"/>
            <w:tcBorders>
              <w:top w:val="single" w:sz="4" w:space="0" w:color="auto"/>
              <w:left w:val="double" w:sz="4" w:space="0" w:color="auto"/>
              <w:bottom w:val="single" w:sz="4" w:space="0" w:color="auto"/>
              <w:right w:val="double" w:sz="4" w:space="0" w:color="auto"/>
            </w:tcBorders>
            <w:tcMar>
              <w:top w:w="0" w:type="dxa"/>
              <w:left w:w="108" w:type="dxa"/>
              <w:bottom w:w="0" w:type="dxa"/>
              <w:right w:w="108" w:type="dxa"/>
            </w:tcMar>
          </w:tcPr>
          <w:p w:rsidR="0083314A" w:rsidRPr="00466073" w:rsidRDefault="0083314A" w:rsidP="00386569">
            <w:pPr>
              <w:spacing w:before="100" w:beforeAutospacing="1" w:after="100" w:afterAutospacing="1"/>
              <w:jc w:val="right"/>
              <w:rPr>
                <w:rFonts w:asciiTheme="minorHAnsi" w:hAnsiTheme="minorHAnsi" w:cstheme="minorHAnsi"/>
                <w:lang w:val="el-GR"/>
              </w:rPr>
            </w:pPr>
            <w:r w:rsidRPr="00466073">
              <w:rPr>
                <w:rFonts w:asciiTheme="minorHAnsi" w:hAnsiTheme="minorHAnsi" w:cstheme="minorHAnsi"/>
                <w:color w:val="3C3C3C"/>
                <w:shd w:val="clear" w:color="auto" w:fill="FFFFFF"/>
              </w:rPr>
              <w:t>4</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545</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147</w:t>
            </w:r>
            <w:r w:rsidR="009B7E1E"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847</w:t>
            </w:r>
          </w:p>
        </w:tc>
      </w:tr>
      <w:tr w:rsidR="00251759" w:rsidRPr="00466073" w:rsidTr="009902A0">
        <w:tc>
          <w:tcPr>
            <w:tcW w:w="8010" w:type="dxa"/>
            <w:tcBorders>
              <w:top w:val="single" w:sz="4" w:space="0" w:color="auto"/>
              <w:left w:val="double" w:sz="4" w:space="0" w:color="auto"/>
              <w:bottom w:val="single" w:sz="4" w:space="0" w:color="auto"/>
              <w:right w:val="double" w:sz="4" w:space="0" w:color="auto"/>
            </w:tcBorders>
            <w:tcMar>
              <w:top w:w="0" w:type="dxa"/>
              <w:left w:w="108" w:type="dxa"/>
              <w:bottom w:w="0" w:type="dxa"/>
              <w:right w:w="108" w:type="dxa"/>
            </w:tcMar>
          </w:tcPr>
          <w:p w:rsidR="00251759" w:rsidRPr="00466073" w:rsidRDefault="00251759" w:rsidP="00251759">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8542 :</w:t>
            </w:r>
            <w:r w:rsidRPr="00466073">
              <w:rPr>
                <w:rFonts w:asciiTheme="minorHAnsi" w:hAnsiTheme="minorHAnsi" w:cstheme="minorHAnsi"/>
                <w:lang w:val="el-GR"/>
              </w:rPr>
              <w:t xml:space="preserve"> Ηλεκτρονικά </w:t>
            </w:r>
            <w:proofErr w:type="spellStart"/>
            <w:r w:rsidRPr="00466073">
              <w:rPr>
                <w:rFonts w:asciiTheme="minorHAnsi" w:hAnsiTheme="minorHAnsi" w:cstheme="minorHAnsi"/>
                <w:lang w:val="el-GR"/>
              </w:rPr>
              <w:t>ολοκληρωµένα</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κυκλώµατα</w:t>
            </w:r>
            <w:proofErr w:type="spellEnd"/>
          </w:p>
        </w:tc>
        <w:tc>
          <w:tcPr>
            <w:tcW w:w="1890" w:type="dxa"/>
            <w:tcBorders>
              <w:top w:val="single" w:sz="4" w:space="0" w:color="auto"/>
              <w:left w:val="double" w:sz="4" w:space="0" w:color="auto"/>
              <w:bottom w:val="single" w:sz="4" w:space="0" w:color="auto"/>
              <w:right w:val="double" w:sz="4" w:space="0" w:color="auto"/>
            </w:tcBorders>
            <w:tcMar>
              <w:top w:w="0" w:type="dxa"/>
              <w:left w:w="108" w:type="dxa"/>
              <w:bottom w:w="0" w:type="dxa"/>
              <w:right w:w="108" w:type="dxa"/>
            </w:tcMar>
          </w:tcPr>
          <w:p w:rsidR="00251759" w:rsidRPr="00466073" w:rsidRDefault="00251759" w:rsidP="00251759">
            <w:pPr>
              <w:spacing w:before="100" w:beforeAutospacing="1" w:after="100" w:afterAutospacing="1"/>
              <w:jc w:val="right"/>
              <w:rPr>
                <w:rFonts w:asciiTheme="minorHAnsi" w:hAnsiTheme="minorHAnsi" w:cstheme="minorHAnsi"/>
                <w:color w:val="3C3C3C"/>
                <w:shd w:val="clear" w:color="auto" w:fill="FFFFFF"/>
                <w:lang w:val="el-GR"/>
              </w:rPr>
            </w:pPr>
            <w:r w:rsidRPr="00466073">
              <w:rPr>
                <w:rFonts w:asciiTheme="minorHAnsi" w:hAnsiTheme="minorHAnsi" w:cstheme="minorHAnsi"/>
                <w:color w:val="3C3C3C"/>
                <w:shd w:val="clear" w:color="auto" w:fill="FFFFFF"/>
              </w:rPr>
              <w:t>3</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577</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102</w:t>
            </w:r>
            <w:r w:rsidR="009B7E1E"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633</w:t>
            </w:r>
          </w:p>
        </w:tc>
      </w:tr>
      <w:tr w:rsidR="00251759" w:rsidRPr="00466073" w:rsidTr="009902A0">
        <w:tc>
          <w:tcPr>
            <w:tcW w:w="8010" w:type="dxa"/>
            <w:tcBorders>
              <w:top w:val="single" w:sz="4" w:space="0" w:color="auto"/>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251759" w:rsidP="0031008D">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8703</w:t>
            </w:r>
            <w:r w:rsidRPr="00466073">
              <w:rPr>
                <w:rFonts w:asciiTheme="minorHAnsi" w:hAnsiTheme="minorHAnsi" w:cstheme="minorHAnsi"/>
                <w:lang w:val="el-GR"/>
              </w:rPr>
              <w:t xml:space="preserve"> : Επιβατικά αυτοκίνητα και οχήματα μεταφοράς προσώπων</w:t>
            </w:r>
          </w:p>
        </w:tc>
        <w:tc>
          <w:tcPr>
            <w:tcW w:w="1890" w:type="dxa"/>
            <w:tcBorders>
              <w:top w:val="single" w:sz="4" w:space="0" w:color="auto"/>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251759" w:rsidP="00386569">
            <w:pPr>
              <w:spacing w:before="100" w:beforeAutospacing="1" w:after="100" w:afterAutospacing="1"/>
              <w:jc w:val="right"/>
              <w:rPr>
                <w:rFonts w:asciiTheme="minorHAnsi" w:hAnsiTheme="minorHAnsi" w:cstheme="minorHAnsi"/>
                <w:lang w:val="el-GR"/>
              </w:rPr>
            </w:pPr>
            <w:r w:rsidRPr="00466073">
              <w:rPr>
                <w:rFonts w:asciiTheme="minorHAnsi" w:hAnsiTheme="minorHAnsi" w:cstheme="minorHAnsi"/>
                <w:color w:val="3C3C3C"/>
                <w:shd w:val="clear" w:color="auto" w:fill="FFFFFF"/>
              </w:rPr>
              <w:t>3</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207</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402</w:t>
            </w:r>
            <w:r w:rsidR="009B7E1E"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225</w:t>
            </w:r>
          </w:p>
        </w:tc>
      </w:tr>
      <w:tr w:rsidR="009B7E1E" w:rsidRPr="00466073" w:rsidTr="009B7E1E">
        <w:tc>
          <w:tcPr>
            <w:tcW w:w="801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9B7E1E" w:rsidRPr="00466073" w:rsidRDefault="009B7E1E" w:rsidP="009B7E1E">
            <w:pPr>
              <w:spacing w:before="100" w:beforeAutospacing="1" w:after="100" w:afterAutospacing="1"/>
              <w:rPr>
                <w:rFonts w:asciiTheme="minorHAnsi" w:hAnsiTheme="minorHAnsi" w:cstheme="minorHAnsi"/>
                <w:lang w:val="el-GR"/>
              </w:rPr>
            </w:pPr>
            <w:r w:rsidRPr="00466073">
              <w:rPr>
                <w:rFonts w:asciiTheme="minorHAnsi" w:hAnsiTheme="minorHAnsi" w:cstheme="minorHAnsi"/>
                <w:b/>
                <w:lang w:val="el-GR"/>
              </w:rPr>
              <w:t>8471</w:t>
            </w:r>
            <w:r w:rsidRPr="00466073">
              <w:rPr>
                <w:rFonts w:asciiTheme="minorHAnsi" w:hAnsiTheme="minorHAnsi" w:cstheme="minorHAnsi"/>
                <w:lang w:val="el-GR"/>
              </w:rPr>
              <w:t xml:space="preserve"> : </w:t>
            </w:r>
            <w:proofErr w:type="spellStart"/>
            <w:r w:rsidRPr="00466073">
              <w:rPr>
                <w:rFonts w:asciiTheme="minorHAnsi" w:hAnsiTheme="minorHAnsi" w:cstheme="minorHAnsi"/>
                <w:lang w:val="el-GR"/>
              </w:rPr>
              <w:t>Αυτόµατες</w:t>
            </w:r>
            <w:proofErr w:type="spellEnd"/>
            <w:r w:rsidRPr="00466073">
              <w:rPr>
                <w:rFonts w:asciiTheme="minorHAnsi" w:hAnsiTheme="minorHAnsi" w:cstheme="minorHAnsi"/>
                <w:lang w:val="el-GR"/>
              </w:rPr>
              <w:t xml:space="preserve"> µ</w:t>
            </w:r>
            <w:proofErr w:type="spellStart"/>
            <w:r w:rsidRPr="00466073">
              <w:rPr>
                <w:rFonts w:asciiTheme="minorHAnsi" w:hAnsiTheme="minorHAnsi" w:cstheme="minorHAnsi"/>
                <w:lang w:val="el-GR"/>
              </w:rPr>
              <w:t>ηχανές</w:t>
            </w:r>
            <w:proofErr w:type="spellEnd"/>
            <w:r w:rsidRPr="00466073">
              <w:rPr>
                <w:rFonts w:asciiTheme="minorHAnsi" w:hAnsiTheme="minorHAnsi" w:cstheme="minorHAnsi"/>
                <w:lang w:val="el-GR"/>
              </w:rPr>
              <w:t xml:space="preserve"> επεξεργασίας πληροφοριών</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9B7E1E" w:rsidRPr="00466073" w:rsidRDefault="009B7E1E" w:rsidP="009B7E1E">
            <w:pPr>
              <w:spacing w:before="100" w:beforeAutospacing="1" w:after="100" w:afterAutospacing="1"/>
              <w:jc w:val="right"/>
              <w:rPr>
                <w:rFonts w:asciiTheme="minorHAnsi" w:hAnsiTheme="minorHAnsi" w:cstheme="minorHAnsi"/>
                <w:color w:val="3C3C3C"/>
                <w:shd w:val="clear" w:color="auto" w:fill="FFFFFF"/>
                <w:lang w:val="el-GR"/>
              </w:rPr>
            </w:pPr>
            <w:r w:rsidRPr="00466073">
              <w:rPr>
                <w:rFonts w:asciiTheme="minorHAnsi" w:hAnsiTheme="minorHAnsi" w:cstheme="minorHAnsi"/>
                <w:color w:val="3C3C3C"/>
              </w:rPr>
              <w:t>2</w:t>
            </w:r>
            <w:r w:rsidRPr="00466073">
              <w:rPr>
                <w:rFonts w:asciiTheme="minorHAnsi" w:hAnsiTheme="minorHAnsi" w:cstheme="minorHAnsi"/>
                <w:color w:val="3C3C3C"/>
                <w:lang w:val="el-GR"/>
              </w:rPr>
              <w:t>.</w:t>
            </w:r>
            <w:r w:rsidRPr="00466073">
              <w:rPr>
                <w:rFonts w:asciiTheme="minorHAnsi" w:hAnsiTheme="minorHAnsi" w:cstheme="minorHAnsi"/>
                <w:color w:val="3C3C3C"/>
              </w:rPr>
              <w:t>650</w:t>
            </w:r>
            <w:r w:rsidRPr="00466073">
              <w:rPr>
                <w:rFonts w:asciiTheme="minorHAnsi" w:hAnsiTheme="minorHAnsi" w:cstheme="minorHAnsi"/>
                <w:color w:val="3C3C3C"/>
                <w:lang w:val="el-GR"/>
              </w:rPr>
              <w:t>.</w:t>
            </w:r>
            <w:r w:rsidRPr="00466073">
              <w:rPr>
                <w:rFonts w:asciiTheme="minorHAnsi" w:hAnsiTheme="minorHAnsi" w:cstheme="minorHAnsi"/>
                <w:color w:val="3C3C3C"/>
              </w:rPr>
              <w:t>150</w:t>
            </w:r>
            <w:r w:rsidRPr="00466073">
              <w:rPr>
                <w:rFonts w:asciiTheme="minorHAnsi" w:hAnsiTheme="minorHAnsi" w:cstheme="minorHAnsi"/>
                <w:color w:val="3C3C3C"/>
                <w:lang w:val="el-GR"/>
              </w:rPr>
              <w:t>.</w:t>
            </w:r>
            <w:r w:rsidRPr="00466073">
              <w:rPr>
                <w:rFonts w:asciiTheme="minorHAnsi" w:hAnsiTheme="minorHAnsi" w:cstheme="minorHAnsi"/>
                <w:color w:val="3C3C3C"/>
              </w:rPr>
              <w:t>406</w:t>
            </w:r>
          </w:p>
        </w:tc>
      </w:tr>
      <w:tr w:rsidR="009B7E1E" w:rsidRPr="00466073" w:rsidTr="009B7E1E">
        <w:tc>
          <w:tcPr>
            <w:tcW w:w="8010" w:type="dxa"/>
            <w:tcBorders>
              <w:top w:val="single" w:sz="4" w:space="0" w:color="auto"/>
              <w:left w:val="double" w:sz="4" w:space="0" w:color="auto"/>
              <w:bottom w:val="single" w:sz="8" w:space="0" w:color="auto"/>
              <w:right w:val="double" w:sz="4" w:space="0" w:color="auto"/>
            </w:tcBorders>
            <w:tcMar>
              <w:top w:w="0" w:type="dxa"/>
              <w:left w:w="108" w:type="dxa"/>
              <w:bottom w:w="0" w:type="dxa"/>
              <w:right w:w="108" w:type="dxa"/>
            </w:tcMar>
          </w:tcPr>
          <w:p w:rsidR="009B7E1E" w:rsidRPr="00466073" w:rsidRDefault="009B7E1E" w:rsidP="009B7E1E">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3004</w:t>
            </w:r>
            <w:r w:rsidRPr="00466073">
              <w:rPr>
                <w:rFonts w:asciiTheme="minorHAnsi" w:hAnsiTheme="minorHAnsi" w:cstheme="minorHAnsi"/>
                <w:lang w:val="el-GR"/>
              </w:rPr>
              <w:t xml:space="preserve"> : </w:t>
            </w:r>
            <w:proofErr w:type="spellStart"/>
            <w:r w:rsidRPr="00466073">
              <w:rPr>
                <w:rFonts w:asciiTheme="minorHAnsi" w:hAnsiTheme="minorHAnsi" w:cstheme="minorHAnsi"/>
                <w:lang w:val="el-GR"/>
              </w:rPr>
              <w:t>Φάρµακα</w:t>
            </w:r>
            <w:proofErr w:type="spellEnd"/>
          </w:p>
        </w:tc>
        <w:tc>
          <w:tcPr>
            <w:tcW w:w="1890" w:type="dxa"/>
            <w:tcBorders>
              <w:top w:val="single" w:sz="4" w:space="0" w:color="auto"/>
              <w:left w:val="double" w:sz="4" w:space="0" w:color="auto"/>
              <w:bottom w:val="single" w:sz="8" w:space="0" w:color="auto"/>
              <w:right w:val="double" w:sz="4" w:space="0" w:color="auto"/>
            </w:tcBorders>
            <w:tcMar>
              <w:top w:w="0" w:type="dxa"/>
              <w:left w:w="108" w:type="dxa"/>
              <w:bottom w:w="0" w:type="dxa"/>
              <w:right w:w="108" w:type="dxa"/>
            </w:tcMar>
          </w:tcPr>
          <w:p w:rsidR="009B7E1E" w:rsidRPr="00466073" w:rsidRDefault="009B7E1E" w:rsidP="009B7E1E">
            <w:pPr>
              <w:spacing w:before="100" w:beforeAutospacing="1" w:after="100" w:afterAutospacing="1"/>
              <w:jc w:val="right"/>
              <w:rPr>
                <w:rFonts w:asciiTheme="minorHAnsi" w:hAnsiTheme="minorHAnsi" w:cstheme="minorHAnsi"/>
                <w:color w:val="3C3C3C"/>
                <w:shd w:val="clear" w:color="auto" w:fill="FFFFFF"/>
                <w:lang w:val="el-GR"/>
              </w:rPr>
            </w:pPr>
            <w:r w:rsidRPr="00466073">
              <w:rPr>
                <w:rFonts w:asciiTheme="minorHAnsi" w:hAnsiTheme="minorHAnsi" w:cstheme="minorHAnsi"/>
                <w:color w:val="3C3C3C"/>
                <w:shd w:val="clear" w:color="auto" w:fill="FFFFFF"/>
              </w:rPr>
              <w:t>2</w:t>
            </w:r>
            <w:r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533</w:t>
            </w:r>
            <w:r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759</w:t>
            </w:r>
            <w:r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129</w:t>
            </w:r>
          </w:p>
        </w:tc>
      </w:tr>
      <w:tr w:rsidR="009B7E1E" w:rsidRPr="00466073" w:rsidTr="009B7E1E">
        <w:tc>
          <w:tcPr>
            <w:tcW w:w="801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9B7E1E" w:rsidRPr="00466073" w:rsidRDefault="009B7E1E" w:rsidP="009B7E1E">
            <w:pPr>
              <w:rPr>
                <w:rFonts w:asciiTheme="minorHAnsi" w:hAnsiTheme="minorHAnsi" w:cstheme="minorHAnsi"/>
                <w:lang w:val="el-GR"/>
              </w:rPr>
            </w:pPr>
            <w:r w:rsidRPr="00466073">
              <w:rPr>
                <w:rFonts w:asciiTheme="minorHAnsi" w:hAnsiTheme="minorHAnsi" w:cstheme="minorHAnsi"/>
                <w:b/>
                <w:lang w:val="el-GR"/>
              </w:rPr>
              <w:t>8544</w:t>
            </w:r>
            <w:r w:rsidRPr="00466073">
              <w:rPr>
                <w:rFonts w:asciiTheme="minorHAnsi" w:hAnsiTheme="minorHAnsi" w:cstheme="minorHAnsi"/>
                <w:lang w:val="el-GR"/>
              </w:rPr>
              <w:t xml:space="preserve"> : </w:t>
            </w:r>
            <w:proofErr w:type="spellStart"/>
            <w:r w:rsidRPr="00466073">
              <w:rPr>
                <w:rFonts w:asciiTheme="minorHAnsi" w:hAnsiTheme="minorHAnsi" w:cstheme="minorHAnsi"/>
                <w:lang w:val="el-GR"/>
              </w:rPr>
              <w:t>Σύρµατα</w:t>
            </w:r>
            <w:proofErr w:type="spellEnd"/>
            <w:r w:rsidRPr="00466073">
              <w:rPr>
                <w:rFonts w:asciiTheme="minorHAnsi" w:hAnsiTheme="minorHAnsi" w:cstheme="minorHAnsi"/>
                <w:lang w:val="el-GR"/>
              </w:rPr>
              <w:t>, καλώδια και άλλοι αγωγοί</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9B7E1E" w:rsidRPr="00466073" w:rsidRDefault="009B7E1E" w:rsidP="009B7E1E">
            <w:pPr>
              <w:spacing w:before="100" w:beforeAutospacing="1" w:after="100" w:afterAutospacing="1"/>
              <w:jc w:val="right"/>
              <w:rPr>
                <w:rFonts w:asciiTheme="minorHAnsi" w:hAnsiTheme="minorHAnsi" w:cstheme="minorHAnsi"/>
                <w:color w:val="3C3C3C"/>
                <w:shd w:val="clear" w:color="auto" w:fill="FFFFFF"/>
                <w:lang w:val="el-GR"/>
              </w:rPr>
            </w:pPr>
            <w:r w:rsidRPr="00466073">
              <w:rPr>
                <w:rFonts w:asciiTheme="minorHAnsi" w:hAnsiTheme="minorHAnsi" w:cstheme="minorHAnsi"/>
                <w:color w:val="3C3C3C"/>
                <w:shd w:val="clear" w:color="auto" w:fill="FFFFFF"/>
              </w:rPr>
              <w:t>2</w:t>
            </w:r>
            <w:r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478</w:t>
            </w:r>
            <w:r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518</w:t>
            </w:r>
            <w:r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624</w:t>
            </w:r>
          </w:p>
        </w:tc>
      </w:tr>
      <w:tr w:rsidR="00251759" w:rsidRPr="00466073" w:rsidTr="009902A0">
        <w:tc>
          <w:tcPr>
            <w:tcW w:w="8010" w:type="dxa"/>
            <w:tcBorders>
              <w:top w:val="single" w:sz="4" w:space="0" w:color="auto"/>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9B7E1E" w:rsidP="00C900F2">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 xml:space="preserve">8507 </w:t>
            </w:r>
            <w:r w:rsidRPr="00466073">
              <w:rPr>
                <w:rFonts w:asciiTheme="minorHAnsi" w:hAnsiTheme="minorHAnsi" w:cstheme="minorHAnsi"/>
                <w:b/>
              </w:rPr>
              <w:t xml:space="preserve">: </w:t>
            </w:r>
            <w:r w:rsidRPr="00466073">
              <w:rPr>
                <w:rFonts w:asciiTheme="minorHAnsi" w:hAnsiTheme="minorHAnsi" w:cstheme="minorHAnsi"/>
                <w:lang w:val="el-GR"/>
              </w:rPr>
              <w:t>Ηλεκτρικοί συσσωρευτές</w:t>
            </w:r>
            <w:r w:rsidRPr="00466073">
              <w:rPr>
                <w:rFonts w:asciiTheme="minorHAnsi" w:hAnsiTheme="minorHAnsi" w:cstheme="minorHAnsi"/>
                <w:b/>
                <w:lang w:val="el-GR"/>
              </w:rPr>
              <w:t xml:space="preserve"> </w:t>
            </w:r>
          </w:p>
        </w:tc>
        <w:tc>
          <w:tcPr>
            <w:tcW w:w="1890" w:type="dxa"/>
            <w:tcBorders>
              <w:top w:val="single" w:sz="4" w:space="0" w:color="auto"/>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9B7E1E" w:rsidP="00551104">
            <w:pPr>
              <w:spacing w:before="100" w:beforeAutospacing="1" w:after="100" w:afterAutospacing="1"/>
              <w:jc w:val="right"/>
              <w:rPr>
                <w:rFonts w:asciiTheme="minorHAnsi" w:hAnsiTheme="minorHAnsi" w:cstheme="minorHAnsi"/>
                <w:color w:val="3C3C3C"/>
                <w:shd w:val="clear" w:color="auto" w:fill="FFFFFF"/>
                <w:lang w:val="el-GR"/>
              </w:rPr>
            </w:pPr>
            <w:r w:rsidRPr="00466073">
              <w:rPr>
                <w:rFonts w:asciiTheme="minorHAnsi" w:hAnsiTheme="minorHAnsi" w:cstheme="minorHAnsi"/>
                <w:color w:val="3C3C3C"/>
              </w:rPr>
              <w:t>2</w:t>
            </w:r>
            <w:r w:rsidRPr="00466073">
              <w:rPr>
                <w:rFonts w:asciiTheme="minorHAnsi" w:hAnsiTheme="minorHAnsi" w:cstheme="minorHAnsi"/>
                <w:color w:val="3C3C3C"/>
                <w:lang w:val="el-GR"/>
              </w:rPr>
              <w:t>.</w:t>
            </w:r>
            <w:r w:rsidRPr="00466073">
              <w:rPr>
                <w:rFonts w:asciiTheme="minorHAnsi" w:hAnsiTheme="minorHAnsi" w:cstheme="minorHAnsi"/>
                <w:color w:val="3C3C3C"/>
              </w:rPr>
              <w:t>233</w:t>
            </w:r>
            <w:r w:rsidRPr="00466073">
              <w:rPr>
                <w:rFonts w:asciiTheme="minorHAnsi" w:hAnsiTheme="minorHAnsi" w:cstheme="minorHAnsi"/>
                <w:color w:val="3C3C3C"/>
                <w:lang w:val="el-GR"/>
              </w:rPr>
              <w:t>.</w:t>
            </w:r>
            <w:r w:rsidRPr="00466073">
              <w:rPr>
                <w:rFonts w:asciiTheme="minorHAnsi" w:hAnsiTheme="minorHAnsi" w:cstheme="minorHAnsi"/>
                <w:color w:val="3C3C3C"/>
              </w:rPr>
              <w:t>683</w:t>
            </w:r>
            <w:r w:rsidRPr="00466073">
              <w:rPr>
                <w:rFonts w:asciiTheme="minorHAnsi" w:hAnsiTheme="minorHAnsi" w:cstheme="minorHAnsi"/>
                <w:color w:val="3C3C3C"/>
                <w:lang w:val="el-GR"/>
              </w:rPr>
              <w:t>.</w:t>
            </w:r>
            <w:r w:rsidRPr="00466073">
              <w:rPr>
                <w:rFonts w:asciiTheme="minorHAnsi" w:hAnsiTheme="minorHAnsi" w:cstheme="minorHAnsi"/>
                <w:color w:val="3C3C3C"/>
              </w:rPr>
              <w:t>428</w:t>
            </w:r>
          </w:p>
        </w:tc>
      </w:tr>
      <w:tr w:rsidR="00251759" w:rsidRPr="00466073" w:rsidTr="009902A0">
        <w:tc>
          <w:tcPr>
            <w:tcW w:w="801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251759" w:rsidP="008F4C05">
            <w:pPr>
              <w:spacing w:before="100" w:beforeAutospacing="1" w:after="100" w:afterAutospacing="1"/>
              <w:rPr>
                <w:rFonts w:asciiTheme="minorHAnsi" w:hAnsiTheme="minorHAnsi" w:cstheme="minorHAnsi"/>
                <w:b/>
                <w:lang w:val="el-GR"/>
              </w:rPr>
            </w:pPr>
            <w:r w:rsidRPr="00466073">
              <w:rPr>
                <w:rFonts w:asciiTheme="minorHAnsi" w:hAnsiTheme="minorHAnsi" w:cstheme="minorHAnsi"/>
                <w:b/>
                <w:lang w:val="el-GR"/>
              </w:rPr>
              <w:t>8409 :</w:t>
            </w:r>
            <w:r w:rsidRPr="00466073">
              <w:rPr>
                <w:rFonts w:asciiTheme="minorHAnsi" w:hAnsiTheme="minorHAnsi" w:cstheme="minorHAnsi"/>
                <w:lang w:val="el-GR"/>
              </w:rPr>
              <w:t xml:space="preserve"> Μέρη κινητήρων</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251759" w:rsidP="00462E72">
            <w:pPr>
              <w:spacing w:before="100" w:beforeAutospacing="1" w:after="100" w:afterAutospacing="1"/>
              <w:jc w:val="right"/>
              <w:rPr>
                <w:rFonts w:asciiTheme="minorHAnsi" w:hAnsiTheme="minorHAnsi" w:cstheme="minorHAnsi"/>
                <w:color w:val="3C3C3C"/>
                <w:shd w:val="clear" w:color="auto" w:fill="FFFFFF"/>
                <w:lang w:val="el-GR"/>
              </w:rPr>
            </w:pPr>
            <w:r w:rsidRPr="00466073">
              <w:rPr>
                <w:rFonts w:asciiTheme="minorHAnsi" w:hAnsiTheme="minorHAnsi" w:cstheme="minorHAnsi"/>
                <w:color w:val="3C3C3C"/>
                <w:shd w:val="clear" w:color="auto" w:fill="FFFFFF"/>
              </w:rPr>
              <w:t>1</w:t>
            </w:r>
            <w:r w:rsidR="009B7E1E" w:rsidRPr="00466073">
              <w:rPr>
                <w:rFonts w:asciiTheme="minorHAnsi" w:hAnsiTheme="minorHAnsi" w:cstheme="minorHAnsi"/>
                <w:color w:val="3C3C3C"/>
                <w:shd w:val="clear" w:color="auto" w:fill="FFFFFF"/>
                <w:lang w:val="el-GR"/>
              </w:rPr>
              <w:t>.</w:t>
            </w:r>
            <w:r w:rsidR="009B7E1E" w:rsidRPr="00466073">
              <w:rPr>
                <w:rFonts w:asciiTheme="minorHAnsi" w:hAnsiTheme="minorHAnsi" w:cstheme="minorHAnsi"/>
                <w:color w:val="3C3C3C"/>
                <w:shd w:val="clear" w:color="auto" w:fill="FFFFFF"/>
              </w:rPr>
              <w:t>873</w:t>
            </w:r>
            <w:r w:rsidR="009B7E1E"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 xml:space="preserve">349 </w:t>
            </w:r>
            <w:r w:rsidR="009B7E1E" w:rsidRPr="00466073">
              <w:rPr>
                <w:rFonts w:asciiTheme="minorHAnsi" w:hAnsiTheme="minorHAnsi" w:cstheme="minorHAnsi"/>
                <w:color w:val="3C3C3C"/>
                <w:shd w:val="clear" w:color="auto" w:fill="FFFFFF"/>
                <w:lang w:val="el-GR"/>
              </w:rPr>
              <w:t>.</w:t>
            </w:r>
            <w:r w:rsidRPr="00466073">
              <w:rPr>
                <w:rFonts w:asciiTheme="minorHAnsi" w:hAnsiTheme="minorHAnsi" w:cstheme="minorHAnsi"/>
                <w:color w:val="3C3C3C"/>
                <w:shd w:val="clear" w:color="auto" w:fill="FFFFFF"/>
              </w:rPr>
              <w:t>430</w:t>
            </w:r>
          </w:p>
        </w:tc>
      </w:tr>
      <w:tr w:rsidR="00251759" w:rsidRPr="00466073" w:rsidTr="009B7E1E">
        <w:tc>
          <w:tcPr>
            <w:tcW w:w="801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6D3D64" w:rsidP="009B7E1E">
            <w:pPr>
              <w:spacing w:before="100" w:beforeAutospacing="1" w:after="100" w:afterAutospacing="1"/>
              <w:ind w:left="702" w:hanging="702"/>
              <w:rPr>
                <w:rFonts w:asciiTheme="minorHAnsi" w:hAnsiTheme="minorHAnsi" w:cstheme="minorHAnsi"/>
                <w:b/>
                <w:lang w:val="el-GR"/>
              </w:rPr>
            </w:pPr>
            <w:r w:rsidRPr="00466073">
              <w:rPr>
                <w:rFonts w:asciiTheme="minorHAnsi" w:hAnsiTheme="minorHAnsi" w:cstheme="minorHAnsi"/>
                <w:b/>
                <w:lang w:val="el-GR"/>
              </w:rPr>
              <w:t>8541</w:t>
            </w:r>
            <w:r w:rsidR="00251759" w:rsidRPr="00466073">
              <w:rPr>
                <w:rFonts w:asciiTheme="minorHAnsi" w:hAnsiTheme="minorHAnsi" w:cstheme="minorHAnsi"/>
                <w:b/>
                <w:lang w:val="el-GR"/>
              </w:rPr>
              <w:t xml:space="preserve"> : </w:t>
            </w:r>
            <w:r w:rsidRPr="00466073">
              <w:rPr>
                <w:rFonts w:asciiTheme="minorHAnsi" w:hAnsiTheme="minorHAnsi" w:cstheme="minorHAnsi"/>
                <w:lang w:val="el-GR"/>
              </w:rPr>
              <w:t>Δίοδοι, κρυσταλ</w:t>
            </w:r>
            <w:r w:rsidR="009B7E1E" w:rsidRPr="00466073">
              <w:rPr>
                <w:rFonts w:asciiTheme="minorHAnsi" w:hAnsiTheme="minorHAnsi" w:cstheme="minorHAnsi"/>
                <w:lang w:val="el-GR"/>
              </w:rPr>
              <w:t xml:space="preserve">λολυχνίες και παρόμοιες διατάξεις με ημιαγωγό – συμπεριλαμβάνονται </w:t>
            </w:r>
            <w:proofErr w:type="spellStart"/>
            <w:r w:rsidR="009B7E1E" w:rsidRPr="00466073">
              <w:rPr>
                <w:rFonts w:asciiTheme="minorHAnsi" w:hAnsiTheme="minorHAnsi" w:cstheme="minorHAnsi"/>
                <w:lang w:val="el-GR"/>
              </w:rPr>
              <w:t>φωτοβολταϊκά</w:t>
            </w:r>
            <w:proofErr w:type="spellEnd"/>
            <w:r w:rsidR="009B7E1E" w:rsidRPr="00466073">
              <w:rPr>
                <w:rFonts w:asciiTheme="minorHAnsi" w:hAnsiTheme="minorHAnsi" w:cstheme="minorHAnsi"/>
                <w:lang w:val="el-GR"/>
              </w:rPr>
              <w:t xml:space="preserve"> κύτταρα σε αυτοτελείς μονάδες ή κατασκευασμένα σε πλάκες.</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51759" w:rsidRPr="00466073" w:rsidRDefault="009B7E1E" w:rsidP="009B7E1E">
            <w:pPr>
              <w:spacing w:before="100" w:beforeAutospacing="1" w:after="100" w:afterAutospacing="1"/>
              <w:jc w:val="right"/>
              <w:rPr>
                <w:rFonts w:asciiTheme="minorHAnsi" w:hAnsiTheme="minorHAnsi" w:cstheme="minorHAnsi"/>
                <w:color w:val="3C3C3C"/>
                <w:shd w:val="clear" w:color="auto" w:fill="FFFFFF"/>
                <w:lang w:val="el-GR"/>
              </w:rPr>
            </w:pPr>
            <w:r w:rsidRPr="00466073">
              <w:rPr>
                <w:rFonts w:asciiTheme="minorHAnsi" w:hAnsiTheme="minorHAnsi" w:cstheme="minorHAnsi"/>
                <w:color w:val="3C3C3C"/>
              </w:rPr>
              <w:t>1</w:t>
            </w:r>
            <w:r w:rsidRPr="00466073">
              <w:rPr>
                <w:rFonts w:asciiTheme="minorHAnsi" w:hAnsiTheme="minorHAnsi" w:cstheme="minorHAnsi"/>
                <w:color w:val="3C3C3C"/>
                <w:lang w:val="el-GR"/>
              </w:rPr>
              <w:t>.</w:t>
            </w:r>
            <w:r w:rsidRPr="00466073">
              <w:rPr>
                <w:rFonts w:asciiTheme="minorHAnsi" w:hAnsiTheme="minorHAnsi" w:cstheme="minorHAnsi"/>
                <w:color w:val="3C3C3C"/>
              </w:rPr>
              <w:t>758</w:t>
            </w:r>
            <w:r w:rsidRPr="00466073">
              <w:rPr>
                <w:rFonts w:asciiTheme="minorHAnsi" w:hAnsiTheme="minorHAnsi" w:cstheme="minorHAnsi"/>
                <w:color w:val="3C3C3C"/>
                <w:lang w:val="el-GR"/>
              </w:rPr>
              <w:t>.</w:t>
            </w:r>
            <w:r w:rsidRPr="00466073">
              <w:rPr>
                <w:rFonts w:asciiTheme="minorHAnsi" w:hAnsiTheme="minorHAnsi" w:cstheme="minorHAnsi"/>
                <w:color w:val="3C3C3C"/>
              </w:rPr>
              <w:t>295</w:t>
            </w:r>
            <w:r w:rsidRPr="00466073">
              <w:rPr>
                <w:rFonts w:asciiTheme="minorHAnsi" w:hAnsiTheme="minorHAnsi" w:cstheme="minorHAnsi"/>
                <w:color w:val="3C3C3C"/>
                <w:lang w:val="el-GR"/>
              </w:rPr>
              <w:t>.</w:t>
            </w:r>
            <w:r w:rsidR="006D3D64" w:rsidRPr="00466073">
              <w:rPr>
                <w:rFonts w:asciiTheme="minorHAnsi" w:hAnsiTheme="minorHAnsi" w:cstheme="minorHAnsi"/>
                <w:color w:val="3C3C3C"/>
              </w:rPr>
              <w:t>510</w:t>
            </w:r>
          </w:p>
        </w:tc>
      </w:tr>
      <w:tr w:rsidR="00251759" w:rsidRPr="00466073" w:rsidTr="009902A0">
        <w:tc>
          <w:tcPr>
            <w:tcW w:w="8010" w:type="dxa"/>
            <w:tcBorders>
              <w:top w:val="single" w:sz="8" w:space="0" w:color="auto"/>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251759" w:rsidP="00386569">
            <w:pPr>
              <w:spacing w:before="100" w:beforeAutospacing="1" w:after="100" w:afterAutospacing="1"/>
              <w:jc w:val="right"/>
              <w:rPr>
                <w:rFonts w:asciiTheme="minorHAnsi" w:hAnsiTheme="minorHAnsi" w:cstheme="minorHAnsi"/>
                <w:b/>
                <w:lang w:val="el-GR"/>
              </w:rPr>
            </w:pPr>
            <w:r w:rsidRPr="00466073">
              <w:rPr>
                <w:rFonts w:asciiTheme="minorHAnsi" w:hAnsiTheme="minorHAnsi" w:cstheme="minorHAnsi"/>
                <w:lang w:val="el-GR"/>
              </w:rPr>
              <w:t>ΜΕΡΙΚΟ ΣΥΝΟΛΟ (23,59%</w:t>
            </w:r>
            <w:r w:rsidRPr="00466073">
              <w:rPr>
                <w:rFonts w:asciiTheme="minorHAnsi" w:hAnsiTheme="minorHAnsi" w:cstheme="minorHAnsi"/>
              </w:rPr>
              <w:t>)</w:t>
            </w:r>
          </w:p>
        </w:tc>
        <w:tc>
          <w:tcPr>
            <w:tcW w:w="1890" w:type="dxa"/>
            <w:tcBorders>
              <w:top w:val="nil"/>
              <w:left w:val="double" w:sz="4" w:space="0" w:color="auto"/>
              <w:bottom w:val="single" w:sz="8" w:space="0" w:color="auto"/>
              <w:right w:val="double" w:sz="4" w:space="0" w:color="auto"/>
            </w:tcBorders>
            <w:tcMar>
              <w:top w:w="0" w:type="dxa"/>
              <w:left w:w="108" w:type="dxa"/>
              <w:bottom w:w="0" w:type="dxa"/>
              <w:right w:w="108" w:type="dxa"/>
            </w:tcMar>
          </w:tcPr>
          <w:p w:rsidR="00251759" w:rsidRPr="00466073" w:rsidRDefault="009B7E1E" w:rsidP="009902A0">
            <w:pPr>
              <w:jc w:val="right"/>
              <w:rPr>
                <w:rFonts w:asciiTheme="minorHAnsi" w:hAnsiTheme="minorHAnsi" w:cstheme="minorHAnsi"/>
                <w:lang w:val="el-GR"/>
              </w:rPr>
            </w:pPr>
            <w:r w:rsidRPr="00466073">
              <w:rPr>
                <w:rFonts w:asciiTheme="minorHAnsi" w:hAnsiTheme="minorHAnsi" w:cstheme="minorHAnsi"/>
              </w:rPr>
              <w:t>31</w:t>
            </w:r>
            <w:r w:rsidR="009B5C61" w:rsidRPr="00466073">
              <w:rPr>
                <w:rFonts w:asciiTheme="minorHAnsi" w:hAnsiTheme="minorHAnsi" w:cstheme="minorHAnsi"/>
              </w:rPr>
              <w:t>.176.117.177</w:t>
            </w:r>
          </w:p>
        </w:tc>
      </w:tr>
      <w:tr w:rsidR="00251759" w:rsidRPr="00466073" w:rsidTr="009902A0">
        <w:tc>
          <w:tcPr>
            <w:tcW w:w="8010" w:type="dxa"/>
            <w:tcBorders>
              <w:top w:val="single" w:sz="8" w:space="0" w:color="auto"/>
              <w:left w:val="double" w:sz="4" w:space="0" w:color="auto"/>
              <w:bottom w:val="double" w:sz="4" w:space="0" w:color="auto"/>
              <w:right w:val="double" w:sz="4" w:space="0" w:color="auto"/>
            </w:tcBorders>
            <w:tcMar>
              <w:top w:w="0" w:type="dxa"/>
              <w:left w:w="108" w:type="dxa"/>
              <w:bottom w:w="0" w:type="dxa"/>
              <w:right w:w="108" w:type="dxa"/>
            </w:tcMar>
          </w:tcPr>
          <w:p w:rsidR="00251759" w:rsidRPr="00466073" w:rsidRDefault="00251759" w:rsidP="0031008D">
            <w:pPr>
              <w:spacing w:before="100" w:beforeAutospacing="1" w:after="100" w:afterAutospacing="1"/>
              <w:jc w:val="right"/>
              <w:rPr>
                <w:rFonts w:asciiTheme="minorHAnsi" w:hAnsiTheme="minorHAnsi" w:cstheme="minorHAnsi"/>
                <w:lang w:val="el-GR"/>
              </w:rPr>
            </w:pPr>
            <w:r w:rsidRPr="00466073">
              <w:rPr>
                <w:rFonts w:asciiTheme="minorHAnsi" w:hAnsiTheme="minorHAnsi" w:cstheme="minorHAnsi"/>
                <w:lang w:val="el-GR"/>
              </w:rPr>
              <w:t>ΥΠΟΛΟΙΠΟ</w:t>
            </w:r>
          </w:p>
        </w:tc>
        <w:tc>
          <w:tcPr>
            <w:tcW w:w="1890" w:type="dxa"/>
            <w:tcBorders>
              <w:top w:val="nil"/>
              <w:left w:val="double" w:sz="4" w:space="0" w:color="auto"/>
              <w:bottom w:val="double" w:sz="4" w:space="0" w:color="auto"/>
              <w:right w:val="double" w:sz="4" w:space="0" w:color="auto"/>
            </w:tcBorders>
            <w:tcMar>
              <w:top w:w="0" w:type="dxa"/>
              <w:left w:w="108" w:type="dxa"/>
              <w:bottom w:w="0" w:type="dxa"/>
              <w:right w:w="108" w:type="dxa"/>
            </w:tcMar>
          </w:tcPr>
          <w:p w:rsidR="00251759" w:rsidRPr="00466073" w:rsidRDefault="009B5C61" w:rsidP="0031008D">
            <w:pPr>
              <w:spacing w:before="100" w:beforeAutospacing="1" w:after="100" w:afterAutospacing="1"/>
              <w:jc w:val="right"/>
              <w:rPr>
                <w:rFonts w:asciiTheme="minorHAnsi" w:hAnsiTheme="minorHAnsi" w:cstheme="minorHAnsi"/>
              </w:rPr>
            </w:pPr>
            <w:r w:rsidRPr="00466073">
              <w:rPr>
                <w:rFonts w:asciiTheme="minorHAnsi" w:hAnsiTheme="minorHAnsi" w:cstheme="minorHAnsi"/>
              </w:rPr>
              <w:t>119</w:t>
            </w:r>
            <w:r w:rsidRPr="00466073">
              <w:rPr>
                <w:rFonts w:asciiTheme="minorHAnsi" w:hAnsiTheme="minorHAnsi" w:cstheme="minorHAnsi"/>
                <w:lang w:val="el-GR"/>
              </w:rPr>
              <w:t>.</w:t>
            </w:r>
            <w:r w:rsidRPr="00466073">
              <w:rPr>
                <w:rFonts w:asciiTheme="minorHAnsi" w:hAnsiTheme="minorHAnsi" w:cstheme="minorHAnsi"/>
              </w:rPr>
              <w:t>605</w:t>
            </w:r>
            <w:r w:rsidRPr="00466073">
              <w:rPr>
                <w:rFonts w:asciiTheme="minorHAnsi" w:hAnsiTheme="minorHAnsi" w:cstheme="minorHAnsi"/>
                <w:lang w:val="el-GR"/>
              </w:rPr>
              <w:t>.</w:t>
            </w:r>
            <w:r w:rsidRPr="00466073">
              <w:rPr>
                <w:rFonts w:asciiTheme="minorHAnsi" w:hAnsiTheme="minorHAnsi" w:cstheme="minorHAnsi"/>
              </w:rPr>
              <w:t>007</w:t>
            </w:r>
            <w:r w:rsidR="00251759" w:rsidRPr="00466073">
              <w:rPr>
                <w:rFonts w:asciiTheme="minorHAnsi" w:hAnsiTheme="minorHAnsi" w:cstheme="minorHAnsi"/>
                <w:lang w:val="el-GR"/>
              </w:rPr>
              <w:t>.</w:t>
            </w:r>
            <w:r w:rsidRPr="00466073">
              <w:rPr>
                <w:rFonts w:asciiTheme="minorHAnsi" w:hAnsiTheme="minorHAnsi" w:cstheme="minorHAnsi"/>
              </w:rPr>
              <w:t>132</w:t>
            </w:r>
          </w:p>
        </w:tc>
      </w:tr>
      <w:tr w:rsidR="00251759" w:rsidRPr="00466073" w:rsidTr="009902A0">
        <w:tc>
          <w:tcPr>
            <w:tcW w:w="801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tcPr>
          <w:p w:rsidR="00251759" w:rsidRPr="00466073" w:rsidRDefault="00251759" w:rsidP="009B7E1E">
            <w:pPr>
              <w:spacing w:before="100" w:beforeAutospacing="1" w:after="100" w:afterAutospacing="1"/>
              <w:jc w:val="right"/>
              <w:rPr>
                <w:rFonts w:asciiTheme="minorHAnsi" w:hAnsiTheme="minorHAnsi" w:cstheme="minorHAnsi"/>
                <w:b/>
                <w:lang w:val="el-GR"/>
              </w:rPr>
            </w:pPr>
            <w:r w:rsidRPr="00466073">
              <w:rPr>
                <w:rFonts w:asciiTheme="minorHAnsi" w:hAnsiTheme="minorHAnsi" w:cstheme="minorHAnsi"/>
                <w:b/>
                <w:lang w:val="el-GR"/>
              </w:rPr>
              <w:t>ΣΥΝΟΛΟ</w:t>
            </w:r>
          </w:p>
        </w:tc>
        <w:tc>
          <w:tcPr>
            <w:tcW w:w="189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0" w:type="dxa"/>
              <w:left w:w="108" w:type="dxa"/>
              <w:bottom w:w="0" w:type="dxa"/>
              <w:right w:w="108" w:type="dxa"/>
            </w:tcMar>
          </w:tcPr>
          <w:p w:rsidR="00251759" w:rsidRPr="00466073" w:rsidRDefault="009B7E1E" w:rsidP="00386569">
            <w:pPr>
              <w:spacing w:before="100" w:beforeAutospacing="1" w:after="100" w:afterAutospacing="1"/>
              <w:jc w:val="center"/>
              <w:rPr>
                <w:rFonts w:asciiTheme="minorHAnsi" w:hAnsiTheme="minorHAnsi" w:cstheme="minorHAnsi"/>
                <w:b/>
                <w:lang w:val="el-GR"/>
              </w:rPr>
            </w:pPr>
            <w:r w:rsidRPr="00466073">
              <w:rPr>
                <w:rFonts w:asciiTheme="minorHAnsi" w:hAnsiTheme="minorHAnsi" w:cstheme="minorHAnsi"/>
                <w:b/>
                <w:lang w:val="el-GR"/>
              </w:rPr>
              <w:t>150.781.194.309</w:t>
            </w:r>
          </w:p>
        </w:tc>
      </w:tr>
    </w:tbl>
    <w:p w:rsidR="00307AF2" w:rsidRPr="00466073" w:rsidRDefault="00307AF2" w:rsidP="00307AF2">
      <w:pPr>
        <w:ind w:left="630" w:hanging="630"/>
        <w:jc w:val="both"/>
        <w:rPr>
          <w:rFonts w:asciiTheme="minorHAnsi" w:hAnsiTheme="minorHAnsi" w:cstheme="minorHAnsi"/>
          <w:lang w:val="el-GR"/>
        </w:rPr>
      </w:pPr>
      <w:r w:rsidRPr="00466073">
        <w:rPr>
          <w:rFonts w:asciiTheme="minorHAnsi" w:hAnsiTheme="minorHAnsi" w:cstheme="minorHAnsi"/>
          <w:u w:val="single"/>
          <w:lang w:val="el-GR"/>
        </w:rPr>
        <w:t>Πηγές</w:t>
      </w:r>
      <w:r w:rsidRPr="00466073">
        <w:rPr>
          <w:rFonts w:asciiTheme="minorHAnsi" w:hAnsiTheme="minorHAnsi" w:cstheme="minorHAnsi"/>
          <w:lang w:val="el-GR"/>
        </w:rPr>
        <w:t>: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5845DB" w:rsidRPr="00466073" w:rsidRDefault="005845DB" w:rsidP="007D6B64">
      <w:pPr>
        <w:jc w:val="both"/>
        <w:rPr>
          <w:rFonts w:asciiTheme="minorHAnsi" w:hAnsiTheme="minorHAnsi" w:cstheme="minorHAnsi"/>
          <w:lang w:val="el-GR"/>
        </w:rPr>
      </w:pPr>
    </w:p>
    <w:p w:rsidR="0083314A" w:rsidRPr="00466073" w:rsidRDefault="0083314A" w:rsidP="005845DB">
      <w:pPr>
        <w:jc w:val="both"/>
        <w:rPr>
          <w:rFonts w:asciiTheme="minorHAnsi" w:hAnsiTheme="minorHAnsi" w:cstheme="minorHAnsi"/>
          <w:lang w:val="el-GR"/>
        </w:rPr>
      </w:pPr>
    </w:p>
    <w:p w:rsidR="005845DB" w:rsidRPr="00466073" w:rsidRDefault="005845DB" w:rsidP="005845DB">
      <w:pPr>
        <w:jc w:val="both"/>
        <w:rPr>
          <w:rFonts w:asciiTheme="minorHAnsi" w:hAnsiTheme="minorHAnsi" w:cstheme="minorHAnsi"/>
          <w:lang w:val="el-GR"/>
        </w:rPr>
      </w:pPr>
      <w:r w:rsidRPr="00466073">
        <w:rPr>
          <w:rFonts w:asciiTheme="minorHAnsi" w:hAnsiTheme="minorHAnsi" w:cstheme="minorHAnsi"/>
          <w:lang w:val="el-GR"/>
        </w:rPr>
        <w:t>Τα δέκα πρώτα σε αξία εισαγόμενα στην Ουγγαρία προϊόντα</w:t>
      </w:r>
      <w:r w:rsidR="009B5C61" w:rsidRPr="00466073">
        <w:rPr>
          <w:rFonts w:asciiTheme="minorHAnsi" w:hAnsiTheme="minorHAnsi" w:cstheme="minorHAnsi"/>
          <w:lang w:val="el-GR"/>
        </w:rPr>
        <w:t>, συνθέτουν το 20,7</w:t>
      </w:r>
      <w:r w:rsidRPr="00466073">
        <w:rPr>
          <w:rFonts w:asciiTheme="minorHAnsi" w:hAnsiTheme="minorHAnsi" w:cstheme="minorHAnsi"/>
          <w:lang w:val="el-GR"/>
        </w:rPr>
        <w:t>% της συνολικής αξίας των εισαγωγών της χώρας</w:t>
      </w:r>
      <w:r w:rsidR="00CE298F" w:rsidRPr="00466073">
        <w:rPr>
          <w:rFonts w:asciiTheme="minorHAnsi" w:hAnsiTheme="minorHAnsi" w:cstheme="minorHAnsi"/>
          <w:lang w:val="el-GR"/>
        </w:rPr>
        <w:t>.</w:t>
      </w:r>
      <w:r w:rsidRPr="00466073">
        <w:rPr>
          <w:rFonts w:asciiTheme="minorHAnsi" w:hAnsiTheme="minorHAnsi" w:cstheme="minorHAnsi"/>
          <w:lang w:val="el-GR"/>
        </w:rPr>
        <w:t xml:space="preserve"> </w:t>
      </w:r>
    </w:p>
    <w:p w:rsidR="009B5C61" w:rsidRPr="00466073" w:rsidRDefault="009B5C61" w:rsidP="005845DB">
      <w:pPr>
        <w:jc w:val="both"/>
        <w:rPr>
          <w:rFonts w:asciiTheme="minorHAnsi" w:hAnsiTheme="minorHAnsi" w:cstheme="minorHAnsi"/>
          <w:lang w:val="el-GR"/>
        </w:rPr>
      </w:pPr>
    </w:p>
    <w:p w:rsidR="009B5C61" w:rsidRPr="00466073" w:rsidRDefault="009B5C61" w:rsidP="005845DB">
      <w:pPr>
        <w:jc w:val="both"/>
        <w:rPr>
          <w:rFonts w:asciiTheme="minorHAnsi" w:hAnsiTheme="minorHAnsi" w:cstheme="minorHAnsi"/>
          <w:lang w:val="el-GR"/>
        </w:rPr>
      </w:pPr>
    </w:p>
    <w:p w:rsidR="009B5C61" w:rsidRPr="00466073" w:rsidRDefault="009B5C61" w:rsidP="005845DB">
      <w:pPr>
        <w:jc w:val="both"/>
        <w:rPr>
          <w:rFonts w:asciiTheme="minorHAnsi" w:hAnsiTheme="minorHAnsi" w:cstheme="minorHAnsi"/>
          <w:lang w:val="el-GR"/>
        </w:rPr>
      </w:pPr>
    </w:p>
    <w:p w:rsidR="009B5C61" w:rsidRPr="00466073" w:rsidRDefault="009B5C61" w:rsidP="005845DB">
      <w:pPr>
        <w:jc w:val="both"/>
        <w:rPr>
          <w:rFonts w:asciiTheme="minorHAnsi" w:hAnsiTheme="minorHAnsi" w:cstheme="minorHAnsi"/>
        </w:rPr>
      </w:pPr>
      <w:r w:rsidRPr="00466073">
        <w:rPr>
          <w:rFonts w:asciiTheme="minorHAnsi" w:hAnsiTheme="minorHAnsi" w:cstheme="minorHAnsi"/>
          <w:noProof/>
        </w:rPr>
        <w:drawing>
          <wp:inline distT="0" distB="0" distL="0" distR="0">
            <wp:extent cx="5970965" cy="2863969"/>
            <wp:effectExtent l="19050" t="0" r="1073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D2699" w:rsidRPr="00466073" w:rsidRDefault="009D2699" w:rsidP="009B5C61">
      <w:pPr>
        <w:widowControl w:val="0"/>
        <w:autoSpaceDE w:val="0"/>
        <w:autoSpaceDN w:val="0"/>
        <w:adjustRightInd w:val="0"/>
        <w:spacing w:line="233" w:lineRule="auto"/>
        <w:rPr>
          <w:rFonts w:asciiTheme="minorHAnsi" w:hAnsiTheme="minorHAnsi" w:cstheme="minorHAnsi"/>
          <w:u w:val="single"/>
        </w:rPr>
      </w:pPr>
    </w:p>
    <w:p w:rsidR="009B5C61" w:rsidRPr="00466073" w:rsidRDefault="009B5C61" w:rsidP="009B5C61">
      <w:pPr>
        <w:widowControl w:val="0"/>
        <w:autoSpaceDE w:val="0"/>
        <w:autoSpaceDN w:val="0"/>
        <w:adjustRightInd w:val="0"/>
        <w:spacing w:line="233" w:lineRule="auto"/>
        <w:rPr>
          <w:rFonts w:asciiTheme="minorHAnsi" w:hAnsiTheme="minorHAnsi" w:cstheme="minorHAnsi"/>
          <w:bCs/>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 xml:space="preserve">. </w:t>
      </w:r>
    </w:p>
    <w:p w:rsidR="009B5C61" w:rsidRPr="00466073" w:rsidRDefault="009B5C61" w:rsidP="005845DB">
      <w:pPr>
        <w:jc w:val="both"/>
        <w:rPr>
          <w:rFonts w:asciiTheme="minorHAnsi" w:hAnsiTheme="minorHAnsi" w:cstheme="minorHAnsi"/>
          <w:lang w:val="el-GR"/>
        </w:rPr>
      </w:pPr>
    </w:p>
    <w:p w:rsidR="00B03131" w:rsidRPr="00466073" w:rsidRDefault="00B03131" w:rsidP="00BB3414">
      <w:pPr>
        <w:jc w:val="both"/>
        <w:rPr>
          <w:rFonts w:asciiTheme="minorHAnsi" w:hAnsiTheme="minorHAnsi" w:cstheme="minorHAnsi"/>
          <w:lang w:val="el-GR"/>
        </w:rPr>
      </w:pPr>
    </w:p>
    <w:p w:rsidR="00305741" w:rsidRPr="00466073" w:rsidRDefault="00305741" w:rsidP="007D6B64">
      <w:pPr>
        <w:jc w:val="both"/>
        <w:rPr>
          <w:rFonts w:asciiTheme="minorHAnsi" w:hAnsiTheme="minorHAnsi" w:cstheme="minorHAnsi"/>
          <w:lang w:val="el-GR"/>
        </w:rPr>
      </w:pPr>
    </w:p>
    <w:p w:rsidR="00BB3414" w:rsidRPr="00466073" w:rsidRDefault="0009648A" w:rsidP="007D6B64">
      <w:pPr>
        <w:jc w:val="both"/>
        <w:rPr>
          <w:rFonts w:asciiTheme="minorHAnsi" w:hAnsiTheme="minorHAnsi" w:cstheme="minorHAnsi"/>
          <w:color w:val="FF0000"/>
          <w:lang w:val="el-GR"/>
        </w:rPr>
      </w:pPr>
      <w:r w:rsidRPr="00466073">
        <w:rPr>
          <w:rFonts w:asciiTheme="minorHAnsi" w:hAnsiTheme="minorHAnsi" w:cstheme="minorHAnsi"/>
          <w:lang w:val="el-GR"/>
        </w:rPr>
        <w:lastRenderedPageBreak/>
        <w:t xml:space="preserve">Όπως και στις εξαγωγές, έτσι και στις εισαγωγές, τη μερίδα του λέοντος κατέχουν ο μηχανολογικός εξοπλισμός, τα οχήματα και τα βιομηχανικά είδη. Αυτό απεικονίζεται καθαρά στο ανωτέρω γράφημα. </w:t>
      </w:r>
    </w:p>
    <w:p w:rsidR="00BB3414" w:rsidRPr="00466073" w:rsidRDefault="00BB3414" w:rsidP="007D6B64">
      <w:pPr>
        <w:jc w:val="both"/>
        <w:rPr>
          <w:rFonts w:asciiTheme="minorHAnsi" w:hAnsiTheme="minorHAnsi" w:cstheme="minorHAnsi"/>
          <w:lang w:val="el-GR"/>
        </w:rPr>
      </w:pPr>
    </w:p>
    <w:p w:rsidR="000254FA" w:rsidRPr="00466073" w:rsidRDefault="005B7942" w:rsidP="007D6B64">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Σημαντικότερ</w:t>
      </w:r>
      <w:r w:rsidR="0026290F" w:rsidRPr="00466073">
        <w:rPr>
          <w:rFonts w:asciiTheme="minorHAnsi" w:hAnsiTheme="minorHAnsi" w:cstheme="minorHAnsi"/>
          <w:color w:val="000000" w:themeColor="text1"/>
          <w:lang w:val="el-GR"/>
        </w:rPr>
        <w:t>η</w:t>
      </w:r>
      <w:r w:rsidRPr="00466073">
        <w:rPr>
          <w:rFonts w:asciiTheme="minorHAnsi" w:hAnsiTheme="minorHAnsi" w:cstheme="minorHAnsi"/>
          <w:color w:val="000000" w:themeColor="text1"/>
          <w:lang w:val="el-GR"/>
        </w:rPr>
        <w:t xml:space="preserve"> χώρ</w:t>
      </w:r>
      <w:r w:rsidR="0026290F" w:rsidRPr="00466073">
        <w:rPr>
          <w:rFonts w:asciiTheme="minorHAnsi" w:hAnsiTheme="minorHAnsi" w:cstheme="minorHAnsi"/>
          <w:color w:val="000000" w:themeColor="text1"/>
          <w:lang w:val="el-GR"/>
        </w:rPr>
        <w:t>α</w:t>
      </w:r>
      <w:r w:rsidRPr="00466073">
        <w:rPr>
          <w:rFonts w:asciiTheme="minorHAnsi" w:hAnsiTheme="minorHAnsi" w:cstheme="minorHAnsi"/>
          <w:color w:val="000000" w:themeColor="text1"/>
          <w:lang w:val="el-GR"/>
        </w:rPr>
        <w:t xml:space="preserve"> από τ</w:t>
      </w:r>
      <w:r w:rsidR="0026290F" w:rsidRPr="00466073">
        <w:rPr>
          <w:rFonts w:asciiTheme="minorHAnsi" w:hAnsiTheme="minorHAnsi" w:cstheme="minorHAnsi"/>
          <w:color w:val="000000" w:themeColor="text1"/>
          <w:lang w:val="el-GR"/>
        </w:rPr>
        <w:t>ην</w:t>
      </w:r>
      <w:r w:rsidRPr="00466073">
        <w:rPr>
          <w:rFonts w:asciiTheme="minorHAnsi" w:hAnsiTheme="minorHAnsi" w:cstheme="minorHAnsi"/>
          <w:color w:val="000000" w:themeColor="text1"/>
          <w:lang w:val="el-GR"/>
        </w:rPr>
        <w:t xml:space="preserve"> οποί</w:t>
      </w:r>
      <w:r w:rsidR="0026290F" w:rsidRPr="00466073">
        <w:rPr>
          <w:rFonts w:asciiTheme="minorHAnsi" w:hAnsiTheme="minorHAnsi" w:cstheme="minorHAnsi"/>
          <w:color w:val="000000" w:themeColor="text1"/>
          <w:lang w:val="el-GR"/>
        </w:rPr>
        <w:t>α</w:t>
      </w:r>
      <w:r w:rsidRPr="00466073">
        <w:rPr>
          <w:rFonts w:asciiTheme="minorHAnsi" w:hAnsiTheme="minorHAnsi" w:cstheme="minorHAnsi"/>
          <w:color w:val="000000" w:themeColor="text1"/>
          <w:lang w:val="el-GR"/>
        </w:rPr>
        <w:t xml:space="preserve"> προμηθεύεται προϊόντα η Ουγγαρία, παραμέν</w:t>
      </w:r>
      <w:r w:rsidR="0026290F" w:rsidRPr="00466073">
        <w:rPr>
          <w:rFonts w:asciiTheme="minorHAnsi" w:hAnsiTheme="minorHAnsi" w:cstheme="minorHAnsi"/>
          <w:color w:val="000000" w:themeColor="text1"/>
          <w:lang w:val="el-GR"/>
        </w:rPr>
        <w:t>ει</w:t>
      </w:r>
      <w:r w:rsidRPr="00466073">
        <w:rPr>
          <w:rFonts w:asciiTheme="minorHAnsi" w:hAnsiTheme="minorHAnsi" w:cstheme="minorHAnsi"/>
          <w:color w:val="000000" w:themeColor="text1"/>
          <w:lang w:val="el-GR"/>
        </w:rPr>
        <w:t xml:space="preserve"> και για το 20</w:t>
      </w:r>
      <w:r w:rsidR="0099655F" w:rsidRPr="00466073">
        <w:rPr>
          <w:rFonts w:asciiTheme="minorHAnsi" w:hAnsiTheme="minorHAnsi" w:cstheme="minorHAnsi"/>
          <w:color w:val="000000" w:themeColor="text1"/>
          <w:lang w:val="el-GR"/>
        </w:rPr>
        <w:t>22</w:t>
      </w:r>
      <w:r w:rsidRPr="00466073">
        <w:rPr>
          <w:rFonts w:asciiTheme="minorHAnsi" w:hAnsiTheme="minorHAnsi" w:cstheme="minorHAnsi"/>
          <w:color w:val="000000" w:themeColor="text1"/>
          <w:lang w:val="el-GR"/>
        </w:rPr>
        <w:t xml:space="preserve"> </w:t>
      </w:r>
      <w:r w:rsidR="0026290F" w:rsidRPr="00466073">
        <w:rPr>
          <w:rFonts w:asciiTheme="minorHAnsi" w:hAnsiTheme="minorHAnsi" w:cstheme="minorHAnsi"/>
          <w:color w:val="000000" w:themeColor="text1"/>
          <w:lang w:val="el-GR"/>
        </w:rPr>
        <w:t xml:space="preserve">η </w:t>
      </w:r>
      <w:r w:rsidRPr="00466073">
        <w:rPr>
          <w:rFonts w:asciiTheme="minorHAnsi" w:hAnsiTheme="minorHAnsi" w:cstheme="minorHAnsi"/>
          <w:b/>
          <w:color w:val="000000" w:themeColor="text1"/>
          <w:lang w:val="el-GR"/>
        </w:rPr>
        <w:t>Γερμανία</w:t>
      </w:r>
      <w:r w:rsidR="0026290F" w:rsidRPr="00466073">
        <w:rPr>
          <w:rFonts w:asciiTheme="minorHAnsi" w:hAnsiTheme="minorHAnsi" w:cstheme="minorHAnsi"/>
          <w:color w:val="000000" w:themeColor="text1"/>
          <w:lang w:val="el-GR"/>
        </w:rPr>
        <w:t xml:space="preserve"> με ποσοστό </w:t>
      </w:r>
      <w:r w:rsidR="00816210" w:rsidRPr="00466073">
        <w:rPr>
          <w:rFonts w:asciiTheme="minorHAnsi" w:hAnsiTheme="minorHAnsi" w:cstheme="minorHAnsi"/>
          <w:b/>
          <w:color w:val="000000" w:themeColor="text1"/>
          <w:lang w:val="el-GR"/>
        </w:rPr>
        <w:t>2</w:t>
      </w:r>
      <w:r w:rsidR="0099655F" w:rsidRPr="00466073">
        <w:rPr>
          <w:rFonts w:asciiTheme="minorHAnsi" w:hAnsiTheme="minorHAnsi" w:cstheme="minorHAnsi"/>
          <w:b/>
          <w:color w:val="000000" w:themeColor="text1"/>
          <w:lang w:val="el-GR"/>
        </w:rPr>
        <w:t>1</w:t>
      </w:r>
      <w:r w:rsidR="00816210" w:rsidRPr="00466073">
        <w:rPr>
          <w:rFonts w:asciiTheme="minorHAnsi" w:hAnsiTheme="minorHAnsi" w:cstheme="minorHAnsi"/>
          <w:b/>
          <w:color w:val="000000" w:themeColor="text1"/>
          <w:lang w:val="el-GR"/>
        </w:rPr>
        <w:t>,</w:t>
      </w:r>
      <w:r w:rsidR="0099655F" w:rsidRPr="00466073">
        <w:rPr>
          <w:rFonts w:asciiTheme="minorHAnsi" w:hAnsiTheme="minorHAnsi" w:cstheme="minorHAnsi"/>
          <w:b/>
          <w:color w:val="000000" w:themeColor="text1"/>
          <w:lang w:val="el-GR"/>
        </w:rPr>
        <w:t>19</w:t>
      </w:r>
      <w:r w:rsidR="0026290F" w:rsidRPr="00466073">
        <w:rPr>
          <w:rFonts w:asciiTheme="minorHAnsi" w:hAnsiTheme="minorHAnsi" w:cstheme="minorHAnsi"/>
          <w:b/>
          <w:color w:val="000000" w:themeColor="text1"/>
          <w:lang w:val="el-GR"/>
        </w:rPr>
        <w:t>%</w:t>
      </w:r>
      <w:r w:rsidR="0026290F" w:rsidRPr="00466073">
        <w:rPr>
          <w:rFonts w:asciiTheme="minorHAnsi" w:hAnsiTheme="minorHAnsi" w:cstheme="minorHAnsi"/>
          <w:color w:val="000000" w:themeColor="text1"/>
          <w:lang w:val="el-GR"/>
        </w:rPr>
        <w:t xml:space="preserve">. </w:t>
      </w:r>
      <w:r w:rsidR="0099655F" w:rsidRPr="00466073">
        <w:rPr>
          <w:rFonts w:asciiTheme="minorHAnsi" w:hAnsiTheme="minorHAnsi" w:cstheme="minorHAnsi"/>
          <w:color w:val="000000" w:themeColor="text1"/>
          <w:lang w:val="el-GR"/>
        </w:rPr>
        <w:t>Ακολουθούν: Αυστρία (7,18%), Κίνα (6,78%), - σημειώνουμε ότι η Κίνα, την τριετία 2019 – 2021 καταλάμβανε την 2</w:t>
      </w:r>
      <w:r w:rsidR="0099655F" w:rsidRPr="00466073">
        <w:rPr>
          <w:rFonts w:asciiTheme="minorHAnsi" w:hAnsiTheme="minorHAnsi" w:cstheme="minorHAnsi"/>
          <w:color w:val="000000" w:themeColor="text1"/>
          <w:vertAlign w:val="superscript"/>
          <w:lang w:val="el-GR"/>
        </w:rPr>
        <w:t>η</w:t>
      </w:r>
      <w:r w:rsidR="0099655F" w:rsidRPr="00466073">
        <w:rPr>
          <w:rFonts w:asciiTheme="minorHAnsi" w:hAnsiTheme="minorHAnsi" w:cstheme="minorHAnsi"/>
          <w:color w:val="000000" w:themeColor="text1"/>
          <w:lang w:val="el-GR"/>
        </w:rPr>
        <w:t xml:space="preserve"> θέση στους κυριότερους προμηθευτές της Ουγγαρίας -, Σλοβακία (6,65%), Ρωσία (6,14%) – εξαιτίας των μεγάλων ποσοτήτων εισαγωγής ενέργειας - Πολωνία (5,58%), Ολλανδία (4,81%), Τσεχία </w:t>
      </w:r>
      <w:r w:rsidR="006E5A54" w:rsidRPr="00466073">
        <w:rPr>
          <w:rFonts w:asciiTheme="minorHAnsi" w:hAnsiTheme="minorHAnsi" w:cstheme="minorHAnsi"/>
          <w:color w:val="000000" w:themeColor="text1"/>
          <w:lang w:val="el-GR"/>
        </w:rPr>
        <w:t>(4,75</w:t>
      </w:r>
      <w:r w:rsidR="0099655F" w:rsidRPr="00466073">
        <w:rPr>
          <w:rFonts w:asciiTheme="minorHAnsi" w:hAnsiTheme="minorHAnsi" w:cstheme="minorHAnsi"/>
          <w:color w:val="000000" w:themeColor="text1"/>
          <w:lang w:val="el-GR"/>
        </w:rPr>
        <w:t xml:space="preserve">%), Ιταλία, </w:t>
      </w:r>
      <w:r w:rsidR="006E5A54" w:rsidRPr="00466073">
        <w:rPr>
          <w:rFonts w:asciiTheme="minorHAnsi" w:hAnsiTheme="minorHAnsi" w:cstheme="minorHAnsi"/>
          <w:color w:val="000000" w:themeColor="text1"/>
          <w:lang w:val="el-GR"/>
        </w:rPr>
        <w:t xml:space="preserve">Νότια Κορέα, Ρουμανία, Γαλλία. </w:t>
      </w:r>
    </w:p>
    <w:p w:rsidR="000254FA" w:rsidRPr="00466073" w:rsidRDefault="001D13EA" w:rsidP="007D6B64">
      <w:pPr>
        <w:jc w:val="both"/>
        <w:rPr>
          <w:rFonts w:asciiTheme="minorHAnsi" w:hAnsiTheme="minorHAnsi" w:cstheme="minorHAnsi"/>
          <w:color w:val="FF0000"/>
          <w:lang w:val="el-GR"/>
        </w:rPr>
      </w:pPr>
      <w:r w:rsidRPr="00466073">
        <w:rPr>
          <w:rFonts w:asciiTheme="minorHAnsi" w:hAnsiTheme="minorHAnsi" w:cstheme="minorHAnsi"/>
          <w:color w:val="000000" w:themeColor="text1"/>
          <w:lang w:val="el-GR"/>
        </w:rPr>
        <w:t xml:space="preserve">Από την </w:t>
      </w:r>
      <w:r w:rsidRPr="00466073">
        <w:rPr>
          <w:rFonts w:asciiTheme="minorHAnsi" w:hAnsiTheme="minorHAnsi" w:cstheme="minorHAnsi"/>
          <w:b/>
          <w:color w:val="000000" w:themeColor="text1"/>
          <w:lang w:val="el-GR"/>
        </w:rPr>
        <w:t>Ελλάδα</w:t>
      </w:r>
      <w:r w:rsidRPr="00466073">
        <w:rPr>
          <w:rFonts w:asciiTheme="minorHAnsi" w:hAnsiTheme="minorHAnsi" w:cstheme="minorHAnsi"/>
          <w:color w:val="000000" w:themeColor="text1"/>
          <w:lang w:val="el-GR"/>
        </w:rPr>
        <w:t>, η Ουγγαρία, εισήγαγε προϊόντα αξίας €</w:t>
      </w:r>
      <w:r w:rsidR="006E5A54" w:rsidRPr="00466073">
        <w:rPr>
          <w:rFonts w:asciiTheme="minorHAnsi" w:hAnsiTheme="minorHAnsi" w:cstheme="minorHAnsi"/>
          <w:color w:val="000000" w:themeColor="text1"/>
          <w:shd w:val="clear" w:color="auto" w:fill="FFFFFF"/>
          <w:lang w:val="el-GR"/>
        </w:rPr>
        <w:t>215,8</w:t>
      </w:r>
      <w:r w:rsidR="00BB3414" w:rsidRPr="00466073">
        <w:rPr>
          <w:rFonts w:asciiTheme="minorHAnsi" w:hAnsiTheme="minorHAnsi" w:cstheme="minorHAnsi"/>
          <w:color w:val="000000" w:themeColor="text1"/>
          <w:shd w:val="clear" w:color="auto" w:fill="FFFFFF"/>
          <w:lang w:val="el-GR"/>
        </w:rPr>
        <w:t xml:space="preserve"> </w:t>
      </w:r>
      <w:r w:rsidR="00A845B9" w:rsidRPr="00466073">
        <w:rPr>
          <w:rFonts w:asciiTheme="minorHAnsi" w:hAnsiTheme="minorHAnsi" w:cstheme="minorHAnsi"/>
          <w:color w:val="000000" w:themeColor="text1"/>
          <w:lang w:val="el-GR"/>
        </w:rPr>
        <w:t xml:space="preserve">εκ. </w:t>
      </w:r>
      <w:r w:rsidR="00472D3E" w:rsidRPr="00466073">
        <w:rPr>
          <w:rFonts w:asciiTheme="minorHAnsi" w:hAnsiTheme="minorHAnsi" w:cstheme="minorHAnsi"/>
          <w:color w:val="000000" w:themeColor="text1"/>
          <w:lang w:val="el-GR"/>
        </w:rPr>
        <w:t xml:space="preserve">(ποσοστό </w:t>
      </w:r>
      <w:r w:rsidR="00D20D74" w:rsidRPr="00466073">
        <w:rPr>
          <w:rFonts w:asciiTheme="minorHAnsi" w:hAnsiTheme="minorHAnsi" w:cstheme="minorHAnsi"/>
          <w:color w:val="000000" w:themeColor="text1"/>
          <w:lang w:val="el-GR"/>
        </w:rPr>
        <w:t xml:space="preserve">0,14% </w:t>
      </w:r>
      <w:r w:rsidR="00472D3E" w:rsidRPr="00466073">
        <w:rPr>
          <w:rFonts w:asciiTheme="minorHAnsi" w:hAnsiTheme="minorHAnsi" w:cstheme="minorHAnsi"/>
          <w:color w:val="000000" w:themeColor="text1"/>
          <w:lang w:val="el-GR"/>
        </w:rPr>
        <w:t xml:space="preserve">της συνολικής αξίας </w:t>
      </w:r>
      <w:r w:rsidRPr="00466073">
        <w:rPr>
          <w:rFonts w:asciiTheme="minorHAnsi" w:hAnsiTheme="minorHAnsi" w:cstheme="minorHAnsi"/>
          <w:color w:val="000000" w:themeColor="text1"/>
          <w:lang w:val="el-GR"/>
        </w:rPr>
        <w:t xml:space="preserve">των </w:t>
      </w:r>
      <w:r w:rsidR="00472D3E" w:rsidRPr="00466073">
        <w:rPr>
          <w:rFonts w:asciiTheme="minorHAnsi" w:hAnsiTheme="minorHAnsi" w:cstheme="minorHAnsi"/>
          <w:color w:val="000000" w:themeColor="text1"/>
          <w:lang w:val="el-GR"/>
        </w:rPr>
        <w:t>ουγγρικών εισαγωγών</w:t>
      </w:r>
      <w:r w:rsidR="00011B05" w:rsidRPr="00466073">
        <w:rPr>
          <w:rFonts w:asciiTheme="minorHAnsi" w:hAnsiTheme="minorHAnsi" w:cstheme="minorHAnsi"/>
          <w:color w:val="000000" w:themeColor="text1"/>
          <w:lang w:val="el-GR"/>
        </w:rPr>
        <w:t xml:space="preserve">), σημειώνοντας </w:t>
      </w:r>
      <w:r w:rsidR="00011B05" w:rsidRPr="00466073">
        <w:rPr>
          <w:rFonts w:asciiTheme="minorHAnsi" w:hAnsiTheme="minorHAnsi" w:cstheme="minorHAnsi"/>
          <w:b/>
          <w:color w:val="000000" w:themeColor="text1"/>
          <w:lang w:val="el-GR"/>
        </w:rPr>
        <w:t xml:space="preserve">αύξηση </w:t>
      </w:r>
      <w:r w:rsidR="006E5A54" w:rsidRPr="00466073">
        <w:rPr>
          <w:rFonts w:asciiTheme="minorHAnsi" w:hAnsiTheme="minorHAnsi" w:cstheme="minorHAnsi"/>
          <w:b/>
          <w:color w:val="000000" w:themeColor="text1"/>
          <w:lang w:val="el-GR"/>
        </w:rPr>
        <w:t>14</w:t>
      </w:r>
      <w:r w:rsidR="00A845B9" w:rsidRPr="00466073">
        <w:rPr>
          <w:rFonts w:asciiTheme="minorHAnsi" w:hAnsiTheme="minorHAnsi" w:cstheme="minorHAnsi"/>
          <w:b/>
          <w:color w:val="000000" w:themeColor="text1"/>
          <w:lang w:val="el-GR"/>
        </w:rPr>
        <w:t>,2</w:t>
      </w:r>
      <w:r w:rsidR="00011B05" w:rsidRPr="00466073">
        <w:rPr>
          <w:rFonts w:asciiTheme="minorHAnsi" w:hAnsiTheme="minorHAnsi" w:cstheme="minorHAnsi"/>
          <w:b/>
          <w:color w:val="000000" w:themeColor="text1"/>
          <w:lang w:val="el-GR"/>
        </w:rPr>
        <w:t>%</w:t>
      </w:r>
      <w:r w:rsidR="006E5A54" w:rsidRPr="00466073">
        <w:rPr>
          <w:rFonts w:asciiTheme="minorHAnsi" w:hAnsiTheme="minorHAnsi" w:cstheme="minorHAnsi"/>
          <w:color w:val="000000" w:themeColor="text1"/>
          <w:lang w:val="el-GR"/>
        </w:rPr>
        <w:t xml:space="preserve"> σε σχέση με το 2021 (€188,9</w:t>
      </w:r>
      <w:r w:rsidRPr="00466073">
        <w:rPr>
          <w:rFonts w:asciiTheme="minorHAnsi" w:hAnsiTheme="minorHAnsi" w:cstheme="minorHAnsi"/>
          <w:color w:val="000000" w:themeColor="text1"/>
          <w:lang w:val="el-GR"/>
        </w:rPr>
        <w:t xml:space="preserve"> </w:t>
      </w:r>
      <w:r w:rsidR="00A845B9" w:rsidRPr="00466073">
        <w:rPr>
          <w:rFonts w:asciiTheme="minorHAnsi" w:hAnsiTheme="minorHAnsi" w:cstheme="minorHAnsi"/>
          <w:color w:val="000000" w:themeColor="text1"/>
          <w:lang w:val="el-GR"/>
        </w:rPr>
        <w:t xml:space="preserve">εκ).  </w:t>
      </w:r>
      <w:r w:rsidRPr="00466073">
        <w:rPr>
          <w:rFonts w:asciiTheme="minorHAnsi" w:hAnsiTheme="minorHAnsi" w:cstheme="minorHAnsi"/>
          <w:color w:val="000000" w:themeColor="text1"/>
          <w:lang w:val="el-GR"/>
        </w:rPr>
        <w:t>Ως προμηθε</w:t>
      </w:r>
      <w:r w:rsidR="00A845B9" w:rsidRPr="00466073">
        <w:rPr>
          <w:rFonts w:asciiTheme="minorHAnsi" w:hAnsiTheme="minorHAnsi" w:cstheme="minorHAnsi"/>
          <w:color w:val="000000" w:themeColor="text1"/>
          <w:lang w:val="el-GR"/>
        </w:rPr>
        <w:t>ύτρια της Ου</w:t>
      </w:r>
      <w:r w:rsidR="006E5A54" w:rsidRPr="00466073">
        <w:rPr>
          <w:rFonts w:asciiTheme="minorHAnsi" w:hAnsiTheme="minorHAnsi" w:cstheme="minorHAnsi"/>
          <w:color w:val="000000" w:themeColor="text1"/>
          <w:lang w:val="el-GR"/>
        </w:rPr>
        <w:t>γγαρίας, η χώρα μας, για το 2022</w:t>
      </w:r>
      <w:r w:rsidR="00A845B9" w:rsidRPr="00466073">
        <w:rPr>
          <w:rFonts w:asciiTheme="minorHAnsi" w:hAnsiTheme="minorHAnsi" w:cstheme="minorHAnsi"/>
          <w:color w:val="000000" w:themeColor="text1"/>
          <w:lang w:val="el-GR"/>
        </w:rPr>
        <w:t xml:space="preserve">, </w:t>
      </w:r>
      <w:r w:rsidR="00535FF5" w:rsidRPr="00466073">
        <w:rPr>
          <w:rFonts w:asciiTheme="minorHAnsi" w:hAnsiTheme="minorHAnsi" w:cstheme="minorHAnsi"/>
          <w:color w:val="000000" w:themeColor="text1"/>
          <w:lang w:val="el-GR"/>
        </w:rPr>
        <w:t xml:space="preserve">καταλαμβάνει </w:t>
      </w:r>
      <w:r w:rsidRPr="00466073">
        <w:rPr>
          <w:rFonts w:asciiTheme="minorHAnsi" w:hAnsiTheme="minorHAnsi" w:cstheme="minorHAnsi"/>
          <w:color w:val="000000" w:themeColor="text1"/>
          <w:lang w:val="el-GR"/>
        </w:rPr>
        <w:t>την 4</w:t>
      </w:r>
      <w:r w:rsidR="00535FF5" w:rsidRPr="00466073">
        <w:rPr>
          <w:rFonts w:asciiTheme="minorHAnsi" w:hAnsiTheme="minorHAnsi" w:cstheme="minorHAnsi"/>
          <w:color w:val="000000" w:themeColor="text1"/>
          <w:lang w:val="el-GR"/>
        </w:rPr>
        <w:t>2</w:t>
      </w:r>
      <w:r w:rsidRPr="00466073">
        <w:rPr>
          <w:rFonts w:asciiTheme="minorHAnsi" w:hAnsiTheme="minorHAnsi" w:cstheme="minorHAnsi"/>
          <w:color w:val="000000" w:themeColor="text1"/>
          <w:vertAlign w:val="superscript"/>
          <w:lang w:val="el-GR"/>
        </w:rPr>
        <w:t>η</w:t>
      </w:r>
      <w:r w:rsidRPr="00466073">
        <w:rPr>
          <w:rFonts w:asciiTheme="minorHAnsi" w:hAnsiTheme="minorHAnsi" w:cstheme="minorHAnsi"/>
          <w:color w:val="000000" w:themeColor="text1"/>
          <w:lang w:val="el-GR"/>
        </w:rPr>
        <w:t xml:space="preserve"> θέση</w:t>
      </w:r>
      <w:r w:rsidR="00011B05" w:rsidRPr="00466073">
        <w:rPr>
          <w:rFonts w:asciiTheme="minorHAnsi" w:hAnsiTheme="minorHAnsi" w:cstheme="minorHAnsi"/>
          <w:color w:val="000000" w:themeColor="text1"/>
          <w:lang w:val="el-GR"/>
        </w:rPr>
        <w:t xml:space="preserve"> της κατάταξης</w:t>
      </w:r>
      <w:r w:rsidR="006E5A54" w:rsidRPr="00466073">
        <w:rPr>
          <w:rFonts w:asciiTheme="minorHAnsi" w:hAnsiTheme="minorHAnsi" w:cstheme="minorHAnsi"/>
          <w:color w:val="000000" w:themeColor="text1"/>
          <w:lang w:val="el-GR"/>
        </w:rPr>
        <w:t>, όπως και το έτος 2021</w:t>
      </w:r>
      <w:r w:rsidR="00A845B9" w:rsidRPr="00466073">
        <w:rPr>
          <w:rFonts w:asciiTheme="minorHAnsi" w:hAnsiTheme="minorHAnsi" w:cstheme="minorHAnsi"/>
          <w:color w:val="FF0000"/>
          <w:lang w:val="el-GR"/>
        </w:rPr>
        <w:t xml:space="preserve">. </w:t>
      </w:r>
    </w:p>
    <w:p w:rsidR="00CF61FE" w:rsidRDefault="00CF61FE" w:rsidP="008210C2">
      <w:pPr>
        <w:spacing w:after="120"/>
        <w:rPr>
          <w:rFonts w:asciiTheme="minorHAnsi" w:hAnsiTheme="minorHAnsi" w:cstheme="minorHAnsi"/>
          <w:color w:val="3C3C3C"/>
          <w:shd w:val="clear" w:color="auto" w:fill="FFFFFF"/>
          <w:lang w:val="el-GR"/>
        </w:rPr>
      </w:pPr>
    </w:p>
    <w:p w:rsidR="008210C2" w:rsidRPr="00466073" w:rsidRDefault="008210C2" w:rsidP="008210C2">
      <w:pPr>
        <w:spacing w:after="120"/>
        <w:rPr>
          <w:rFonts w:asciiTheme="minorHAnsi" w:hAnsiTheme="minorHAnsi" w:cstheme="minorHAnsi"/>
          <w:b/>
          <w:bCs/>
          <w:color w:val="000000" w:themeColor="text1"/>
          <w:lang w:val="el-GR"/>
        </w:rPr>
      </w:pPr>
      <w:r w:rsidRPr="00466073">
        <w:rPr>
          <w:rFonts w:asciiTheme="minorHAnsi" w:hAnsiTheme="minorHAnsi" w:cstheme="minorHAnsi"/>
          <w:b/>
          <w:bCs/>
          <w:color w:val="000000" w:themeColor="text1"/>
          <w:lang w:val="el-GR"/>
        </w:rPr>
        <w:t xml:space="preserve"> Προοπτικές οικονομίας </w:t>
      </w:r>
    </w:p>
    <w:p w:rsidR="00E22B3E" w:rsidRPr="00466073" w:rsidRDefault="00E22B3E" w:rsidP="007D6B64">
      <w:pPr>
        <w:jc w:val="both"/>
        <w:rPr>
          <w:rFonts w:asciiTheme="minorHAnsi" w:hAnsiTheme="minorHAnsi" w:cstheme="minorHAnsi"/>
          <w:color w:val="943634" w:themeColor="accent2" w:themeShade="BF"/>
          <w:lang w:val="el-GR"/>
        </w:rPr>
      </w:pPr>
    </w:p>
    <w:p w:rsidR="007109FF" w:rsidRPr="00466073" w:rsidRDefault="00535FF5" w:rsidP="007D6B64">
      <w:pPr>
        <w:jc w:val="both"/>
        <w:rPr>
          <w:rFonts w:asciiTheme="minorHAnsi" w:hAnsiTheme="minorHAnsi" w:cstheme="minorHAnsi"/>
          <w:lang w:val="el-GR"/>
        </w:rPr>
      </w:pPr>
      <w:r w:rsidRPr="00466073">
        <w:rPr>
          <w:rFonts w:asciiTheme="minorHAnsi" w:hAnsiTheme="minorHAnsi" w:cstheme="minorHAnsi"/>
          <w:lang w:val="el-GR"/>
        </w:rPr>
        <w:t>Σύμφωνα με τον κυβερνητικό σχεδιασμό, μ</w:t>
      </w:r>
      <w:r w:rsidR="007109FF" w:rsidRPr="00466073">
        <w:rPr>
          <w:rFonts w:asciiTheme="minorHAnsi" w:hAnsiTheme="minorHAnsi" w:cstheme="minorHAnsi"/>
          <w:lang w:val="el-GR"/>
        </w:rPr>
        <w:t xml:space="preserve">ακροοικονομική σταθερότητα και μεγέθυνση </w:t>
      </w:r>
      <w:r w:rsidRPr="00466073">
        <w:rPr>
          <w:rFonts w:asciiTheme="minorHAnsi" w:hAnsiTheme="minorHAnsi" w:cstheme="minorHAnsi"/>
          <w:lang w:val="el-GR"/>
        </w:rPr>
        <w:t xml:space="preserve">θα ήταν </w:t>
      </w:r>
      <w:r w:rsidR="007109FF" w:rsidRPr="00466073">
        <w:rPr>
          <w:rFonts w:asciiTheme="minorHAnsi" w:hAnsiTheme="minorHAnsi" w:cstheme="minorHAnsi"/>
          <w:lang w:val="el-GR"/>
        </w:rPr>
        <w:t xml:space="preserve">οι δύο πυλώνες στους οποίους θα </w:t>
      </w:r>
      <w:r w:rsidRPr="00466073">
        <w:rPr>
          <w:rFonts w:asciiTheme="minorHAnsi" w:hAnsiTheme="minorHAnsi" w:cstheme="minorHAnsi"/>
          <w:lang w:val="el-GR"/>
        </w:rPr>
        <w:t xml:space="preserve">στηριζόταν </w:t>
      </w:r>
      <w:r w:rsidR="007109FF" w:rsidRPr="00466073">
        <w:rPr>
          <w:rFonts w:asciiTheme="minorHAnsi" w:hAnsiTheme="minorHAnsi" w:cstheme="minorHAnsi"/>
          <w:lang w:val="el-GR"/>
        </w:rPr>
        <w:t xml:space="preserve">η οικονομική ανάπτυξη της χώρας. </w:t>
      </w:r>
      <w:r w:rsidR="00FE5EE9" w:rsidRPr="00466073">
        <w:rPr>
          <w:rFonts w:asciiTheme="minorHAnsi" w:hAnsiTheme="minorHAnsi" w:cstheme="minorHAnsi"/>
          <w:lang w:val="el-GR"/>
        </w:rPr>
        <w:t>Σύμφωνα με τις κυβερνητικές προβλέψεις, τ</w:t>
      </w:r>
      <w:r w:rsidR="007109FF" w:rsidRPr="00466073">
        <w:rPr>
          <w:rFonts w:asciiTheme="minorHAnsi" w:hAnsiTheme="minorHAnsi" w:cstheme="minorHAnsi"/>
          <w:lang w:val="el-GR"/>
        </w:rPr>
        <w:t>ο ΑΕΠ της Ουγγαρίας θα συν</w:t>
      </w:r>
      <w:r w:rsidR="00FE5EE9" w:rsidRPr="00466073">
        <w:rPr>
          <w:rFonts w:asciiTheme="minorHAnsi" w:hAnsiTheme="minorHAnsi" w:cstheme="minorHAnsi"/>
          <w:lang w:val="el-GR"/>
        </w:rPr>
        <w:t xml:space="preserve">έχιζε την ανοδική του πορεία, </w:t>
      </w:r>
      <w:r w:rsidR="007109FF" w:rsidRPr="00466073">
        <w:rPr>
          <w:rFonts w:asciiTheme="minorHAnsi" w:hAnsiTheme="minorHAnsi" w:cstheme="minorHAnsi"/>
          <w:lang w:val="el-GR"/>
        </w:rPr>
        <w:t>με ρυθμό μεγ</w:t>
      </w:r>
      <w:r w:rsidR="00103989" w:rsidRPr="00466073">
        <w:rPr>
          <w:rFonts w:asciiTheme="minorHAnsi" w:hAnsiTheme="minorHAnsi" w:cstheme="minorHAnsi"/>
          <w:lang w:val="el-GR"/>
        </w:rPr>
        <w:t>αλύτερο του μέσου όρου της Ε.Ε.</w:t>
      </w:r>
      <w:r w:rsidR="007109FF" w:rsidRPr="00466073">
        <w:rPr>
          <w:rFonts w:asciiTheme="minorHAnsi" w:hAnsiTheme="minorHAnsi" w:cstheme="minorHAnsi"/>
          <w:lang w:val="el-GR"/>
        </w:rPr>
        <w:t xml:space="preserve"> για τα επόμενα τέσσερα</w:t>
      </w:r>
      <w:r w:rsidR="00704450" w:rsidRPr="00466073">
        <w:rPr>
          <w:rFonts w:asciiTheme="minorHAnsi" w:hAnsiTheme="minorHAnsi" w:cstheme="minorHAnsi"/>
          <w:lang w:val="el-GR"/>
        </w:rPr>
        <w:t xml:space="preserve"> χρόνια</w:t>
      </w:r>
      <w:r w:rsidR="00103989" w:rsidRPr="00466073">
        <w:rPr>
          <w:rFonts w:asciiTheme="minorHAnsi" w:hAnsiTheme="minorHAnsi" w:cstheme="minorHAnsi"/>
          <w:lang w:val="el-GR"/>
        </w:rPr>
        <w:t>.</w:t>
      </w:r>
      <w:r w:rsidR="007109FF" w:rsidRPr="00466073">
        <w:rPr>
          <w:rFonts w:asciiTheme="minorHAnsi" w:hAnsiTheme="minorHAnsi" w:cstheme="minorHAnsi"/>
          <w:lang w:val="el-GR"/>
        </w:rPr>
        <w:t xml:space="preserve"> Το δημόσιο χρέος θα μειω</w:t>
      </w:r>
      <w:r w:rsidR="00FE5EE9" w:rsidRPr="00466073">
        <w:rPr>
          <w:rFonts w:asciiTheme="minorHAnsi" w:hAnsiTheme="minorHAnsi" w:cstheme="minorHAnsi"/>
          <w:lang w:val="el-GR"/>
        </w:rPr>
        <w:t xml:space="preserve">νόταν </w:t>
      </w:r>
      <w:r w:rsidR="007109FF" w:rsidRPr="00466073">
        <w:rPr>
          <w:rFonts w:asciiTheme="minorHAnsi" w:hAnsiTheme="minorHAnsi" w:cstheme="minorHAnsi"/>
          <w:lang w:val="el-GR"/>
        </w:rPr>
        <w:t xml:space="preserve"> στο 60% του ΑΕΠ μέχρι το 2022, ενώ μέχρι το 2020 θα </w:t>
      </w:r>
      <w:r w:rsidR="00FE5EE9" w:rsidRPr="00466073">
        <w:rPr>
          <w:rFonts w:asciiTheme="minorHAnsi" w:hAnsiTheme="minorHAnsi" w:cstheme="minorHAnsi"/>
          <w:lang w:val="el-GR"/>
        </w:rPr>
        <w:t xml:space="preserve">είχαν </w:t>
      </w:r>
      <w:r w:rsidR="007109FF" w:rsidRPr="00466073">
        <w:rPr>
          <w:rFonts w:asciiTheme="minorHAnsi" w:hAnsiTheme="minorHAnsi" w:cstheme="minorHAnsi"/>
          <w:lang w:val="el-GR"/>
        </w:rPr>
        <w:t xml:space="preserve">δημιουργηθεί 250-300 χιλ. νέες θέσεις εργασίας. </w:t>
      </w:r>
      <w:r w:rsidR="00FE5EE9" w:rsidRPr="00466073">
        <w:rPr>
          <w:rFonts w:asciiTheme="minorHAnsi" w:hAnsiTheme="minorHAnsi" w:cstheme="minorHAnsi"/>
          <w:lang w:val="el-GR"/>
        </w:rPr>
        <w:t xml:space="preserve">Όμως, με την εμφάνιση της πανδημίας του </w:t>
      </w:r>
      <w:r w:rsidR="00FE5EE9" w:rsidRPr="00466073">
        <w:rPr>
          <w:rFonts w:asciiTheme="minorHAnsi" w:hAnsiTheme="minorHAnsi" w:cstheme="minorHAnsi"/>
          <w:lang w:val="hu-HU"/>
        </w:rPr>
        <w:t>COVID</w:t>
      </w:r>
      <w:r w:rsidR="00FE5EE9" w:rsidRPr="00466073">
        <w:rPr>
          <w:rFonts w:asciiTheme="minorHAnsi" w:hAnsiTheme="minorHAnsi" w:cstheme="minorHAnsi"/>
          <w:lang w:val="el-GR"/>
        </w:rPr>
        <w:t>-19</w:t>
      </w:r>
      <w:r w:rsidR="001452F1" w:rsidRPr="00466073">
        <w:rPr>
          <w:rFonts w:asciiTheme="minorHAnsi" w:hAnsiTheme="minorHAnsi" w:cstheme="minorHAnsi"/>
          <w:lang w:val="el-GR"/>
        </w:rPr>
        <w:t xml:space="preserve"> και στη συνέχεια ο πόλεμος Ρωσίας – Ουκρανίας άλλαξαν τις συνθήκες και χρειάστηκε επανασχεδιασμός για την διατήρηση της οικονομικής ανάπτυξης στη χώρα.</w:t>
      </w:r>
    </w:p>
    <w:p w:rsidR="00814553" w:rsidRPr="00466073" w:rsidRDefault="00814553" w:rsidP="007D6B64">
      <w:pPr>
        <w:jc w:val="both"/>
        <w:rPr>
          <w:rFonts w:asciiTheme="minorHAnsi" w:hAnsiTheme="minorHAnsi" w:cstheme="minorHAnsi"/>
          <w:lang w:val="el-GR"/>
        </w:rPr>
      </w:pPr>
    </w:p>
    <w:p w:rsidR="00FE5EE9" w:rsidRPr="00466073" w:rsidRDefault="00FE5EE9" w:rsidP="007D6B64">
      <w:pPr>
        <w:jc w:val="both"/>
        <w:rPr>
          <w:rFonts w:asciiTheme="minorHAnsi" w:hAnsiTheme="minorHAnsi" w:cstheme="minorHAnsi"/>
          <w:lang w:val="el-GR"/>
        </w:rPr>
      </w:pPr>
      <w:r w:rsidRPr="00466073">
        <w:rPr>
          <w:rFonts w:asciiTheme="minorHAnsi" w:hAnsiTheme="minorHAnsi" w:cstheme="minorHAnsi"/>
          <w:lang w:val="el-GR"/>
        </w:rPr>
        <w:t xml:space="preserve">Η Ουγγαρία εισήλθε στην εποχή του </w:t>
      </w:r>
      <w:r w:rsidRPr="00466073">
        <w:rPr>
          <w:rFonts w:asciiTheme="minorHAnsi" w:hAnsiTheme="minorHAnsi" w:cstheme="minorHAnsi"/>
        </w:rPr>
        <w:t>COVID</w:t>
      </w:r>
      <w:r w:rsidRPr="00466073">
        <w:rPr>
          <w:rFonts w:asciiTheme="minorHAnsi" w:hAnsiTheme="minorHAnsi" w:cstheme="minorHAnsi"/>
          <w:lang w:val="el-GR"/>
        </w:rPr>
        <w:t>-19 με μια αρκετά ισχυρή οικονομία που της επέτρεψε να απορροφήσει μερικώς τους οικονομικούς κραδασμούς που προκάλεσε η πανδημία. Οι σταθερές οικονομικές πολιτικές της τελευταίας δεκαετίας που οδήγησαν σε μείωση της ανεργίας, σε αύξηση της απασχόλησης και σε προσέλκυση νέων ξένων επενδύσεων, κατέστησαν την ουγγρική οικονομία μεταξύ των ταχύτερα αναπτυσσόμενων στην ΕΕ.</w:t>
      </w:r>
      <w:r w:rsidR="00182FE4" w:rsidRPr="00466073">
        <w:rPr>
          <w:rFonts w:asciiTheme="minorHAnsi" w:hAnsiTheme="minorHAnsi" w:cstheme="minorHAnsi"/>
          <w:lang w:val="el-GR"/>
        </w:rPr>
        <w:t>, με αποτέλεσμα την αυξημένη ανθεκτικότητά της στις επιπτώσεις της πανδημίας. Πρέπει να τονιστεί ότι η οικονομική ανάπτυξη της Ουγγαρίας</w:t>
      </w:r>
      <w:r w:rsidR="00DB6164" w:rsidRPr="00466073">
        <w:rPr>
          <w:rFonts w:asciiTheme="minorHAnsi" w:hAnsiTheme="minorHAnsi" w:cstheme="minorHAnsi"/>
          <w:lang w:val="el-GR"/>
        </w:rPr>
        <w:t xml:space="preserve">, ιδιαίτερα </w:t>
      </w:r>
      <w:r w:rsidR="00CF61FE">
        <w:rPr>
          <w:rFonts w:asciiTheme="minorHAnsi" w:hAnsiTheme="minorHAnsi" w:cstheme="minorHAnsi"/>
          <w:lang w:val="el-GR"/>
        </w:rPr>
        <w:t>από</w:t>
      </w:r>
      <w:r w:rsidR="00DB6164" w:rsidRPr="00466073">
        <w:rPr>
          <w:rFonts w:asciiTheme="minorHAnsi" w:hAnsiTheme="minorHAnsi" w:cstheme="minorHAnsi"/>
          <w:lang w:val="el-GR"/>
        </w:rPr>
        <w:t xml:space="preserve"> το 2012 και μέχρι το 2019,</w:t>
      </w:r>
      <w:r w:rsidR="00182FE4" w:rsidRPr="00466073">
        <w:rPr>
          <w:rFonts w:asciiTheme="minorHAnsi" w:hAnsiTheme="minorHAnsi" w:cstheme="minorHAnsi"/>
          <w:lang w:val="el-GR"/>
        </w:rPr>
        <w:t xml:space="preserve"> επετεύχθη σε πλαίσιο δημοσιονομικής ισορροπίας με το χρέος να βαίνει συνεχώς μειούμενο και το έλλειμμα να διατηρείται κάτω του 3% του ΑΕΠ</w:t>
      </w:r>
      <w:r w:rsidR="00DB6164" w:rsidRPr="00466073">
        <w:rPr>
          <w:rFonts w:asciiTheme="minorHAnsi" w:hAnsiTheme="minorHAnsi" w:cstheme="minorHAnsi"/>
          <w:lang w:val="el-GR"/>
        </w:rPr>
        <w:t xml:space="preserve">. Εντούτοις, οι επιπτώσεις της πανδημίας, τα μέτρα για την αντιμετώπισή της, οι δημοσιονομικές πολιτικές στήριξης και η μείωση της φορολογικής βάσης, οδήγησαν σε αύξηση του χρέους και διεύρυνση του ελλείμματος. </w:t>
      </w:r>
    </w:p>
    <w:p w:rsidR="00FE5EE9" w:rsidRPr="00466073" w:rsidRDefault="00FE5EE9" w:rsidP="007D6B64">
      <w:pPr>
        <w:jc w:val="both"/>
        <w:rPr>
          <w:rFonts w:asciiTheme="minorHAnsi" w:hAnsiTheme="minorHAnsi" w:cstheme="minorHAnsi"/>
          <w:lang w:val="el-GR"/>
        </w:rPr>
      </w:pPr>
    </w:p>
    <w:p w:rsidR="005D1C84" w:rsidRPr="00466073" w:rsidRDefault="006D4CCE" w:rsidP="00891164">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Με την έναρξη του πολέμου </w:t>
      </w:r>
      <w:r w:rsidR="00EB4FB6" w:rsidRPr="00466073">
        <w:rPr>
          <w:rFonts w:asciiTheme="minorHAnsi" w:hAnsiTheme="minorHAnsi" w:cstheme="minorHAnsi"/>
          <w:color w:val="000000" w:themeColor="text1"/>
          <w:lang w:val="el-GR"/>
        </w:rPr>
        <w:t xml:space="preserve">Ρωσίας - Ουκρανίας </w:t>
      </w:r>
      <w:r w:rsidRPr="00466073">
        <w:rPr>
          <w:rFonts w:asciiTheme="minorHAnsi" w:hAnsiTheme="minorHAnsi" w:cstheme="minorHAnsi"/>
          <w:color w:val="000000" w:themeColor="text1"/>
          <w:lang w:val="el-GR"/>
        </w:rPr>
        <w:t>τον Φεβρουάριο του 2022, δημιουργήθηκε κλίμα αβεβαιότητας στην οικονομική προοπτική της ουγγρικής οικονομίας.</w:t>
      </w:r>
      <w:r w:rsidR="00DB6164"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Ο</w:t>
      </w:r>
      <w:r w:rsidR="00B23CD2" w:rsidRPr="00466073">
        <w:rPr>
          <w:rFonts w:asciiTheme="minorHAnsi" w:hAnsiTheme="minorHAnsi" w:cstheme="minorHAnsi"/>
          <w:color w:val="000000" w:themeColor="text1"/>
          <w:lang w:val="el-GR"/>
        </w:rPr>
        <w:t xml:space="preserve"> οικονομικός σχεδιασμός </w:t>
      </w:r>
      <w:r w:rsidRPr="00466073">
        <w:rPr>
          <w:rFonts w:asciiTheme="minorHAnsi" w:hAnsiTheme="minorHAnsi" w:cstheme="minorHAnsi"/>
          <w:color w:val="000000" w:themeColor="text1"/>
          <w:lang w:val="el-GR"/>
        </w:rPr>
        <w:t xml:space="preserve">δεν προέβλεπε </w:t>
      </w:r>
      <w:r w:rsidR="00B23CD2" w:rsidRPr="00466073">
        <w:rPr>
          <w:rFonts w:asciiTheme="minorHAnsi" w:hAnsiTheme="minorHAnsi" w:cstheme="minorHAnsi"/>
          <w:color w:val="000000" w:themeColor="text1"/>
          <w:lang w:val="el-GR"/>
        </w:rPr>
        <w:t xml:space="preserve">επαναφορά στο μοντέλο δημοσιονομικής πειθαρχίας, </w:t>
      </w:r>
      <w:r w:rsidR="00EB4FB6" w:rsidRPr="00466073">
        <w:rPr>
          <w:rFonts w:asciiTheme="minorHAnsi" w:hAnsiTheme="minorHAnsi" w:cstheme="minorHAnsi"/>
          <w:color w:val="000000" w:themeColor="text1"/>
          <w:lang w:val="el-GR"/>
        </w:rPr>
        <w:t xml:space="preserve">εκτιμώντας ότι η δυναμική των τελευταίων ετών της οικονομίας θα μπορούσε να καλύψει τυχόν απώλειες σε ενδεχόμενα πλήττοντες τομείς. Το δημόσιο χρέος, παρέμεινε </w:t>
      </w:r>
      <w:r w:rsidR="00B23CD2" w:rsidRPr="00466073">
        <w:rPr>
          <w:rFonts w:asciiTheme="minorHAnsi" w:hAnsiTheme="minorHAnsi" w:cstheme="minorHAnsi"/>
          <w:color w:val="000000" w:themeColor="text1"/>
          <w:lang w:val="el-GR"/>
        </w:rPr>
        <w:t xml:space="preserve"> κάτω του μέσου όρου της ΕΕ </w:t>
      </w:r>
      <w:r w:rsidR="00EB4FB6" w:rsidRPr="00466073">
        <w:rPr>
          <w:rFonts w:asciiTheme="minorHAnsi" w:hAnsiTheme="minorHAnsi" w:cstheme="minorHAnsi"/>
          <w:color w:val="000000" w:themeColor="text1"/>
          <w:lang w:val="el-GR"/>
        </w:rPr>
        <w:t xml:space="preserve">με προοπτική περαιτέρω μείωσης </w:t>
      </w:r>
      <w:r w:rsidR="00B23CD2" w:rsidRPr="00466073">
        <w:rPr>
          <w:rFonts w:asciiTheme="minorHAnsi" w:hAnsiTheme="minorHAnsi" w:cstheme="minorHAnsi"/>
          <w:color w:val="000000" w:themeColor="text1"/>
          <w:lang w:val="el-GR"/>
        </w:rPr>
        <w:t xml:space="preserve">υλοποιώντας μια μεσοπρόθεσμη στρατηγική διαχείρισής του, παρόμοια με αυτή του παρελθόντος και με την οποία η Ουγγαρία κατάφερε να μειώσει το χρέος της σε συνάλλαγμα στο 19,6% και άρα την εξάρτησή της από ξένους παράγοντες. </w:t>
      </w:r>
      <w:r w:rsidR="00891164" w:rsidRPr="00466073">
        <w:rPr>
          <w:rFonts w:asciiTheme="minorHAnsi" w:hAnsiTheme="minorHAnsi" w:cstheme="minorHAnsi"/>
          <w:color w:val="000000" w:themeColor="text1"/>
          <w:lang w:val="el-GR"/>
        </w:rPr>
        <w:t xml:space="preserve">Όπως </w:t>
      </w:r>
      <w:r w:rsidR="00EB4FB6" w:rsidRPr="00466073">
        <w:rPr>
          <w:rFonts w:asciiTheme="minorHAnsi" w:hAnsiTheme="minorHAnsi" w:cstheme="minorHAnsi"/>
          <w:color w:val="000000" w:themeColor="text1"/>
          <w:lang w:val="el-GR"/>
        </w:rPr>
        <w:t xml:space="preserve">και για την αντιμετώπιση των </w:t>
      </w:r>
      <w:r w:rsidR="00EB4FB6" w:rsidRPr="00466073">
        <w:rPr>
          <w:rFonts w:asciiTheme="minorHAnsi" w:hAnsiTheme="minorHAnsi" w:cstheme="minorHAnsi"/>
          <w:color w:val="000000" w:themeColor="text1"/>
          <w:lang w:val="el-GR"/>
        </w:rPr>
        <w:lastRenderedPageBreak/>
        <w:t xml:space="preserve">οικονομικών και κοινωνικών επιπτώσεων της πανδημίας, έτσι και για την αποφυγή των συνεπειών της πολεμικής σύρραξης, </w:t>
      </w:r>
      <w:r w:rsidR="00891164" w:rsidRPr="00466073">
        <w:rPr>
          <w:rFonts w:asciiTheme="minorHAnsi" w:hAnsiTheme="minorHAnsi" w:cstheme="minorHAnsi"/>
          <w:color w:val="000000" w:themeColor="text1"/>
          <w:lang w:val="el-GR"/>
        </w:rPr>
        <w:t xml:space="preserve">η κυβερνητική οικονομική πολιτική, </w:t>
      </w:r>
      <w:r w:rsidR="00EB4FB6" w:rsidRPr="00466073">
        <w:rPr>
          <w:rFonts w:asciiTheme="minorHAnsi" w:hAnsiTheme="minorHAnsi" w:cstheme="minorHAnsi"/>
          <w:color w:val="000000" w:themeColor="text1"/>
          <w:lang w:val="el-GR"/>
        </w:rPr>
        <w:t xml:space="preserve">συνέχισε να βασίζεται στους </w:t>
      </w:r>
      <w:r w:rsidR="00891164" w:rsidRPr="00466073">
        <w:rPr>
          <w:rFonts w:asciiTheme="minorHAnsi" w:hAnsiTheme="minorHAnsi" w:cstheme="minorHAnsi"/>
          <w:color w:val="000000" w:themeColor="text1"/>
          <w:lang w:val="el-GR"/>
        </w:rPr>
        <w:t xml:space="preserve">επτά άξονες (δημιουργία κατοικιών, δημογραφική ανάκαμψη, επέκταση του των ευεργετικών διατάξεων για την αποπληρωμή δανείων, προτεραιότητα σε επενδύσεις που αναθερμαίνουν την οικονομία, αύξηση της χρηματοδοτικής ικανότητας δημόσιων χρηματοπιστωτικών ιδρυμάτων, αύξηση της αξιοποίησης των κονδυλίων της ΕΕ και ανάπτυξη στρατηγικής επενδύσεων στο εξωτερικό). Σύμφωνα με τον κυβερνητικό σχεδιασμό, η υλοποίηση της ανωτέρω </w:t>
      </w:r>
      <w:r w:rsidR="005D1C84" w:rsidRPr="00466073">
        <w:rPr>
          <w:rFonts w:asciiTheme="minorHAnsi" w:hAnsiTheme="minorHAnsi" w:cstheme="minorHAnsi"/>
          <w:color w:val="000000" w:themeColor="text1"/>
          <w:lang w:val="el-GR"/>
        </w:rPr>
        <w:t>οικονομική</w:t>
      </w:r>
      <w:r w:rsidR="00891164" w:rsidRPr="00466073">
        <w:rPr>
          <w:rFonts w:asciiTheme="minorHAnsi" w:hAnsiTheme="minorHAnsi" w:cstheme="minorHAnsi"/>
          <w:color w:val="000000" w:themeColor="text1"/>
          <w:lang w:val="el-GR"/>
        </w:rPr>
        <w:t>ς</w:t>
      </w:r>
      <w:r w:rsidR="005D1C84" w:rsidRPr="00466073">
        <w:rPr>
          <w:rFonts w:asciiTheme="minorHAnsi" w:hAnsiTheme="minorHAnsi" w:cstheme="minorHAnsi"/>
          <w:color w:val="000000" w:themeColor="text1"/>
          <w:lang w:val="el-GR"/>
        </w:rPr>
        <w:t xml:space="preserve"> πολιτική</w:t>
      </w:r>
      <w:r w:rsidR="00891164" w:rsidRPr="00466073">
        <w:rPr>
          <w:rFonts w:asciiTheme="minorHAnsi" w:hAnsiTheme="minorHAnsi" w:cstheme="minorHAnsi"/>
          <w:color w:val="000000" w:themeColor="text1"/>
          <w:lang w:val="el-GR"/>
        </w:rPr>
        <w:t>ς</w:t>
      </w:r>
      <w:r w:rsidR="005D1C84" w:rsidRPr="00466073">
        <w:rPr>
          <w:rFonts w:asciiTheme="minorHAnsi" w:hAnsiTheme="minorHAnsi" w:cstheme="minorHAnsi"/>
          <w:color w:val="000000" w:themeColor="text1"/>
          <w:lang w:val="el-GR"/>
        </w:rPr>
        <w:t>, θα επιτ</w:t>
      </w:r>
      <w:r w:rsidR="00891164" w:rsidRPr="00466073">
        <w:rPr>
          <w:rFonts w:asciiTheme="minorHAnsi" w:hAnsiTheme="minorHAnsi" w:cstheme="minorHAnsi"/>
          <w:color w:val="000000" w:themeColor="text1"/>
          <w:lang w:val="el-GR"/>
        </w:rPr>
        <w:t xml:space="preserve">ύχει τους τρεις βασικούς στόχους της κυβέρνησης:  </w:t>
      </w:r>
      <w:r w:rsidR="00814553" w:rsidRPr="00466073">
        <w:rPr>
          <w:rFonts w:asciiTheme="minorHAnsi" w:hAnsiTheme="minorHAnsi" w:cstheme="minorHAnsi"/>
          <w:color w:val="000000" w:themeColor="text1"/>
          <w:lang w:val="el-GR"/>
        </w:rPr>
        <w:t>Διατήρηση οικονομικής σταθερότητας</w:t>
      </w:r>
      <w:r w:rsidR="005D1C84" w:rsidRPr="00466073">
        <w:rPr>
          <w:rFonts w:asciiTheme="minorHAnsi" w:hAnsiTheme="minorHAnsi" w:cstheme="minorHAnsi"/>
          <w:color w:val="000000" w:themeColor="text1"/>
          <w:lang w:val="el-GR"/>
        </w:rPr>
        <w:t>, προστασία οικογενειών</w:t>
      </w:r>
      <w:r w:rsidR="00814553" w:rsidRPr="00466073">
        <w:rPr>
          <w:rFonts w:asciiTheme="minorHAnsi" w:hAnsiTheme="minorHAnsi" w:cstheme="minorHAnsi"/>
          <w:color w:val="000000" w:themeColor="text1"/>
          <w:lang w:val="el-GR"/>
        </w:rPr>
        <w:t xml:space="preserve"> </w:t>
      </w:r>
      <w:r w:rsidR="005D1C84" w:rsidRPr="00466073">
        <w:rPr>
          <w:rFonts w:asciiTheme="minorHAnsi" w:hAnsiTheme="minorHAnsi" w:cstheme="minorHAnsi"/>
          <w:color w:val="000000" w:themeColor="text1"/>
          <w:lang w:val="el-GR"/>
        </w:rPr>
        <w:t xml:space="preserve">και </w:t>
      </w:r>
      <w:r w:rsidR="00814553" w:rsidRPr="00466073">
        <w:rPr>
          <w:rFonts w:asciiTheme="minorHAnsi" w:hAnsiTheme="minorHAnsi" w:cstheme="minorHAnsi"/>
          <w:color w:val="000000" w:themeColor="text1"/>
          <w:lang w:val="el-GR"/>
        </w:rPr>
        <w:t xml:space="preserve">περιφερειακή </w:t>
      </w:r>
      <w:r w:rsidR="005D1C84" w:rsidRPr="00466073">
        <w:rPr>
          <w:rFonts w:asciiTheme="minorHAnsi" w:hAnsiTheme="minorHAnsi" w:cstheme="minorHAnsi"/>
          <w:color w:val="000000" w:themeColor="text1"/>
          <w:lang w:val="el-GR"/>
        </w:rPr>
        <w:t>ανάπτυξη</w:t>
      </w:r>
      <w:r w:rsidR="00891164" w:rsidRPr="00466073">
        <w:rPr>
          <w:rFonts w:asciiTheme="minorHAnsi" w:hAnsiTheme="minorHAnsi" w:cstheme="minorHAnsi"/>
          <w:color w:val="000000" w:themeColor="text1"/>
          <w:lang w:val="el-GR"/>
        </w:rPr>
        <w:t>.</w:t>
      </w:r>
    </w:p>
    <w:p w:rsidR="005D1C84" w:rsidRPr="00466073" w:rsidRDefault="005D1C84" w:rsidP="002B7D6A">
      <w:pPr>
        <w:jc w:val="both"/>
        <w:rPr>
          <w:rFonts w:asciiTheme="minorHAnsi" w:hAnsiTheme="minorHAnsi" w:cstheme="minorHAnsi"/>
          <w:lang w:val="el-GR"/>
        </w:rPr>
      </w:pPr>
    </w:p>
    <w:p w:rsidR="0099527C" w:rsidRPr="00466073" w:rsidRDefault="0099527C" w:rsidP="002B7D6A">
      <w:pPr>
        <w:jc w:val="both"/>
        <w:rPr>
          <w:rFonts w:asciiTheme="minorHAnsi" w:hAnsiTheme="minorHAnsi" w:cstheme="minorHAnsi"/>
          <w:lang w:val="el-GR"/>
        </w:rPr>
      </w:pPr>
      <w:r w:rsidRPr="00466073">
        <w:rPr>
          <w:rFonts w:asciiTheme="minorHAnsi" w:hAnsiTheme="minorHAnsi" w:cstheme="minorHAnsi"/>
          <w:lang w:val="el-GR"/>
        </w:rPr>
        <w:t>Μακροπρόθεσμος στόχος της κυβέρνησης είναι</w:t>
      </w:r>
      <w:r w:rsidR="00CC3A61" w:rsidRPr="00466073">
        <w:rPr>
          <w:rFonts w:asciiTheme="minorHAnsi" w:hAnsiTheme="minorHAnsi" w:cstheme="minorHAnsi"/>
          <w:lang w:val="el-GR"/>
        </w:rPr>
        <w:t>, μέχρι το 2030,</w:t>
      </w:r>
      <w:r w:rsidRPr="00466073">
        <w:rPr>
          <w:rFonts w:asciiTheme="minorHAnsi" w:hAnsiTheme="minorHAnsi" w:cstheme="minorHAnsi"/>
          <w:lang w:val="el-GR"/>
        </w:rPr>
        <w:t xml:space="preserve"> η Ουγγαρία να συμπεριληφθεί μεταξύ των πέντε χωρών της ΕΕ με την καλύτερη ποιότητα εργασίας και διαβίωσης</w:t>
      </w:r>
      <w:r w:rsidR="00CC3A61" w:rsidRPr="00466073">
        <w:rPr>
          <w:rFonts w:asciiTheme="minorHAnsi" w:hAnsiTheme="minorHAnsi" w:cstheme="minorHAnsi"/>
          <w:lang w:val="el-GR"/>
        </w:rPr>
        <w:t xml:space="preserve">. Προς την κατεύθυνση αυτή, η κυβέρνηση εκπόνησε Σχέδιο Δράσης, σύμφωνα με το οποίο θα διασφαλιστεί η βιώσιμη οικονομική ανάκαμψη </w:t>
      </w:r>
      <w:r w:rsidR="00814553" w:rsidRPr="00466073">
        <w:rPr>
          <w:rFonts w:asciiTheme="minorHAnsi" w:hAnsiTheme="minorHAnsi" w:cstheme="minorHAnsi"/>
          <w:lang w:val="el-GR"/>
        </w:rPr>
        <w:t>με παράλληλη ενίσχυση τ</w:t>
      </w:r>
      <w:r w:rsidR="00CC3A61" w:rsidRPr="00466073">
        <w:rPr>
          <w:rFonts w:asciiTheme="minorHAnsi" w:hAnsiTheme="minorHAnsi" w:cstheme="minorHAnsi"/>
          <w:lang w:val="el-GR"/>
        </w:rPr>
        <w:t>η</w:t>
      </w:r>
      <w:r w:rsidR="00814553" w:rsidRPr="00466073">
        <w:rPr>
          <w:rFonts w:asciiTheme="minorHAnsi" w:hAnsiTheme="minorHAnsi" w:cstheme="minorHAnsi"/>
          <w:lang w:val="el-GR"/>
        </w:rPr>
        <w:t>ς</w:t>
      </w:r>
      <w:r w:rsidR="00CC3A61" w:rsidRPr="00466073">
        <w:rPr>
          <w:rFonts w:asciiTheme="minorHAnsi" w:hAnsiTheme="minorHAnsi" w:cstheme="minorHAnsi"/>
          <w:lang w:val="el-GR"/>
        </w:rPr>
        <w:t xml:space="preserve"> κοινωνική</w:t>
      </w:r>
      <w:r w:rsidR="00814553" w:rsidRPr="00466073">
        <w:rPr>
          <w:rFonts w:asciiTheme="minorHAnsi" w:hAnsiTheme="minorHAnsi" w:cstheme="minorHAnsi"/>
          <w:lang w:val="el-GR"/>
        </w:rPr>
        <w:t>ς</w:t>
      </w:r>
      <w:r w:rsidR="00CC3A61" w:rsidRPr="00466073">
        <w:rPr>
          <w:rFonts w:asciiTheme="minorHAnsi" w:hAnsiTheme="minorHAnsi" w:cstheme="minorHAnsi"/>
          <w:lang w:val="el-GR"/>
        </w:rPr>
        <w:t xml:space="preserve"> συνοχή</w:t>
      </w:r>
      <w:r w:rsidR="00814553" w:rsidRPr="00466073">
        <w:rPr>
          <w:rFonts w:asciiTheme="minorHAnsi" w:hAnsiTheme="minorHAnsi" w:cstheme="minorHAnsi"/>
          <w:lang w:val="el-GR"/>
        </w:rPr>
        <w:t>ς</w:t>
      </w:r>
      <w:r w:rsidR="00CC3A61" w:rsidRPr="00466073">
        <w:rPr>
          <w:rFonts w:asciiTheme="minorHAnsi" w:hAnsiTheme="minorHAnsi" w:cstheme="minorHAnsi"/>
          <w:lang w:val="el-GR"/>
        </w:rPr>
        <w:t>. Η χώρα, θα αξιοποιήσει στο έπακρο τα συγκριτικά της πλεονεκτήματα, κυρίως τους υψηλότερους στην ΕΕ δείκτες απασχόλησης και προσέλκυσης επενδύσεων. Ταυτόχρονα, προσπάθειες θα καταβληθούν για την αύξηση της ανταγωνιστικότητας μέσω εφαρμογής υψηλής τεχνολογίας, αυτοματισμών και ρομποτικής στην παραγωγική διαδικασία, και όπου αλλού χρειαστεί προκειμένου να επιτυγχάνεται αύξηση τ</w:t>
      </w:r>
      <w:r w:rsidR="001452F1" w:rsidRPr="00466073">
        <w:rPr>
          <w:rFonts w:asciiTheme="minorHAnsi" w:hAnsiTheme="minorHAnsi" w:cstheme="minorHAnsi"/>
          <w:lang w:val="el-GR"/>
        </w:rPr>
        <w:t>ης προστιθέμενης αξίας. Η</w:t>
      </w:r>
      <w:r w:rsidR="00CC3A61" w:rsidRPr="00466073">
        <w:rPr>
          <w:rFonts w:asciiTheme="minorHAnsi" w:hAnsiTheme="minorHAnsi" w:cstheme="minorHAnsi"/>
          <w:lang w:val="el-GR"/>
        </w:rPr>
        <w:t xml:space="preserve"> χώρα, προκειμένου να αυξήσει τις αναπτυξιακές προοπτικές της, θα επενδύσει στην τριτοβάθμια εκπαίδευση, στην τεχνική κατάρτιση και στην ισορροπημένη ανάπτυξη των περιφερειών. </w:t>
      </w:r>
    </w:p>
    <w:p w:rsidR="002B7D6A" w:rsidRPr="00466073" w:rsidRDefault="002B7D6A" w:rsidP="002B7D6A">
      <w:pPr>
        <w:jc w:val="both"/>
        <w:rPr>
          <w:rFonts w:asciiTheme="minorHAnsi" w:hAnsiTheme="minorHAnsi" w:cstheme="minorHAnsi"/>
          <w:lang w:val="el-GR"/>
        </w:rPr>
      </w:pPr>
    </w:p>
    <w:p w:rsidR="001452F1" w:rsidRPr="00466073" w:rsidRDefault="001452F1" w:rsidP="002B7D6A">
      <w:pPr>
        <w:jc w:val="both"/>
        <w:rPr>
          <w:rFonts w:asciiTheme="minorHAnsi" w:hAnsiTheme="minorHAnsi" w:cstheme="minorHAnsi"/>
          <w:lang w:val="el-GR"/>
        </w:rPr>
      </w:pPr>
    </w:p>
    <w:p w:rsidR="001452F1" w:rsidRPr="00466073" w:rsidRDefault="001452F1" w:rsidP="002B7D6A">
      <w:pPr>
        <w:jc w:val="both"/>
        <w:rPr>
          <w:rFonts w:asciiTheme="minorHAnsi" w:hAnsiTheme="minorHAnsi" w:cstheme="minorHAnsi"/>
          <w:lang w:val="el-GR"/>
        </w:rPr>
      </w:pPr>
    </w:p>
    <w:p w:rsidR="002B7D6A" w:rsidRPr="00466073" w:rsidRDefault="002B7D6A" w:rsidP="002B7D6A">
      <w:pPr>
        <w:jc w:val="both"/>
        <w:rPr>
          <w:rFonts w:asciiTheme="minorHAnsi" w:hAnsiTheme="minorHAnsi" w:cstheme="minorHAnsi"/>
          <w:lang w:val="el-GR"/>
        </w:rPr>
      </w:pPr>
    </w:p>
    <w:p w:rsidR="00EF4313" w:rsidRPr="00466073" w:rsidRDefault="00EF4313" w:rsidP="00EF4313">
      <w:pPr>
        <w:spacing w:line="360" w:lineRule="auto"/>
        <w:jc w:val="center"/>
        <w:rPr>
          <w:rFonts w:asciiTheme="minorHAnsi" w:hAnsiTheme="minorHAnsi" w:cstheme="minorHAnsi"/>
          <w:b/>
          <w:bCs/>
          <w:color w:val="000000" w:themeColor="text1"/>
          <w:lang w:val="el-GR"/>
        </w:rPr>
      </w:pPr>
      <w:bookmarkStart w:id="3" w:name="page6"/>
      <w:bookmarkEnd w:id="3"/>
      <w:r w:rsidRPr="00466073">
        <w:rPr>
          <w:rFonts w:asciiTheme="minorHAnsi" w:hAnsiTheme="minorHAnsi" w:cstheme="minorHAnsi"/>
          <w:b/>
          <w:bCs/>
          <w:color w:val="000000" w:themeColor="text1"/>
          <w:u w:val="single"/>
          <w:lang w:val="el-GR"/>
        </w:rPr>
        <w:t>Κεφάλαιο 3</w:t>
      </w:r>
      <w:r w:rsidRPr="00466073">
        <w:rPr>
          <w:rFonts w:asciiTheme="minorHAnsi" w:hAnsiTheme="minorHAnsi" w:cstheme="minorHAnsi"/>
          <w:b/>
          <w:bCs/>
          <w:color w:val="000000" w:themeColor="text1"/>
          <w:u w:val="single"/>
          <w:vertAlign w:val="superscript"/>
          <w:lang w:val="el-GR"/>
        </w:rPr>
        <w:t>ο</w:t>
      </w:r>
    </w:p>
    <w:p w:rsidR="00EF4313" w:rsidRPr="00466073" w:rsidRDefault="00EF4313" w:rsidP="00EF4313">
      <w:pPr>
        <w:spacing w:line="360" w:lineRule="auto"/>
        <w:jc w:val="center"/>
        <w:rPr>
          <w:rFonts w:asciiTheme="minorHAnsi" w:hAnsiTheme="minorHAnsi" w:cstheme="minorHAnsi"/>
          <w:b/>
          <w:bCs/>
          <w:color w:val="000000" w:themeColor="text1"/>
          <w:lang w:val="el-GR"/>
        </w:rPr>
      </w:pPr>
      <w:r w:rsidRPr="00466073">
        <w:rPr>
          <w:rFonts w:asciiTheme="minorHAnsi" w:hAnsiTheme="minorHAnsi" w:cstheme="minorHAnsi"/>
          <w:b/>
          <w:bCs/>
          <w:color w:val="000000" w:themeColor="text1"/>
          <w:lang w:val="el-GR"/>
        </w:rPr>
        <w:t>ΕΞΩΤΕΡΙΚΕΣ ΟΙΚΟΝΟΜΙΚΕΣ &amp; ΕΜΠΟΡΙΚΕΣ ΣΧΕΣΕΙΣ</w:t>
      </w:r>
    </w:p>
    <w:p w:rsidR="00042C32" w:rsidRPr="00466073" w:rsidRDefault="00042C32" w:rsidP="008E7430">
      <w:pPr>
        <w:jc w:val="both"/>
        <w:rPr>
          <w:rFonts w:asciiTheme="minorHAnsi" w:hAnsiTheme="minorHAnsi" w:cstheme="minorHAnsi"/>
          <w:lang w:val="el-GR"/>
        </w:rPr>
      </w:pPr>
    </w:p>
    <w:p w:rsidR="00042C32" w:rsidRPr="00466073" w:rsidRDefault="00B14BE4" w:rsidP="00042C32">
      <w:pPr>
        <w:jc w:val="both"/>
        <w:rPr>
          <w:rFonts w:asciiTheme="minorHAnsi" w:hAnsiTheme="minorHAnsi" w:cstheme="minorHAnsi"/>
          <w:lang w:val="el-GR"/>
        </w:rPr>
      </w:pPr>
      <w:r w:rsidRPr="00466073">
        <w:rPr>
          <w:rFonts w:asciiTheme="minorHAnsi" w:hAnsiTheme="minorHAnsi" w:cstheme="minorHAnsi"/>
          <w:lang w:val="el-GR"/>
        </w:rPr>
        <w:t>Πριν το 1990, πριν δηλαδή την πτώση του κουμμουνισμού και τη μετάβαση της Ουγγαρίας στο μοντ</w:t>
      </w:r>
      <w:r w:rsidR="00F42935" w:rsidRPr="00466073">
        <w:rPr>
          <w:rFonts w:asciiTheme="minorHAnsi" w:hAnsiTheme="minorHAnsi" w:cstheme="minorHAnsi"/>
          <w:lang w:val="el-GR"/>
        </w:rPr>
        <w:t xml:space="preserve">έλο ανάπτυξης των δυτικών χωρών, περίπου το 50% του εξωτερικού εμπορίου της χώρας γινόταν με την Σοβιετική Ένωση και τις χώρες της </w:t>
      </w:r>
      <w:r w:rsidR="00F42935" w:rsidRPr="00466073">
        <w:rPr>
          <w:rFonts w:asciiTheme="minorHAnsi" w:hAnsiTheme="minorHAnsi" w:cstheme="minorHAnsi"/>
        </w:rPr>
        <w:t>COMECON</w:t>
      </w:r>
      <w:r w:rsidR="00F42935" w:rsidRPr="00466073">
        <w:rPr>
          <w:rFonts w:asciiTheme="minorHAnsi" w:hAnsiTheme="minorHAnsi" w:cstheme="minorHAnsi"/>
          <w:lang w:val="el-GR"/>
        </w:rPr>
        <w:t xml:space="preserve">. Μετά το 1990 όμως, ο κύριος όγκος των εμπορικών συναλλαγών της Ουγγαρίας μετατοπίστηκε προς τις δυτικές αγορές. </w:t>
      </w:r>
      <w:r w:rsidR="00042C32" w:rsidRPr="00466073">
        <w:rPr>
          <w:rFonts w:asciiTheme="minorHAnsi" w:hAnsiTheme="minorHAnsi" w:cstheme="minorHAnsi"/>
          <w:lang w:val="el-GR"/>
        </w:rPr>
        <w:t>Η Ουγγαρία έγινε πλήρες μέλος της Ε.Ε. το 2004, ενώ ήδη από το 1994 υπήρχε Συμφωνία Τελων</w:t>
      </w:r>
      <w:r w:rsidR="00814553" w:rsidRPr="00466073">
        <w:rPr>
          <w:rFonts w:asciiTheme="minorHAnsi" w:hAnsiTheme="minorHAnsi" w:cstheme="minorHAnsi"/>
          <w:lang w:val="el-GR"/>
        </w:rPr>
        <w:t>ε</w:t>
      </w:r>
      <w:r w:rsidR="00042C32" w:rsidRPr="00466073">
        <w:rPr>
          <w:rFonts w:asciiTheme="minorHAnsi" w:hAnsiTheme="minorHAnsi" w:cstheme="minorHAnsi"/>
          <w:lang w:val="el-GR"/>
        </w:rPr>
        <w:t xml:space="preserve">ιακής Σύνδεσης. Η Ουγγαρία αξιοποιεί κονδύλια από προγράμματα της Ε.Ε. και ωφελείται ποικιλοτρόπως από τις ευρωπαϊκές χρηματοοικονομικές ροές. </w:t>
      </w:r>
      <w:r w:rsidR="00E1416F" w:rsidRPr="00466073">
        <w:rPr>
          <w:rFonts w:asciiTheme="minorHAnsi" w:hAnsiTheme="minorHAnsi" w:cstheme="minorHAnsi"/>
          <w:lang w:val="el-GR"/>
        </w:rPr>
        <w:t>Από τα διαθέσιμα ευρωπαϊκά κονδύλια του Δημοσιονομικού Πλαισίου 2014-2020, η Ουγγαρία απορρόφησε το 31%, ξεπερνώντας τον ευρωπαϊκό μέσο όρο απορρόφησης (27%). Οι χρηματοδοτικές ροές από την ΕΕ δρουν ευεργετικά στην οικονομία της Ουγγαρίας, ο ρυθμός ανάπτυξης της οποίας επηρεάζεται σημαντικά από το ύψος των ευρωπαϊκών κεφαλαίων που εισρέουν στη χώρα.</w:t>
      </w:r>
    </w:p>
    <w:p w:rsidR="00F22280" w:rsidRPr="00466073" w:rsidRDefault="00F22280" w:rsidP="008E7430">
      <w:pPr>
        <w:jc w:val="both"/>
        <w:rPr>
          <w:rFonts w:asciiTheme="minorHAnsi" w:hAnsiTheme="minorHAnsi" w:cstheme="minorHAnsi"/>
          <w:lang w:val="el-GR"/>
        </w:rPr>
      </w:pPr>
    </w:p>
    <w:p w:rsidR="00AF3BF6" w:rsidRPr="00466073" w:rsidRDefault="003E33B9" w:rsidP="008E7430">
      <w:pPr>
        <w:jc w:val="both"/>
        <w:rPr>
          <w:rFonts w:asciiTheme="minorHAnsi" w:hAnsiTheme="minorHAnsi" w:cstheme="minorHAnsi"/>
          <w:lang w:val="el-GR"/>
        </w:rPr>
      </w:pPr>
      <w:r w:rsidRPr="00466073">
        <w:rPr>
          <w:rFonts w:asciiTheme="minorHAnsi" w:hAnsiTheme="minorHAnsi" w:cstheme="minorHAnsi"/>
          <w:lang w:val="el-GR"/>
        </w:rPr>
        <w:t xml:space="preserve">Όπως φαίνεται παραστατικά και στο παρακάτω γράφημα, </w:t>
      </w:r>
      <w:r w:rsidR="001A1E9B" w:rsidRPr="00466073">
        <w:rPr>
          <w:rFonts w:asciiTheme="minorHAnsi" w:hAnsiTheme="minorHAnsi" w:cstheme="minorHAnsi"/>
          <w:lang w:val="el-GR"/>
        </w:rPr>
        <w:t xml:space="preserve">το 2022, </w:t>
      </w:r>
      <w:r w:rsidR="00DE44C9" w:rsidRPr="00466073">
        <w:rPr>
          <w:rFonts w:asciiTheme="minorHAnsi" w:hAnsiTheme="minorHAnsi" w:cstheme="minorHAnsi"/>
          <w:lang w:val="el-GR"/>
        </w:rPr>
        <w:t xml:space="preserve">συντριπτικό </w:t>
      </w:r>
      <w:r w:rsidRPr="00466073">
        <w:rPr>
          <w:rFonts w:asciiTheme="minorHAnsi" w:hAnsiTheme="minorHAnsi" w:cstheme="minorHAnsi"/>
          <w:lang w:val="el-GR"/>
        </w:rPr>
        <w:t>π</w:t>
      </w:r>
      <w:r w:rsidR="00314B95" w:rsidRPr="00466073">
        <w:rPr>
          <w:rFonts w:asciiTheme="minorHAnsi" w:hAnsiTheme="minorHAnsi" w:cstheme="minorHAnsi"/>
          <w:lang w:val="el-GR"/>
        </w:rPr>
        <w:t xml:space="preserve">οσοστό </w:t>
      </w:r>
      <w:r w:rsidR="0004367B" w:rsidRPr="00466073">
        <w:rPr>
          <w:rFonts w:asciiTheme="minorHAnsi" w:hAnsiTheme="minorHAnsi" w:cstheme="minorHAnsi"/>
          <w:lang w:val="el-GR"/>
        </w:rPr>
        <w:t>(</w:t>
      </w:r>
      <w:r w:rsidR="00314B95" w:rsidRPr="00466073">
        <w:rPr>
          <w:rFonts w:asciiTheme="minorHAnsi" w:hAnsiTheme="minorHAnsi" w:cstheme="minorHAnsi"/>
          <w:lang w:val="el-GR"/>
        </w:rPr>
        <w:t>7</w:t>
      </w:r>
      <w:r w:rsidR="00793D24" w:rsidRPr="00466073">
        <w:rPr>
          <w:rFonts w:asciiTheme="minorHAnsi" w:hAnsiTheme="minorHAnsi" w:cstheme="minorHAnsi"/>
          <w:lang w:val="el-GR"/>
        </w:rPr>
        <w:t>2</w:t>
      </w:r>
      <w:r w:rsidR="003165CE" w:rsidRPr="00466073">
        <w:rPr>
          <w:rFonts w:asciiTheme="minorHAnsi" w:hAnsiTheme="minorHAnsi" w:cstheme="minorHAnsi"/>
          <w:lang w:val="el-GR"/>
        </w:rPr>
        <w:t>,</w:t>
      </w:r>
      <w:r w:rsidR="00793D24" w:rsidRPr="00466073">
        <w:rPr>
          <w:rFonts w:asciiTheme="minorHAnsi" w:hAnsiTheme="minorHAnsi" w:cstheme="minorHAnsi"/>
          <w:lang w:val="el-GR"/>
        </w:rPr>
        <w:t>57</w:t>
      </w:r>
      <w:r w:rsidRPr="00466073">
        <w:rPr>
          <w:rFonts w:asciiTheme="minorHAnsi" w:hAnsiTheme="minorHAnsi" w:cstheme="minorHAnsi"/>
          <w:lang w:val="el-GR"/>
        </w:rPr>
        <w:t>%</w:t>
      </w:r>
      <w:r w:rsidR="0004367B" w:rsidRPr="00466073">
        <w:rPr>
          <w:rFonts w:asciiTheme="minorHAnsi" w:hAnsiTheme="minorHAnsi" w:cstheme="minorHAnsi"/>
          <w:lang w:val="el-GR"/>
        </w:rPr>
        <w:t>)</w:t>
      </w:r>
      <w:r w:rsidRPr="00466073">
        <w:rPr>
          <w:rFonts w:asciiTheme="minorHAnsi" w:hAnsiTheme="minorHAnsi" w:cstheme="minorHAnsi"/>
          <w:lang w:val="el-GR"/>
        </w:rPr>
        <w:t xml:space="preserve"> του εξωτερικού εμπορίου της Ουγγαρίας (αξίας €</w:t>
      </w:r>
      <w:r w:rsidR="00793D24" w:rsidRPr="00466073">
        <w:rPr>
          <w:rFonts w:asciiTheme="minorHAnsi" w:hAnsiTheme="minorHAnsi" w:cstheme="minorHAnsi"/>
          <w:lang w:val="el-GR"/>
        </w:rPr>
        <w:t xml:space="preserve">212,61 </w:t>
      </w:r>
      <w:proofErr w:type="spellStart"/>
      <w:r w:rsidR="00AF3BF6" w:rsidRPr="00466073">
        <w:rPr>
          <w:rFonts w:asciiTheme="minorHAnsi" w:hAnsiTheme="minorHAnsi" w:cstheme="minorHAnsi"/>
          <w:lang w:val="el-GR"/>
        </w:rPr>
        <w:t>δισεκ</w:t>
      </w:r>
      <w:proofErr w:type="spellEnd"/>
      <w:r w:rsidR="00AF3BF6" w:rsidRPr="00466073">
        <w:rPr>
          <w:rFonts w:asciiTheme="minorHAnsi" w:hAnsiTheme="minorHAnsi" w:cstheme="minorHAnsi"/>
          <w:lang w:val="el-GR"/>
        </w:rPr>
        <w:t>.</w:t>
      </w:r>
      <w:r w:rsidRPr="00466073">
        <w:rPr>
          <w:rFonts w:asciiTheme="minorHAnsi" w:hAnsiTheme="minorHAnsi" w:cstheme="minorHAnsi"/>
          <w:lang w:val="el-GR"/>
        </w:rPr>
        <w:t>)</w:t>
      </w:r>
      <w:r w:rsidR="00DE44C9" w:rsidRPr="00466073">
        <w:rPr>
          <w:rFonts w:asciiTheme="minorHAnsi" w:hAnsiTheme="minorHAnsi" w:cstheme="minorHAnsi"/>
          <w:lang w:val="el-GR"/>
        </w:rPr>
        <w:t>,</w:t>
      </w:r>
      <w:r w:rsidRPr="00466073">
        <w:rPr>
          <w:rFonts w:asciiTheme="minorHAnsi" w:hAnsiTheme="minorHAnsi" w:cstheme="minorHAnsi"/>
          <w:lang w:val="el-GR"/>
        </w:rPr>
        <w:t xml:space="preserve"> αφορά </w:t>
      </w:r>
      <w:r w:rsidR="00314B95" w:rsidRPr="00466073">
        <w:rPr>
          <w:rFonts w:asciiTheme="minorHAnsi" w:hAnsiTheme="minorHAnsi" w:cstheme="minorHAnsi"/>
          <w:lang w:val="el-GR"/>
        </w:rPr>
        <w:t xml:space="preserve">σε </w:t>
      </w:r>
      <w:r w:rsidRPr="00466073">
        <w:rPr>
          <w:rFonts w:asciiTheme="minorHAnsi" w:hAnsiTheme="minorHAnsi" w:cstheme="minorHAnsi"/>
          <w:lang w:val="el-GR"/>
        </w:rPr>
        <w:t>συναλλαγές με χώρες της ΕΕ</w:t>
      </w:r>
      <w:r w:rsidR="00B75D70" w:rsidRPr="00466073">
        <w:rPr>
          <w:rFonts w:asciiTheme="minorHAnsi" w:hAnsiTheme="minorHAnsi" w:cstheme="minorHAnsi"/>
          <w:lang w:val="el-GR"/>
        </w:rPr>
        <w:t>-27</w:t>
      </w:r>
      <w:r w:rsidR="00C95416" w:rsidRPr="00466073">
        <w:rPr>
          <w:rFonts w:asciiTheme="minorHAnsi" w:hAnsiTheme="minorHAnsi" w:cstheme="minorHAnsi"/>
          <w:lang w:val="el-GR"/>
        </w:rPr>
        <w:t xml:space="preserve"> Το ύψος του όγκου συναλλαγών με </w:t>
      </w:r>
      <w:r w:rsidR="00B75D70" w:rsidRPr="00466073">
        <w:rPr>
          <w:rFonts w:asciiTheme="minorHAnsi" w:hAnsiTheme="minorHAnsi" w:cstheme="minorHAnsi"/>
          <w:lang w:val="el-GR"/>
        </w:rPr>
        <w:t xml:space="preserve">ευρωπαϊκές χώρες (πλην αυτών της ΕΕ-27) αγγίζει σε αξία τα € 35 </w:t>
      </w:r>
      <w:proofErr w:type="spellStart"/>
      <w:r w:rsidR="00B75D70" w:rsidRPr="00466073">
        <w:rPr>
          <w:rFonts w:asciiTheme="minorHAnsi" w:hAnsiTheme="minorHAnsi" w:cstheme="minorHAnsi"/>
          <w:lang w:val="el-GR"/>
        </w:rPr>
        <w:t>δισεκ</w:t>
      </w:r>
      <w:proofErr w:type="spellEnd"/>
      <w:r w:rsidR="00B75D70" w:rsidRPr="00466073">
        <w:rPr>
          <w:rFonts w:asciiTheme="minorHAnsi" w:hAnsiTheme="minorHAnsi" w:cstheme="minorHAnsi"/>
          <w:lang w:val="el-GR"/>
        </w:rPr>
        <w:t xml:space="preserve">. και με τις. </w:t>
      </w:r>
      <w:r w:rsidR="00C95416" w:rsidRPr="00466073">
        <w:rPr>
          <w:rFonts w:asciiTheme="minorHAnsi" w:hAnsiTheme="minorHAnsi" w:cstheme="minorHAnsi"/>
          <w:lang w:val="el-GR"/>
        </w:rPr>
        <w:t>χώρες της Ασίας τα €</w:t>
      </w:r>
      <w:r w:rsidR="00B75D70" w:rsidRPr="00466073">
        <w:rPr>
          <w:rFonts w:asciiTheme="minorHAnsi" w:hAnsiTheme="minorHAnsi" w:cstheme="minorHAnsi"/>
          <w:lang w:val="el-GR"/>
        </w:rPr>
        <w:t>32</w:t>
      </w:r>
      <w:r w:rsidR="00C95416" w:rsidRPr="00466073">
        <w:rPr>
          <w:rFonts w:asciiTheme="minorHAnsi" w:hAnsiTheme="minorHAnsi" w:cstheme="minorHAnsi"/>
          <w:lang w:val="el-GR"/>
        </w:rPr>
        <w:t>,</w:t>
      </w:r>
      <w:r w:rsidR="00B75D70" w:rsidRPr="00466073">
        <w:rPr>
          <w:rFonts w:asciiTheme="minorHAnsi" w:hAnsiTheme="minorHAnsi" w:cstheme="minorHAnsi"/>
          <w:lang w:val="el-GR"/>
        </w:rPr>
        <w:t>44</w:t>
      </w:r>
      <w:r w:rsidR="00C95416" w:rsidRPr="00466073">
        <w:rPr>
          <w:rFonts w:asciiTheme="minorHAnsi" w:hAnsiTheme="minorHAnsi" w:cstheme="minorHAnsi"/>
          <w:lang w:val="el-GR"/>
        </w:rPr>
        <w:t xml:space="preserve"> </w:t>
      </w:r>
      <w:proofErr w:type="spellStart"/>
      <w:r w:rsidR="00C95416" w:rsidRPr="00466073">
        <w:rPr>
          <w:rFonts w:asciiTheme="minorHAnsi" w:hAnsiTheme="minorHAnsi" w:cstheme="minorHAnsi"/>
          <w:lang w:val="el-GR"/>
        </w:rPr>
        <w:t>δι</w:t>
      </w:r>
      <w:r w:rsidR="00AF3BF6" w:rsidRPr="00466073">
        <w:rPr>
          <w:rFonts w:asciiTheme="minorHAnsi" w:hAnsiTheme="minorHAnsi" w:cstheme="minorHAnsi"/>
          <w:lang w:val="el-GR"/>
        </w:rPr>
        <w:t>σεκ</w:t>
      </w:r>
      <w:proofErr w:type="spellEnd"/>
      <w:r w:rsidR="00AF3BF6" w:rsidRPr="00466073">
        <w:rPr>
          <w:rFonts w:asciiTheme="minorHAnsi" w:hAnsiTheme="minorHAnsi" w:cstheme="minorHAnsi"/>
          <w:lang w:val="el-GR"/>
        </w:rPr>
        <w:t>.</w:t>
      </w:r>
      <w:r w:rsidR="00C95416" w:rsidRPr="00466073">
        <w:rPr>
          <w:rFonts w:asciiTheme="minorHAnsi" w:hAnsiTheme="minorHAnsi" w:cstheme="minorHAnsi"/>
          <w:lang w:val="el-GR"/>
        </w:rPr>
        <w:t xml:space="preserve"> </w:t>
      </w:r>
      <w:r w:rsidR="00AF3BF6" w:rsidRPr="00466073">
        <w:rPr>
          <w:rFonts w:asciiTheme="minorHAnsi" w:hAnsiTheme="minorHAnsi" w:cstheme="minorHAnsi"/>
          <w:lang w:val="el-GR"/>
        </w:rPr>
        <w:t>Με τις χώρες της Α</w:t>
      </w:r>
      <w:r w:rsidR="00C95416" w:rsidRPr="00466073">
        <w:rPr>
          <w:rFonts w:asciiTheme="minorHAnsi" w:hAnsiTheme="minorHAnsi" w:cstheme="minorHAnsi"/>
          <w:lang w:val="el-GR"/>
        </w:rPr>
        <w:t xml:space="preserve">μερικανικής Ηπείρου (συμπεριλαμβανομένων των ΗΠΑ), </w:t>
      </w:r>
      <w:r w:rsidR="00AF3BF6" w:rsidRPr="00466073">
        <w:rPr>
          <w:rFonts w:asciiTheme="minorHAnsi" w:hAnsiTheme="minorHAnsi" w:cstheme="minorHAnsi"/>
          <w:lang w:val="el-GR"/>
        </w:rPr>
        <w:t xml:space="preserve">η αξία του όγκου συναλλαγών της Ουγγαρίας αγγίζει σχεδόν </w:t>
      </w:r>
      <w:r w:rsidR="00C95416" w:rsidRPr="00466073">
        <w:rPr>
          <w:rFonts w:asciiTheme="minorHAnsi" w:hAnsiTheme="minorHAnsi" w:cstheme="minorHAnsi"/>
          <w:lang w:val="el-GR"/>
        </w:rPr>
        <w:t>τα €</w:t>
      </w:r>
      <w:r w:rsidR="00B75D70" w:rsidRPr="00466073">
        <w:rPr>
          <w:rFonts w:asciiTheme="minorHAnsi" w:hAnsiTheme="minorHAnsi" w:cstheme="minorHAnsi"/>
          <w:lang w:val="el-GR"/>
        </w:rPr>
        <w:t xml:space="preserve">10,7 </w:t>
      </w:r>
      <w:proofErr w:type="spellStart"/>
      <w:r w:rsidR="00AF3BF6" w:rsidRPr="00466073">
        <w:rPr>
          <w:rFonts w:asciiTheme="minorHAnsi" w:hAnsiTheme="minorHAnsi" w:cstheme="minorHAnsi"/>
          <w:lang w:val="el-GR"/>
        </w:rPr>
        <w:t>δισεκ</w:t>
      </w:r>
      <w:proofErr w:type="spellEnd"/>
      <w:r w:rsidR="00C95416" w:rsidRPr="00466073">
        <w:rPr>
          <w:rFonts w:asciiTheme="minorHAnsi" w:hAnsiTheme="minorHAnsi" w:cstheme="minorHAnsi"/>
          <w:lang w:val="el-GR"/>
        </w:rPr>
        <w:t xml:space="preserve">. </w:t>
      </w:r>
    </w:p>
    <w:p w:rsidR="00793D24" w:rsidRPr="00466073" w:rsidRDefault="00793D24" w:rsidP="008E7430">
      <w:pPr>
        <w:jc w:val="both"/>
        <w:rPr>
          <w:rFonts w:asciiTheme="minorHAnsi" w:hAnsiTheme="minorHAnsi" w:cstheme="minorHAnsi"/>
          <w:lang w:val="el-GR"/>
        </w:rPr>
      </w:pPr>
    </w:p>
    <w:p w:rsidR="00793D24" w:rsidRPr="00466073" w:rsidRDefault="00793D24" w:rsidP="008E7430">
      <w:pPr>
        <w:jc w:val="both"/>
        <w:rPr>
          <w:rFonts w:asciiTheme="minorHAnsi" w:hAnsiTheme="minorHAnsi" w:cstheme="minorHAnsi"/>
          <w:lang w:val="el-GR"/>
        </w:rPr>
      </w:pPr>
      <w:r w:rsidRPr="00466073">
        <w:rPr>
          <w:rFonts w:asciiTheme="minorHAnsi" w:hAnsiTheme="minorHAnsi" w:cstheme="minorHAnsi"/>
          <w:noProof/>
        </w:rPr>
        <w:drawing>
          <wp:inline distT="0" distB="0" distL="0" distR="0">
            <wp:extent cx="6277335" cy="3088257"/>
            <wp:effectExtent l="19050" t="0" r="28215"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75D70" w:rsidRPr="00466073" w:rsidRDefault="00B75D70" w:rsidP="008E7430">
      <w:pPr>
        <w:jc w:val="both"/>
        <w:rPr>
          <w:rFonts w:asciiTheme="minorHAnsi" w:hAnsiTheme="minorHAnsi" w:cstheme="minorHAnsi"/>
          <w:lang w:val="el-GR"/>
        </w:rPr>
      </w:pPr>
    </w:p>
    <w:p w:rsidR="00B75D70" w:rsidRPr="00466073" w:rsidRDefault="00B75D70" w:rsidP="00B75D70">
      <w:pPr>
        <w:widowControl w:val="0"/>
        <w:autoSpaceDE w:val="0"/>
        <w:autoSpaceDN w:val="0"/>
        <w:adjustRightInd w:val="0"/>
        <w:spacing w:line="233" w:lineRule="auto"/>
        <w:rPr>
          <w:rFonts w:asciiTheme="minorHAnsi" w:hAnsiTheme="minorHAnsi" w:cstheme="minorHAnsi"/>
          <w:bCs/>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 xml:space="preserve">. </w:t>
      </w:r>
    </w:p>
    <w:p w:rsidR="00793D24" w:rsidRPr="00466073" w:rsidRDefault="00793D24" w:rsidP="008E7430">
      <w:pPr>
        <w:jc w:val="both"/>
        <w:rPr>
          <w:rFonts w:asciiTheme="minorHAnsi" w:hAnsiTheme="minorHAnsi" w:cstheme="minorHAnsi"/>
          <w:lang w:val="el-GR"/>
        </w:rPr>
      </w:pPr>
    </w:p>
    <w:p w:rsidR="003165CE" w:rsidRPr="00466073" w:rsidRDefault="003165CE" w:rsidP="008E7430">
      <w:pPr>
        <w:jc w:val="both"/>
        <w:rPr>
          <w:rFonts w:asciiTheme="minorHAnsi" w:hAnsiTheme="minorHAnsi" w:cstheme="minorHAnsi"/>
          <w:lang w:val="el-GR"/>
        </w:rPr>
      </w:pPr>
    </w:p>
    <w:p w:rsidR="003165CE" w:rsidRPr="00466073" w:rsidRDefault="003165CE" w:rsidP="003165CE">
      <w:pPr>
        <w:jc w:val="center"/>
        <w:rPr>
          <w:rFonts w:asciiTheme="minorHAnsi" w:hAnsiTheme="minorHAnsi" w:cstheme="minorHAnsi"/>
          <w:lang w:val="el-GR"/>
        </w:rPr>
      </w:pPr>
    </w:p>
    <w:p w:rsidR="00F22280" w:rsidRPr="00466073" w:rsidRDefault="00B75D70" w:rsidP="00471A32">
      <w:pPr>
        <w:jc w:val="both"/>
        <w:rPr>
          <w:rFonts w:asciiTheme="minorHAnsi" w:hAnsiTheme="minorHAnsi" w:cstheme="minorHAnsi"/>
          <w:lang w:val="el-GR"/>
        </w:rPr>
      </w:pPr>
      <w:r w:rsidRPr="00466073">
        <w:rPr>
          <w:rFonts w:asciiTheme="minorHAnsi" w:hAnsiTheme="minorHAnsi" w:cstheme="minorHAnsi"/>
          <w:lang w:val="el-GR"/>
        </w:rPr>
        <w:t>Ενδεικτικά, επιλέγοντας το έτος 2017 και σ</w:t>
      </w:r>
      <w:r w:rsidR="00B94E53" w:rsidRPr="00466073">
        <w:rPr>
          <w:rFonts w:asciiTheme="minorHAnsi" w:hAnsiTheme="minorHAnsi" w:cstheme="minorHAnsi"/>
          <w:lang w:val="el-GR"/>
        </w:rPr>
        <w:t xml:space="preserve">ε σύγκριση </w:t>
      </w:r>
      <w:r w:rsidRPr="00466073">
        <w:rPr>
          <w:rFonts w:asciiTheme="minorHAnsi" w:hAnsiTheme="minorHAnsi" w:cstheme="minorHAnsi"/>
          <w:lang w:val="el-GR"/>
        </w:rPr>
        <w:t xml:space="preserve">με το παρακάτω γράφημα, </w:t>
      </w:r>
      <w:r w:rsidR="007E42F6" w:rsidRPr="00466073">
        <w:rPr>
          <w:rFonts w:asciiTheme="minorHAnsi" w:hAnsiTheme="minorHAnsi" w:cstheme="minorHAnsi"/>
          <w:lang w:val="el-GR"/>
        </w:rPr>
        <w:t xml:space="preserve">διαπιστώνουμε ότι διαχρονικά, η κατανομή του εξωτερικού εμπορίου της Ουγγαρίας δεν παρουσιάζει ουσιαστικές διαφοροποιήσεις. Συμπερασματικά θα λέγαμε ότι η Ουγγαρία παραμένει πιστή στη «συνταγή» που ακολουθεί τις δύο τελευταίες δεκαετίες, δίνοντας το βάρος του εξωτερικού της εμπορίου στις χώρες της Ευρώπης. </w:t>
      </w:r>
    </w:p>
    <w:p w:rsidR="00F22280" w:rsidRPr="00466073" w:rsidRDefault="00F22280" w:rsidP="00471A32">
      <w:pPr>
        <w:jc w:val="both"/>
        <w:rPr>
          <w:rFonts w:asciiTheme="minorHAnsi" w:hAnsiTheme="minorHAnsi" w:cstheme="minorHAnsi"/>
          <w:lang w:val="el-GR"/>
        </w:rPr>
      </w:pPr>
    </w:p>
    <w:p w:rsidR="00F22280" w:rsidRPr="00466073" w:rsidRDefault="00F22280" w:rsidP="00F22280">
      <w:pPr>
        <w:jc w:val="center"/>
        <w:rPr>
          <w:rFonts w:asciiTheme="minorHAnsi" w:hAnsiTheme="minorHAnsi" w:cstheme="minorHAnsi"/>
          <w:lang w:val="el-GR"/>
        </w:rPr>
      </w:pPr>
      <w:r w:rsidRPr="00466073">
        <w:rPr>
          <w:rFonts w:asciiTheme="minorHAnsi" w:hAnsiTheme="minorHAnsi" w:cstheme="minorHAnsi"/>
          <w:noProof/>
        </w:rPr>
        <w:drawing>
          <wp:inline distT="0" distB="0" distL="0" distR="0">
            <wp:extent cx="5738843" cy="3156499"/>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5746868" cy="3160913"/>
                    </a:xfrm>
                    <a:prstGeom prst="rect">
                      <a:avLst/>
                    </a:prstGeom>
                    <a:noFill/>
                  </pic:spPr>
                </pic:pic>
              </a:graphicData>
            </a:graphic>
          </wp:inline>
        </w:drawing>
      </w:r>
    </w:p>
    <w:p w:rsidR="00B75D70" w:rsidRPr="00466073" w:rsidRDefault="00B75D70" w:rsidP="00B75D70">
      <w:pPr>
        <w:widowControl w:val="0"/>
        <w:autoSpaceDE w:val="0"/>
        <w:autoSpaceDN w:val="0"/>
        <w:adjustRightInd w:val="0"/>
        <w:spacing w:line="233" w:lineRule="auto"/>
        <w:ind w:firstLine="720"/>
        <w:rPr>
          <w:rFonts w:asciiTheme="minorHAnsi" w:hAnsiTheme="minorHAnsi" w:cstheme="minorHAnsi"/>
          <w:bCs/>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 xml:space="preserve">. </w:t>
      </w:r>
    </w:p>
    <w:p w:rsidR="00F22280" w:rsidRPr="00466073" w:rsidRDefault="00F22280" w:rsidP="00471A32">
      <w:pPr>
        <w:jc w:val="both"/>
        <w:rPr>
          <w:rFonts w:asciiTheme="minorHAnsi" w:hAnsiTheme="minorHAnsi" w:cstheme="minorHAnsi"/>
          <w:lang w:val="el-GR"/>
        </w:rPr>
      </w:pPr>
    </w:p>
    <w:p w:rsidR="00F22280" w:rsidRPr="00466073" w:rsidRDefault="00B75D70" w:rsidP="00471A32">
      <w:pPr>
        <w:jc w:val="both"/>
        <w:rPr>
          <w:rFonts w:asciiTheme="minorHAnsi" w:hAnsiTheme="minorHAnsi" w:cstheme="minorHAnsi"/>
          <w:lang w:val="el-GR"/>
        </w:rPr>
      </w:pPr>
      <w:r w:rsidRPr="00466073">
        <w:rPr>
          <w:rFonts w:asciiTheme="minorHAnsi" w:hAnsiTheme="minorHAnsi" w:cstheme="minorHAnsi"/>
          <w:lang w:val="el-GR"/>
        </w:rPr>
        <w:t>Ωστόσο, δ</w:t>
      </w:r>
      <w:r w:rsidR="007E42F6" w:rsidRPr="00466073">
        <w:rPr>
          <w:rFonts w:asciiTheme="minorHAnsi" w:hAnsiTheme="minorHAnsi" w:cstheme="minorHAnsi"/>
          <w:lang w:val="el-GR"/>
        </w:rPr>
        <w:t xml:space="preserve">ιαπιστώνουμε </w:t>
      </w:r>
      <w:r w:rsidRPr="00466073">
        <w:rPr>
          <w:rFonts w:asciiTheme="minorHAnsi" w:hAnsiTheme="minorHAnsi" w:cstheme="minorHAnsi"/>
          <w:lang w:val="el-GR"/>
        </w:rPr>
        <w:t>μια σοβαρή</w:t>
      </w:r>
      <w:r w:rsidR="007E42F6" w:rsidRPr="00466073">
        <w:rPr>
          <w:rFonts w:asciiTheme="minorHAnsi" w:hAnsiTheme="minorHAnsi" w:cstheme="minorHAnsi"/>
          <w:lang w:val="el-GR"/>
        </w:rPr>
        <w:t xml:space="preserve"> αύξηση του όγκου συναλλαγών με την Ασία (κυρίως λόγω των αυξανόμενων σχέσεων με </w:t>
      </w:r>
      <w:r w:rsidR="0035275D" w:rsidRPr="00466073">
        <w:rPr>
          <w:rFonts w:asciiTheme="minorHAnsi" w:hAnsiTheme="minorHAnsi" w:cstheme="minorHAnsi"/>
          <w:lang w:val="el-GR"/>
        </w:rPr>
        <w:t xml:space="preserve">τις </w:t>
      </w:r>
      <w:r w:rsidR="007E42F6" w:rsidRPr="00466073">
        <w:rPr>
          <w:rFonts w:asciiTheme="minorHAnsi" w:hAnsiTheme="minorHAnsi" w:cstheme="minorHAnsi"/>
          <w:lang w:val="el-GR"/>
        </w:rPr>
        <w:t>Κίνα</w:t>
      </w:r>
      <w:r w:rsidR="0035275D" w:rsidRPr="00466073">
        <w:rPr>
          <w:rFonts w:asciiTheme="minorHAnsi" w:hAnsiTheme="minorHAnsi" w:cstheme="minorHAnsi"/>
          <w:lang w:val="el-GR"/>
        </w:rPr>
        <w:t>, Ιαπωνία και Ν. Κορέα</w:t>
      </w:r>
      <w:r w:rsidR="006655D7" w:rsidRPr="00466073">
        <w:rPr>
          <w:rFonts w:asciiTheme="minorHAnsi" w:hAnsiTheme="minorHAnsi" w:cstheme="minorHAnsi"/>
          <w:lang w:val="el-GR"/>
        </w:rPr>
        <w:t>)</w:t>
      </w:r>
      <w:r w:rsidR="00315D8F" w:rsidRPr="00466073">
        <w:rPr>
          <w:rFonts w:asciiTheme="minorHAnsi" w:hAnsiTheme="minorHAnsi" w:cstheme="minorHAnsi"/>
          <w:lang w:val="el-GR"/>
        </w:rPr>
        <w:t xml:space="preserve">, καθώς και </w:t>
      </w:r>
      <w:r w:rsidR="006655D7" w:rsidRPr="00466073">
        <w:rPr>
          <w:rFonts w:asciiTheme="minorHAnsi" w:hAnsiTheme="minorHAnsi" w:cstheme="minorHAnsi"/>
          <w:lang w:val="el-GR"/>
        </w:rPr>
        <w:t xml:space="preserve">μία </w:t>
      </w:r>
      <w:r w:rsidR="00315D8F" w:rsidRPr="00466073">
        <w:rPr>
          <w:rFonts w:asciiTheme="minorHAnsi" w:hAnsiTheme="minorHAnsi" w:cstheme="minorHAnsi"/>
          <w:lang w:val="el-GR"/>
        </w:rPr>
        <w:t xml:space="preserve">αξιοσημείωτη πτώση της τάξης του 5,5% στον όγκο των εμπορικών της συναλλαγών με κ-μ της Ε.Ε. (κυρίως λόγω της αποχώρησης του Ηνωμένου Βασιλείου από την Ε.Ε.). </w:t>
      </w:r>
      <w:r w:rsidR="002B4C4C" w:rsidRPr="00466073">
        <w:rPr>
          <w:rFonts w:asciiTheme="minorHAnsi" w:hAnsiTheme="minorHAnsi" w:cstheme="minorHAnsi"/>
          <w:lang w:val="el-GR"/>
        </w:rPr>
        <w:t xml:space="preserve">Μεταξύ των χωρών της Κεντρικής και Ανατολικής Ευρώπης, η Ουγγαρία αναδεικνύεται ως η χώρα με τις περισσότερες εξαγωγές στην Κίνα. Επίσης, αξίζει να αναφερθεί </w:t>
      </w:r>
      <w:r w:rsidR="00534EFB" w:rsidRPr="00466073">
        <w:rPr>
          <w:rFonts w:asciiTheme="minorHAnsi" w:hAnsiTheme="minorHAnsi" w:cstheme="minorHAnsi"/>
          <w:lang w:val="el-GR"/>
        </w:rPr>
        <w:t xml:space="preserve">ότι, μέχρι το 2022, </w:t>
      </w:r>
      <w:r w:rsidR="0035275D" w:rsidRPr="00466073">
        <w:rPr>
          <w:rFonts w:asciiTheme="minorHAnsi" w:hAnsiTheme="minorHAnsi" w:cstheme="minorHAnsi"/>
          <w:lang w:val="el-GR"/>
        </w:rPr>
        <w:t>το σύνολο των επενδυμένων κινεζικών κεφαλαίων</w:t>
      </w:r>
      <w:r w:rsidRPr="00466073">
        <w:rPr>
          <w:rFonts w:asciiTheme="minorHAnsi" w:hAnsiTheme="minorHAnsi" w:cstheme="minorHAnsi"/>
          <w:lang w:val="el-GR"/>
        </w:rPr>
        <w:t xml:space="preserve"> στην Ουγγαρία, υπερέβη τα $6</w:t>
      </w:r>
      <w:r w:rsidR="00534EFB" w:rsidRPr="00466073">
        <w:rPr>
          <w:rFonts w:asciiTheme="minorHAnsi" w:hAnsiTheme="minorHAnsi" w:cstheme="minorHAnsi"/>
          <w:lang w:val="el-GR"/>
        </w:rPr>
        <w:t xml:space="preserve"> </w:t>
      </w:r>
      <w:proofErr w:type="spellStart"/>
      <w:r w:rsidR="00534EFB" w:rsidRPr="00466073">
        <w:rPr>
          <w:rFonts w:asciiTheme="minorHAnsi" w:hAnsiTheme="minorHAnsi" w:cstheme="minorHAnsi"/>
          <w:lang w:val="el-GR"/>
        </w:rPr>
        <w:t>δισεκ</w:t>
      </w:r>
      <w:proofErr w:type="spellEnd"/>
      <w:r w:rsidR="00534EFB" w:rsidRPr="00466073">
        <w:rPr>
          <w:rFonts w:asciiTheme="minorHAnsi" w:hAnsiTheme="minorHAnsi" w:cstheme="minorHAnsi"/>
          <w:lang w:val="el-GR"/>
        </w:rPr>
        <w:t xml:space="preserve">. </w:t>
      </w:r>
      <w:r w:rsidR="0035275D" w:rsidRPr="00466073">
        <w:rPr>
          <w:rFonts w:asciiTheme="minorHAnsi" w:hAnsiTheme="minorHAnsi" w:cstheme="minorHAnsi"/>
          <w:lang w:val="el-GR"/>
        </w:rPr>
        <w:t xml:space="preserve">Το ποσό αυτό, που αναλογεί </w:t>
      </w:r>
      <w:r w:rsidR="00534EFB" w:rsidRPr="00466073">
        <w:rPr>
          <w:rFonts w:asciiTheme="minorHAnsi" w:hAnsiTheme="minorHAnsi" w:cstheme="minorHAnsi"/>
          <w:lang w:val="el-GR"/>
        </w:rPr>
        <w:t>άνω του</w:t>
      </w:r>
      <w:r w:rsidR="0035275D" w:rsidRPr="00466073">
        <w:rPr>
          <w:rFonts w:asciiTheme="minorHAnsi" w:hAnsiTheme="minorHAnsi" w:cstheme="minorHAnsi"/>
          <w:lang w:val="el-GR"/>
        </w:rPr>
        <w:t xml:space="preserve"> 50% των συνολικών κινεζικών επενδύσεων στην Κεντρική και Ανατολική Ευρώπη, αναδεικνύει την Κίνα, ως τον σημαντικότερο επενδυτικό εταίρο της Ουγγαρίας και παράλληλα επιβεβαιώνει την προτίμηση της Κίνας να επενδύσει τα κεφάλαιά της στην Ουγγαρία. Σε όρους επεν</w:t>
      </w:r>
      <w:r w:rsidR="00A913F3" w:rsidRPr="00466073">
        <w:rPr>
          <w:rFonts w:asciiTheme="minorHAnsi" w:hAnsiTheme="minorHAnsi" w:cstheme="minorHAnsi"/>
          <w:lang w:val="el-GR"/>
        </w:rPr>
        <w:t>δυμένου κεφαλαίου εντός του 202</w:t>
      </w:r>
      <w:r w:rsidR="00534EFB" w:rsidRPr="00466073">
        <w:rPr>
          <w:rFonts w:asciiTheme="minorHAnsi" w:hAnsiTheme="minorHAnsi" w:cstheme="minorHAnsi"/>
          <w:lang w:val="el-GR"/>
        </w:rPr>
        <w:t>2</w:t>
      </w:r>
      <w:r w:rsidR="0035275D" w:rsidRPr="00466073">
        <w:rPr>
          <w:rFonts w:asciiTheme="minorHAnsi" w:hAnsiTheme="minorHAnsi" w:cstheme="minorHAnsi"/>
          <w:lang w:val="el-GR"/>
        </w:rPr>
        <w:t xml:space="preserve">, </w:t>
      </w:r>
      <w:r w:rsidR="00A913F3" w:rsidRPr="00466073">
        <w:rPr>
          <w:rFonts w:asciiTheme="minorHAnsi" w:hAnsiTheme="minorHAnsi" w:cstheme="minorHAnsi"/>
          <w:lang w:val="el-GR"/>
        </w:rPr>
        <w:t xml:space="preserve">η Κίνα </w:t>
      </w:r>
      <w:r w:rsidR="0035275D" w:rsidRPr="00466073">
        <w:rPr>
          <w:rFonts w:asciiTheme="minorHAnsi" w:hAnsiTheme="minorHAnsi" w:cstheme="minorHAnsi"/>
          <w:lang w:val="el-GR"/>
        </w:rPr>
        <w:t xml:space="preserve">κατατάσσεται στην πρώτη </w:t>
      </w:r>
      <w:r w:rsidR="00D9446B" w:rsidRPr="00466073">
        <w:rPr>
          <w:rFonts w:asciiTheme="minorHAnsi" w:hAnsiTheme="minorHAnsi" w:cstheme="minorHAnsi"/>
          <w:lang w:val="el-GR"/>
        </w:rPr>
        <w:t>θέση μεταξύ των ξένων επενδυτών</w:t>
      </w:r>
      <w:r w:rsidR="0035275D" w:rsidRPr="00466073">
        <w:rPr>
          <w:rFonts w:asciiTheme="minorHAnsi" w:hAnsiTheme="minorHAnsi" w:cstheme="minorHAnsi"/>
          <w:lang w:val="el-GR"/>
        </w:rPr>
        <w:t xml:space="preserve"> </w:t>
      </w:r>
      <w:r w:rsidR="00D9446B" w:rsidRPr="00466073">
        <w:rPr>
          <w:rFonts w:asciiTheme="minorHAnsi" w:hAnsiTheme="minorHAnsi" w:cstheme="minorHAnsi"/>
          <w:lang w:val="el-GR"/>
        </w:rPr>
        <w:t xml:space="preserve">ενώ </w:t>
      </w:r>
      <w:r w:rsidR="0035275D" w:rsidRPr="00466073">
        <w:rPr>
          <w:rFonts w:asciiTheme="minorHAnsi" w:hAnsiTheme="minorHAnsi" w:cstheme="minorHAnsi"/>
          <w:lang w:val="el-GR"/>
        </w:rPr>
        <w:t>την δεύτε</w:t>
      </w:r>
      <w:r w:rsidR="00A913F3" w:rsidRPr="00466073">
        <w:rPr>
          <w:rFonts w:asciiTheme="minorHAnsi" w:hAnsiTheme="minorHAnsi" w:cstheme="minorHAnsi"/>
          <w:lang w:val="el-GR"/>
        </w:rPr>
        <w:t>ρη θέση καταλαμβάνει η Ν. Κορέα.</w:t>
      </w:r>
    </w:p>
    <w:p w:rsidR="00F22280" w:rsidRPr="00466073" w:rsidRDefault="00F22280" w:rsidP="00471A32">
      <w:pPr>
        <w:jc w:val="both"/>
        <w:rPr>
          <w:rFonts w:asciiTheme="minorHAnsi" w:hAnsiTheme="minorHAnsi" w:cstheme="minorHAnsi"/>
          <w:lang w:val="el-GR"/>
        </w:rPr>
      </w:pPr>
    </w:p>
    <w:p w:rsidR="007E42F6" w:rsidRPr="00466073" w:rsidRDefault="00F22280" w:rsidP="00471A32">
      <w:pPr>
        <w:jc w:val="both"/>
        <w:rPr>
          <w:rFonts w:asciiTheme="minorHAnsi" w:hAnsiTheme="minorHAnsi" w:cstheme="minorHAnsi"/>
          <w:lang w:val="el-GR"/>
        </w:rPr>
      </w:pPr>
      <w:r w:rsidRPr="00466073">
        <w:rPr>
          <w:rFonts w:asciiTheme="minorHAnsi" w:hAnsiTheme="minorHAnsi" w:cstheme="minorHAnsi"/>
          <w:lang w:val="el-GR"/>
        </w:rPr>
        <w:t>Με την ευκαιρία, σημειώνουμε ότι η βασική αρχή που διέπει τις εν γένει διμερείς οικονομικές, εμπορικές και επενδυτικές σχέσεις Ουγγαρίας-Κίνας, συνοψίζεται στο τρίπτυχο: «ρεαλιστική-</w:t>
      </w:r>
      <w:proofErr w:type="spellStart"/>
      <w:r w:rsidRPr="00466073">
        <w:rPr>
          <w:rFonts w:asciiTheme="minorHAnsi" w:hAnsiTheme="minorHAnsi" w:cstheme="minorHAnsi"/>
          <w:lang w:val="el-GR"/>
        </w:rPr>
        <w:t>πραγματιστική</w:t>
      </w:r>
      <w:proofErr w:type="spellEnd"/>
      <w:r w:rsidRPr="00466073">
        <w:rPr>
          <w:rFonts w:asciiTheme="minorHAnsi" w:hAnsiTheme="minorHAnsi" w:cstheme="minorHAnsi"/>
          <w:lang w:val="el-GR"/>
        </w:rPr>
        <w:t xml:space="preserve"> συνεργασία, ανάπτυξη ψηφιακής οικονομίας, πράσινη συνεργασία». Ταυτόχρονα, η σύγκλιση απόψεων και προθέσεων των δύο πλευρών εκδηλώνεται εμπράκτως, μέσω της ουγγρικής στρατηγικής πολιτικής «</w:t>
      </w:r>
      <w:proofErr w:type="spellStart"/>
      <w:r w:rsidRPr="00466073">
        <w:rPr>
          <w:rFonts w:asciiTheme="minorHAnsi" w:hAnsiTheme="minorHAnsi" w:cstheme="minorHAnsi"/>
          <w:lang w:val="el-GR"/>
        </w:rPr>
        <w:t>Eastern</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Opening</w:t>
      </w:r>
      <w:proofErr w:type="spellEnd"/>
      <w:r w:rsidRPr="00466073">
        <w:rPr>
          <w:rFonts w:asciiTheme="minorHAnsi" w:hAnsiTheme="minorHAnsi" w:cstheme="minorHAnsi"/>
          <w:lang w:val="el-GR"/>
        </w:rPr>
        <w:t xml:space="preserve">» και της κινεζικής πρωτοβουλίας </w:t>
      </w:r>
      <w:r w:rsidR="00A50677" w:rsidRPr="00466073">
        <w:rPr>
          <w:rFonts w:asciiTheme="minorHAnsi" w:hAnsiTheme="minorHAnsi" w:cstheme="minorHAnsi"/>
          <w:lang w:val="el-GR"/>
        </w:rPr>
        <w:t>«</w:t>
      </w:r>
      <w:proofErr w:type="spellStart"/>
      <w:r w:rsidR="00A50677" w:rsidRPr="00466073">
        <w:rPr>
          <w:rFonts w:asciiTheme="minorHAnsi" w:hAnsiTheme="minorHAnsi" w:cstheme="minorHAnsi"/>
          <w:lang w:val="el-GR"/>
        </w:rPr>
        <w:t>One</w:t>
      </w:r>
      <w:proofErr w:type="spellEnd"/>
      <w:r w:rsidR="00A50677" w:rsidRPr="00466073">
        <w:rPr>
          <w:rFonts w:asciiTheme="minorHAnsi" w:hAnsiTheme="minorHAnsi" w:cstheme="minorHAnsi"/>
          <w:lang w:val="el-GR"/>
        </w:rPr>
        <w:t xml:space="preserve"> </w:t>
      </w:r>
      <w:proofErr w:type="spellStart"/>
      <w:r w:rsidR="00A50677" w:rsidRPr="00466073">
        <w:rPr>
          <w:rFonts w:asciiTheme="minorHAnsi" w:hAnsiTheme="minorHAnsi" w:cstheme="minorHAnsi"/>
          <w:lang w:val="el-GR"/>
        </w:rPr>
        <w:t>Belt</w:t>
      </w:r>
      <w:proofErr w:type="spellEnd"/>
      <w:r w:rsidR="00A50677" w:rsidRPr="00466073">
        <w:rPr>
          <w:rFonts w:asciiTheme="minorHAnsi" w:hAnsiTheme="minorHAnsi" w:cstheme="minorHAnsi"/>
          <w:lang w:val="el-GR"/>
        </w:rPr>
        <w:t xml:space="preserve"> </w:t>
      </w:r>
      <w:proofErr w:type="spellStart"/>
      <w:r w:rsidR="00A50677" w:rsidRPr="00466073">
        <w:rPr>
          <w:rFonts w:asciiTheme="minorHAnsi" w:hAnsiTheme="minorHAnsi" w:cstheme="minorHAnsi"/>
          <w:lang w:val="el-GR"/>
        </w:rPr>
        <w:t>One</w:t>
      </w:r>
      <w:proofErr w:type="spellEnd"/>
      <w:r w:rsidR="00A50677" w:rsidRPr="00466073">
        <w:rPr>
          <w:rFonts w:asciiTheme="minorHAnsi" w:hAnsiTheme="minorHAnsi" w:cstheme="minorHAnsi"/>
          <w:lang w:val="el-GR"/>
        </w:rPr>
        <w:t xml:space="preserve"> </w:t>
      </w:r>
      <w:proofErr w:type="spellStart"/>
      <w:r w:rsidR="00A50677" w:rsidRPr="00466073">
        <w:rPr>
          <w:rFonts w:asciiTheme="minorHAnsi" w:hAnsiTheme="minorHAnsi" w:cstheme="minorHAnsi"/>
          <w:lang w:val="el-GR"/>
        </w:rPr>
        <w:t>Road</w:t>
      </w:r>
      <w:proofErr w:type="spellEnd"/>
      <w:r w:rsidR="00A50677" w:rsidRPr="00466073">
        <w:rPr>
          <w:rFonts w:asciiTheme="minorHAnsi" w:hAnsiTheme="minorHAnsi" w:cstheme="minorHAnsi"/>
          <w:lang w:val="el-GR"/>
        </w:rPr>
        <w:t>». Ο</w:t>
      </w:r>
      <w:r w:rsidRPr="00466073">
        <w:rPr>
          <w:rFonts w:asciiTheme="minorHAnsi" w:hAnsiTheme="minorHAnsi" w:cstheme="minorHAnsi"/>
          <w:lang w:val="el-GR"/>
        </w:rPr>
        <w:t xml:space="preserve">ι δύο πλευρές </w:t>
      </w:r>
      <w:r w:rsidR="00A50677" w:rsidRPr="00466073">
        <w:rPr>
          <w:rFonts w:asciiTheme="minorHAnsi" w:hAnsiTheme="minorHAnsi" w:cstheme="minorHAnsi"/>
          <w:lang w:val="el-GR"/>
        </w:rPr>
        <w:t xml:space="preserve">έχουν υπογράψει </w:t>
      </w:r>
      <w:r w:rsidRPr="00466073">
        <w:rPr>
          <w:rFonts w:asciiTheme="minorHAnsi" w:hAnsiTheme="minorHAnsi" w:cstheme="minorHAnsi"/>
          <w:lang w:val="el-GR"/>
        </w:rPr>
        <w:t>Συμφωνία Συνεργασίας “</w:t>
      </w:r>
      <w:proofErr w:type="spellStart"/>
      <w:r w:rsidRPr="00466073">
        <w:rPr>
          <w:rFonts w:asciiTheme="minorHAnsi" w:hAnsiTheme="minorHAnsi" w:cstheme="minorHAnsi"/>
          <w:lang w:val="el-GR"/>
        </w:rPr>
        <w:t>China</w:t>
      </w:r>
      <w:proofErr w:type="spellEnd"/>
      <w:r w:rsidRPr="00466073">
        <w:rPr>
          <w:rFonts w:asciiTheme="minorHAnsi" w:hAnsiTheme="minorHAnsi" w:cstheme="minorHAnsi"/>
          <w:lang w:val="el-GR"/>
        </w:rPr>
        <w:t>-</w:t>
      </w:r>
      <w:proofErr w:type="spellStart"/>
      <w:r w:rsidRPr="00466073">
        <w:rPr>
          <w:rFonts w:asciiTheme="minorHAnsi" w:hAnsiTheme="minorHAnsi" w:cstheme="minorHAnsi"/>
          <w:lang w:val="el-GR"/>
        </w:rPr>
        <w:t>Hungary</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Belt</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and</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Road</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Initiative</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Priority</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Cooperation</w:t>
      </w:r>
      <w:proofErr w:type="spellEnd"/>
      <w:r w:rsidRPr="00466073">
        <w:rPr>
          <w:rFonts w:asciiTheme="minorHAnsi" w:hAnsiTheme="minorHAnsi" w:cstheme="minorHAnsi"/>
          <w:lang w:val="el-GR"/>
        </w:rPr>
        <w:t xml:space="preserve"> Project </w:t>
      </w:r>
      <w:proofErr w:type="spellStart"/>
      <w:r w:rsidRPr="00466073">
        <w:rPr>
          <w:rFonts w:asciiTheme="minorHAnsi" w:hAnsiTheme="minorHAnsi" w:cstheme="minorHAnsi"/>
          <w:lang w:val="el-GR"/>
        </w:rPr>
        <w:t>List</w:t>
      </w:r>
      <w:proofErr w:type="spellEnd"/>
      <w:r w:rsidRPr="00466073">
        <w:rPr>
          <w:rFonts w:asciiTheme="minorHAnsi" w:hAnsiTheme="minorHAnsi" w:cstheme="minorHAnsi"/>
          <w:lang w:val="el-GR"/>
        </w:rPr>
        <w:t>.”, βάσει της οποίας οι δύο χώρες, θα εργαστούν από κοινού για την οικονομική ανάπτυξη στην μετά-COVID εποχή, για την περαιτέρω ενίσχυση της διμερούς συνεργασίας τους και για τη διερεύνηση νέων τομέων συνεργασίας στο πλαίσιο των προαναφερόμενων πολιτικών.</w:t>
      </w:r>
    </w:p>
    <w:p w:rsidR="007E42F6" w:rsidRPr="00466073" w:rsidRDefault="007E42F6" w:rsidP="007E42F6">
      <w:pPr>
        <w:jc w:val="center"/>
        <w:rPr>
          <w:rFonts w:asciiTheme="minorHAnsi" w:hAnsiTheme="minorHAnsi" w:cstheme="minorHAnsi"/>
          <w:lang w:val="el-GR"/>
        </w:rPr>
      </w:pPr>
    </w:p>
    <w:p w:rsidR="0029704B" w:rsidRPr="00466073" w:rsidRDefault="0029704B" w:rsidP="00471A32">
      <w:pPr>
        <w:jc w:val="both"/>
        <w:rPr>
          <w:rFonts w:asciiTheme="minorHAnsi" w:hAnsiTheme="minorHAnsi" w:cstheme="minorHAnsi"/>
          <w:lang w:val="el-GR"/>
        </w:rPr>
      </w:pPr>
      <w:r w:rsidRPr="00466073">
        <w:rPr>
          <w:rFonts w:asciiTheme="minorHAnsi" w:hAnsiTheme="minorHAnsi" w:cstheme="minorHAnsi"/>
          <w:lang w:val="el-GR"/>
        </w:rPr>
        <w:t>Τέλος, σ</w:t>
      </w:r>
      <w:r w:rsidR="00471A32" w:rsidRPr="00466073">
        <w:rPr>
          <w:rFonts w:asciiTheme="minorHAnsi" w:hAnsiTheme="minorHAnsi" w:cstheme="minorHAnsi"/>
          <w:lang w:val="el-GR"/>
        </w:rPr>
        <w:t xml:space="preserve">το </w:t>
      </w:r>
      <w:r w:rsidR="00C95416" w:rsidRPr="00466073">
        <w:rPr>
          <w:rFonts w:asciiTheme="minorHAnsi" w:hAnsiTheme="minorHAnsi" w:cstheme="minorHAnsi"/>
          <w:lang w:val="el-GR"/>
        </w:rPr>
        <w:t>γράφημα που ακολουθεί εμφανίζεται η ανοδική πορεία των συνολικών εισαγωγών και εξαγωγών τη</w:t>
      </w:r>
      <w:r w:rsidR="00E96447" w:rsidRPr="00466073">
        <w:rPr>
          <w:rFonts w:asciiTheme="minorHAnsi" w:hAnsiTheme="minorHAnsi" w:cstheme="minorHAnsi"/>
          <w:lang w:val="el-GR"/>
        </w:rPr>
        <w:t>ς Ουγγαρίας μεταξύ των ετών 2014</w:t>
      </w:r>
      <w:r w:rsidR="00C95416" w:rsidRPr="00466073">
        <w:rPr>
          <w:rFonts w:asciiTheme="minorHAnsi" w:hAnsiTheme="minorHAnsi" w:cstheme="minorHAnsi"/>
          <w:lang w:val="el-GR"/>
        </w:rPr>
        <w:t>-20</w:t>
      </w:r>
      <w:r w:rsidR="00E96447" w:rsidRPr="00466073">
        <w:rPr>
          <w:rFonts w:asciiTheme="minorHAnsi" w:hAnsiTheme="minorHAnsi" w:cstheme="minorHAnsi"/>
          <w:lang w:val="el-GR"/>
        </w:rPr>
        <w:t>22</w:t>
      </w:r>
      <w:r w:rsidR="006B0871" w:rsidRPr="00466073">
        <w:rPr>
          <w:rFonts w:asciiTheme="minorHAnsi" w:hAnsiTheme="minorHAnsi" w:cstheme="minorHAnsi"/>
          <w:lang w:val="el-GR"/>
        </w:rPr>
        <w:t>, με μια μικρή κάμψη το 2020</w:t>
      </w:r>
      <w:r w:rsidR="000C5CD4" w:rsidRPr="00466073">
        <w:rPr>
          <w:rFonts w:asciiTheme="minorHAnsi" w:hAnsiTheme="minorHAnsi" w:cstheme="minorHAnsi"/>
          <w:lang w:val="el-GR"/>
        </w:rPr>
        <w:t xml:space="preserve"> (μείωση 5,17% στις εισαγωγές και 4,1% στις εξαγωγές σε σχέση με το 2019)</w:t>
      </w:r>
      <w:r w:rsidR="006B0871" w:rsidRPr="00466073">
        <w:rPr>
          <w:rFonts w:asciiTheme="minorHAnsi" w:hAnsiTheme="minorHAnsi" w:cstheme="minorHAnsi"/>
          <w:lang w:val="el-GR"/>
        </w:rPr>
        <w:t xml:space="preserve">, η οποία αποδίδεται αποκλειστικά και μόνο στις παγκόσμιες επιπτώσεις της πανδημίας </w:t>
      </w:r>
      <w:r w:rsidR="006B0871" w:rsidRPr="00466073">
        <w:rPr>
          <w:rFonts w:asciiTheme="minorHAnsi" w:hAnsiTheme="minorHAnsi" w:cstheme="minorHAnsi"/>
          <w:lang w:val="hu-HU"/>
        </w:rPr>
        <w:t>COVID</w:t>
      </w:r>
      <w:r w:rsidR="006B0871" w:rsidRPr="00466073">
        <w:rPr>
          <w:rFonts w:asciiTheme="minorHAnsi" w:hAnsiTheme="minorHAnsi" w:cstheme="minorHAnsi"/>
          <w:lang w:val="el-GR"/>
        </w:rPr>
        <w:t>-19.</w:t>
      </w:r>
      <w:r w:rsidR="00674649" w:rsidRPr="00466073">
        <w:rPr>
          <w:rFonts w:asciiTheme="minorHAnsi" w:hAnsiTheme="minorHAnsi" w:cstheme="minorHAnsi"/>
          <w:lang w:val="el-GR"/>
        </w:rPr>
        <w:t xml:space="preserve"> Διαπιστώνουμε,</w:t>
      </w:r>
      <w:r w:rsidR="006B0871" w:rsidRPr="00466073">
        <w:rPr>
          <w:rFonts w:asciiTheme="minorHAnsi" w:hAnsiTheme="minorHAnsi" w:cstheme="minorHAnsi"/>
          <w:lang w:val="el-GR"/>
        </w:rPr>
        <w:t xml:space="preserve"> </w:t>
      </w:r>
      <w:r w:rsidR="00E96447" w:rsidRPr="00466073">
        <w:rPr>
          <w:rFonts w:asciiTheme="minorHAnsi" w:hAnsiTheme="minorHAnsi" w:cstheme="minorHAnsi"/>
          <w:lang w:val="el-GR"/>
        </w:rPr>
        <w:t xml:space="preserve">ότι στο εξωτερικό εμπορικό ισοζύγιο της Ουγγαρίας οι εξαγωγές παρέμεναν διαχρονικά υψηλότερες από τις εισαγωγές για 8 συναπτά έτη, ενώ το 2022 παρουσιάστηκε ελλειμματικό ισοζύγιο της τάξης </w:t>
      </w:r>
      <w:r w:rsidR="00E96447" w:rsidRPr="00466073">
        <w:rPr>
          <w:rFonts w:asciiTheme="minorHAnsi" w:hAnsiTheme="minorHAnsi" w:cstheme="minorHAnsi"/>
          <w:color w:val="000000"/>
          <w:lang w:val="el-GR"/>
        </w:rPr>
        <w:t xml:space="preserve">των €8,6 </w:t>
      </w:r>
      <w:proofErr w:type="spellStart"/>
      <w:r w:rsidR="00E96447" w:rsidRPr="00466073">
        <w:rPr>
          <w:rFonts w:asciiTheme="minorHAnsi" w:hAnsiTheme="minorHAnsi" w:cstheme="minorHAnsi"/>
          <w:color w:val="000000"/>
          <w:lang w:val="el-GR"/>
        </w:rPr>
        <w:t>δισεκ</w:t>
      </w:r>
      <w:proofErr w:type="spellEnd"/>
      <w:r w:rsidR="00E96447" w:rsidRPr="00466073">
        <w:rPr>
          <w:rFonts w:asciiTheme="minorHAnsi" w:hAnsiTheme="minorHAnsi" w:cstheme="minorHAnsi"/>
          <w:color w:val="000000"/>
          <w:lang w:val="el-GR"/>
        </w:rPr>
        <w:t>..</w:t>
      </w:r>
    </w:p>
    <w:p w:rsidR="0029704B" w:rsidRPr="00466073" w:rsidRDefault="0029704B" w:rsidP="00471A32">
      <w:pPr>
        <w:jc w:val="both"/>
        <w:rPr>
          <w:rFonts w:asciiTheme="minorHAnsi" w:hAnsiTheme="minorHAnsi" w:cstheme="minorHAnsi"/>
          <w:lang w:val="el-GR"/>
        </w:rPr>
      </w:pPr>
      <w:r w:rsidRPr="00466073">
        <w:rPr>
          <w:rFonts w:asciiTheme="minorHAnsi" w:hAnsiTheme="minorHAnsi" w:cstheme="minorHAnsi"/>
          <w:noProof/>
        </w:rPr>
        <w:drawing>
          <wp:inline distT="0" distB="0" distL="0" distR="0">
            <wp:extent cx="6053946" cy="2631057"/>
            <wp:effectExtent l="19050" t="0" r="23004"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913F3" w:rsidRPr="00466073" w:rsidRDefault="00A913F3" w:rsidP="00A913F3">
      <w:pPr>
        <w:widowControl w:val="0"/>
        <w:autoSpaceDE w:val="0"/>
        <w:autoSpaceDN w:val="0"/>
        <w:adjustRightInd w:val="0"/>
        <w:spacing w:line="233" w:lineRule="auto"/>
        <w:rPr>
          <w:rFonts w:asciiTheme="minorHAnsi" w:hAnsiTheme="minorHAnsi" w:cstheme="minorHAnsi"/>
          <w:u w:val="single"/>
          <w:lang w:val="el-GR"/>
        </w:rPr>
      </w:pPr>
    </w:p>
    <w:p w:rsidR="00A913F3" w:rsidRPr="00466073" w:rsidRDefault="00A913F3" w:rsidP="00A913F3">
      <w:pPr>
        <w:widowControl w:val="0"/>
        <w:autoSpaceDE w:val="0"/>
        <w:autoSpaceDN w:val="0"/>
        <w:adjustRightInd w:val="0"/>
        <w:spacing w:line="233" w:lineRule="auto"/>
        <w:rPr>
          <w:rFonts w:asciiTheme="minorHAnsi" w:hAnsiTheme="minorHAnsi" w:cstheme="minorHAnsi"/>
          <w:bCs/>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w:t>
      </w:r>
    </w:p>
    <w:p w:rsidR="00242ED3" w:rsidRPr="00466073" w:rsidRDefault="00242ED3" w:rsidP="00EF4313">
      <w:pPr>
        <w:tabs>
          <w:tab w:val="right" w:leader="dot" w:pos="8505"/>
        </w:tabs>
        <w:spacing w:line="360" w:lineRule="auto"/>
        <w:jc w:val="center"/>
        <w:rPr>
          <w:rFonts w:asciiTheme="minorHAnsi" w:hAnsiTheme="minorHAnsi" w:cstheme="minorHAnsi"/>
          <w:lang w:val="el-GR"/>
        </w:rPr>
      </w:pPr>
    </w:p>
    <w:p w:rsidR="00EF4313" w:rsidRPr="00466073" w:rsidRDefault="00EF4313" w:rsidP="00EF4313">
      <w:pPr>
        <w:tabs>
          <w:tab w:val="right" w:leader="dot" w:pos="8505"/>
        </w:tabs>
        <w:spacing w:line="360" w:lineRule="auto"/>
        <w:jc w:val="center"/>
        <w:rPr>
          <w:rFonts w:asciiTheme="minorHAnsi" w:hAnsiTheme="minorHAnsi" w:cstheme="minorHAnsi"/>
          <w:b/>
          <w:bCs/>
          <w:color w:val="0000FF"/>
          <w:lang w:val="el-GR"/>
        </w:rPr>
      </w:pPr>
      <w:r w:rsidRPr="00466073">
        <w:rPr>
          <w:rFonts w:asciiTheme="minorHAnsi" w:hAnsiTheme="minorHAnsi" w:cstheme="minorHAnsi"/>
          <w:b/>
          <w:bCs/>
          <w:color w:val="0000FF"/>
          <w:u w:val="single"/>
          <w:lang w:val="el-GR"/>
        </w:rPr>
        <w:t>Κεφάλαιο 4</w:t>
      </w:r>
      <w:r w:rsidRPr="00466073">
        <w:rPr>
          <w:rFonts w:asciiTheme="minorHAnsi" w:hAnsiTheme="minorHAnsi" w:cstheme="minorHAnsi"/>
          <w:b/>
          <w:bCs/>
          <w:color w:val="0000FF"/>
          <w:u w:val="single"/>
          <w:vertAlign w:val="superscript"/>
          <w:lang w:val="el-GR"/>
        </w:rPr>
        <w:t>ο</w:t>
      </w:r>
    </w:p>
    <w:p w:rsidR="00EF4313" w:rsidRPr="00466073" w:rsidRDefault="00EF4313" w:rsidP="00EF4313">
      <w:pPr>
        <w:tabs>
          <w:tab w:val="right" w:leader="dot" w:pos="8505"/>
        </w:tabs>
        <w:spacing w:line="360" w:lineRule="auto"/>
        <w:jc w:val="center"/>
        <w:rPr>
          <w:rFonts w:asciiTheme="minorHAnsi" w:hAnsiTheme="minorHAnsi" w:cstheme="minorHAnsi"/>
          <w:b/>
          <w:bCs/>
          <w:color w:val="0000FF"/>
          <w:lang w:val="el-GR"/>
        </w:rPr>
      </w:pPr>
      <w:r w:rsidRPr="00466073">
        <w:rPr>
          <w:rFonts w:asciiTheme="minorHAnsi" w:hAnsiTheme="minorHAnsi" w:cstheme="minorHAnsi"/>
          <w:b/>
          <w:bCs/>
          <w:color w:val="0000FF"/>
          <w:lang w:val="el-GR"/>
        </w:rPr>
        <w:t>ΟΙΚΟΝΟΜΙΚΕΣ ΚΑΙ ΕΜΠΟΡΙΚΕΣ ΣΧΕΣΕΙΣ ΕΛΛΑΔΑΣ - ΟΥΓΓΑΡΙΑΣ</w:t>
      </w:r>
    </w:p>
    <w:p w:rsidR="00684FC9" w:rsidRPr="00466073" w:rsidRDefault="00684FC9" w:rsidP="00542953">
      <w:pPr>
        <w:spacing w:after="120"/>
        <w:rPr>
          <w:rFonts w:asciiTheme="minorHAnsi" w:hAnsiTheme="minorHAnsi" w:cstheme="minorHAnsi"/>
          <w:b/>
          <w:bCs/>
          <w:lang w:val="el-GR"/>
        </w:rPr>
      </w:pPr>
    </w:p>
    <w:p w:rsidR="00856D6B" w:rsidRPr="00466073" w:rsidRDefault="00856D6B" w:rsidP="00542953">
      <w:pPr>
        <w:spacing w:after="120"/>
        <w:rPr>
          <w:rFonts w:asciiTheme="minorHAnsi" w:hAnsiTheme="minorHAnsi" w:cstheme="minorHAnsi"/>
          <w:b/>
          <w:bCs/>
          <w:color w:val="000000" w:themeColor="text1"/>
          <w:lang w:val="el-GR"/>
        </w:rPr>
      </w:pPr>
      <w:r w:rsidRPr="00466073">
        <w:rPr>
          <w:rFonts w:asciiTheme="minorHAnsi" w:hAnsiTheme="minorHAnsi" w:cstheme="minorHAnsi"/>
          <w:b/>
          <w:bCs/>
          <w:color w:val="000000" w:themeColor="text1"/>
          <w:lang w:val="el-GR"/>
        </w:rPr>
        <w:t xml:space="preserve">Α. Γενικά </w:t>
      </w:r>
    </w:p>
    <w:p w:rsidR="00856D6B" w:rsidRPr="00466073" w:rsidRDefault="00856D6B" w:rsidP="00E03DDC">
      <w:pPr>
        <w:spacing w:after="120"/>
        <w:ind w:left="288" w:firstLine="1152"/>
        <w:rPr>
          <w:rFonts w:asciiTheme="minorHAnsi" w:hAnsiTheme="minorHAnsi" w:cstheme="minorHAnsi"/>
          <w:b/>
          <w:bCs/>
          <w:lang w:val="el-GR"/>
        </w:rPr>
      </w:pPr>
    </w:p>
    <w:p w:rsidR="00742E8F" w:rsidRPr="00466073" w:rsidRDefault="002F4862" w:rsidP="002F4862">
      <w:pPr>
        <w:jc w:val="both"/>
        <w:rPr>
          <w:rFonts w:asciiTheme="minorHAnsi" w:hAnsiTheme="minorHAnsi" w:cstheme="minorHAnsi"/>
          <w:lang w:val="el-GR"/>
        </w:rPr>
      </w:pPr>
      <w:r w:rsidRPr="00466073">
        <w:rPr>
          <w:rFonts w:asciiTheme="minorHAnsi" w:hAnsiTheme="minorHAnsi" w:cstheme="minorHAnsi"/>
          <w:lang w:val="el-GR"/>
        </w:rPr>
        <w:t xml:space="preserve">Οι δύο λαοί </w:t>
      </w:r>
      <w:r w:rsidR="00320C11" w:rsidRPr="00466073">
        <w:rPr>
          <w:rFonts w:asciiTheme="minorHAnsi" w:hAnsiTheme="minorHAnsi" w:cstheme="minorHAnsi"/>
          <w:lang w:val="el-GR"/>
        </w:rPr>
        <w:t>συνδέονται</w:t>
      </w:r>
      <w:r w:rsidRPr="00466073">
        <w:rPr>
          <w:rFonts w:asciiTheme="minorHAnsi" w:hAnsiTheme="minorHAnsi" w:cstheme="minorHAnsi"/>
          <w:lang w:val="el-GR"/>
        </w:rPr>
        <w:t xml:space="preserve"> με μακραίωνους ιστορικούς και πολιτιστικούς δεσμούς, που απετέλεσαν το εφαλτήριο για την οικοδόμηση και καλλιέργεια των νεώτερων διμερών πολιτικών και οικονομικών τους σχέσεων. </w:t>
      </w:r>
      <w:r w:rsidR="00742E8F" w:rsidRPr="00466073">
        <w:rPr>
          <w:rFonts w:asciiTheme="minorHAnsi" w:hAnsiTheme="minorHAnsi" w:cstheme="minorHAnsi"/>
          <w:lang w:val="el-GR"/>
        </w:rPr>
        <w:t>Οι διπλωματικές σχέσεις Ελλάδας-Ουγγαρίας αποκαταστάθηκαν στις 23.7.1956</w:t>
      </w:r>
      <w:r w:rsidRPr="00466073">
        <w:rPr>
          <w:rFonts w:asciiTheme="minorHAnsi" w:hAnsiTheme="minorHAnsi" w:cstheme="minorHAnsi"/>
          <w:lang w:val="el-GR"/>
        </w:rPr>
        <w:t xml:space="preserve">.  Έκτοτε, οι δύο χώρες συνεργάζονται σταθερά και ως μέλη του ΟΗΕ, </w:t>
      </w:r>
      <w:r w:rsidR="00742E8F" w:rsidRPr="00466073">
        <w:rPr>
          <w:rFonts w:asciiTheme="minorHAnsi" w:hAnsiTheme="minorHAnsi" w:cstheme="minorHAnsi"/>
          <w:lang w:val="el-GR"/>
        </w:rPr>
        <w:t>της ΕΕ</w:t>
      </w:r>
      <w:r w:rsidRPr="00466073">
        <w:rPr>
          <w:rFonts w:asciiTheme="minorHAnsi" w:hAnsiTheme="minorHAnsi" w:cstheme="minorHAnsi"/>
          <w:lang w:val="el-GR"/>
        </w:rPr>
        <w:t>,</w:t>
      </w:r>
      <w:r w:rsidR="00742E8F" w:rsidRPr="00466073">
        <w:rPr>
          <w:rFonts w:asciiTheme="minorHAnsi" w:hAnsiTheme="minorHAnsi" w:cstheme="minorHAnsi"/>
          <w:lang w:val="el-GR"/>
        </w:rPr>
        <w:t xml:space="preserve"> του ΝΑΤΟ</w:t>
      </w:r>
      <w:r w:rsidRPr="00466073">
        <w:rPr>
          <w:rFonts w:asciiTheme="minorHAnsi" w:hAnsiTheme="minorHAnsi" w:cstheme="minorHAnsi"/>
          <w:lang w:val="el-GR"/>
        </w:rPr>
        <w:t xml:space="preserve"> αλλά και των σημαντικότερων διεθνών Οργανισμών</w:t>
      </w:r>
      <w:r w:rsidR="002E314D" w:rsidRPr="00466073">
        <w:rPr>
          <w:rFonts w:asciiTheme="minorHAnsi" w:hAnsiTheme="minorHAnsi" w:cstheme="minorHAnsi"/>
          <w:lang w:val="el-GR"/>
        </w:rPr>
        <w:t>, π</w:t>
      </w:r>
      <w:r w:rsidR="00742E8F" w:rsidRPr="00466073">
        <w:rPr>
          <w:rFonts w:asciiTheme="minorHAnsi" w:hAnsiTheme="minorHAnsi" w:cstheme="minorHAnsi"/>
          <w:lang w:val="el-GR"/>
        </w:rPr>
        <w:t xml:space="preserve">ραγματοποιούν τακτικές επαφές σε διμερές </w:t>
      </w:r>
      <w:r w:rsidR="002E314D" w:rsidRPr="00466073">
        <w:rPr>
          <w:rFonts w:asciiTheme="minorHAnsi" w:hAnsiTheme="minorHAnsi" w:cstheme="minorHAnsi"/>
          <w:lang w:val="el-GR"/>
        </w:rPr>
        <w:t>και πολυμερές επίπεδο. Η ελληνική ο</w:t>
      </w:r>
      <w:r w:rsidR="00742E8F" w:rsidRPr="00466073">
        <w:rPr>
          <w:rFonts w:asciiTheme="minorHAnsi" w:hAnsiTheme="minorHAnsi" w:cstheme="minorHAnsi"/>
          <w:lang w:val="el-GR"/>
        </w:rPr>
        <w:t>μογένεια</w:t>
      </w:r>
      <w:r w:rsidR="002E314D" w:rsidRPr="00466073">
        <w:rPr>
          <w:rFonts w:asciiTheme="minorHAnsi" w:hAnsiTheme="minorHAnsi" w:cstheme="minorHAnsi"/>
          <w:lang w:val="el-GR"/>
        </w:rPr>
        <w:t>,</w:t>
      </w:r>
      <w:r w:rsidR="00742E8F" w:rsidRPr="00466073">
        <w:rPr>
          <w:rFonts w:asciiTheme="minorHAnsi" w:hAnsiTheme="minorHAnsi" w:cstheme="minorHAnsi"/>
          <w:lang w:val="el-GR"/>
        </w:rPr>
        <w:t xml:space="preserve"> </w:t>
      </w:r>
      <w:r w:rsidR="00684FC9" w:rsidRPr="00466073">
        <w:rPr>
          <w:rFonts w:asciiTheme="minorHAnsi" w:hAnsiTheme="minorHAnsi" w:cstheme="minorHAnsi"/>
          <w:lang w:val="el-GR"/>
        </w:rPr>
        <w:t xml:space="preserve">μία εκ των δεκατριών (13) επισήμως αναγνωρισμένων μειονοτήτων από το ουγγρικό κράτος, </w:t>
      </w:r>
      <w:r w:rsidR="00742E8F" w:rsidRPr="00466073">
        <w:rPr>
          <w:rFonts w:asciiTheme="minorHAnsi" w:hAnsiTheme="minorHAnsi" w:cstheme="minorHAnsi"/>
          <w:lang w:val="el-GR"/>
        </w:rPr>
        <w:t>αριθμεί  περί</w:t>
      </w:r>
      <w:r w:rsidR="00320C11" w:rsidRPr="00466073">
        <w:rPr>
          <w:rFonts w:asciiTheme="minorHAnsi" w:hAnsiTheme="minorHAnsi" w:cstheme="minorHAnsi"/>
          <w:lang w:val="el-GR"/>
        </w:rPr>
        <w:t>που</w:t>
      </w:r>
      <w:r w:rsidR="00742E8F" w:rsidRPr="00466073">
        <w:rPr>
          <w:rFonts w:asciiTheme="minorHAnsi" w:hAnsiTheme="minorHAnsi" w:cstheme="minorHAnsi"/>
          <w:lang w:val="el-GR"/>
        </w:rPr>
        <w:t xml:space="preserve"> 5</w:t>
      </w:r>
      <w:r w:rsidR="002E314D" w:rsidRPr="00466073">
        <w:rPr>
          <w:rFonts w:asciiTheme="minorHAnsi" w:hAnsiTheme="minorHAnsi" w:cstheme="minorHAnsi"/>
          <w:lang w:val="el-GR"/>
        </w:rPr>
        <w:t>.</w:t>
      </w:r>
      <w:r w:rsidR="00742E8F" w:rsidRPr="00466073">
        <w:rPr>
          <w:rFonts w:asciiTheme="minorHAnsi" w:hAnsiTheme="minorHAnsi" w:cstheme="minorHAnsi"/>
          <w:lang w:val="el-GR"/>
        </w:rPr>
        <w:t>000 μέλη</w:t>
      </w:r>
      <w:r w:rsidR="00684FC9" w:rsidRPr="00466073">
        <w:rPr>
          <w:rFonts w:asciiTheme="minorHAnsi" w:hAnsiTheme="minorHAnsi" w:cstheme="minorHAnsi"/>
          <w:lang w:val="el-GR"/>
        </w:rPr>
        <w:t xml:space="preserve"> (στην Απογραφή του 2011, κατεγράφησαν 3</w:t>
      </w:r>
      <w:r w:rsidR="00EB7149" w:rsidRPr="00466073">
        <w:rPr>
          <w:rFonts w:asciiTheme="minorHAnsi" w:hAnsiTheme="minorHAnsi" w:cstheme="minorHAnsi"/>
          <w:lang w:val="el-GR"/>
        </w:rPr>
        <w:t>.900 άτομα ελληνικής καταγωγής) και</w:t>
      </w:r>
      <w:r w:rsidR="00684FC9" w:rsidRPr="00466073">
        <w:rPr>
          <w:rFonts w:asciiTheme="minorHAnsi" w:hAnsiTheme="minorHAnsi" w:cstheme="minorHAnsi"/>
          <w:lang w:val="el-GR"/>
        </w:rPr>
        <w:t xml:space="preserve"> αποτελεί έναν επιπλέον κρίκο που συνδέει τις δύο χώρες.  </w:t>
      </w:r>
    </w:p>
    <w:p w:rsidR="00684FC9" w:rsidRPr="00466073" w:rsidRDefault="00684FC9" w:rsidP="002F4862">
      <w:pPr>
        <w:jc w:val="both"/>
        <w:rPr>
          <w:rFonts w:asciiTheme="minorHAnsi" w:hAnsiTheme="minorHAnsi" w:cstheme="minorHAnsi"/>
          <w:lang w:val="el-GR"/>
        </w:rPr>
      </w:pPr>
    </w:p>
    <w:p w:rsidR="0017753D" w:rsidRPr="00466073" w:rsidRDefault="0017753D" w:rsidP="002F4862">
      <w:pPr>
        <w:jc w:val="both"/>
        <w:rPr>
          <w:rFonts w:asciiTheme="minorHAnsi" w:hAnsiTheme="minorHAnsi" w:cstheme="minorHAnsi"/>
          <w:lang w:val="el-GR"/>
        </w:rPr>
      </w:pPr>
    </w:p>
    <w:p w:rsidR="00684FC9" w:rsidRPr="00466073" w:rsidRDefault="00684FC9" w:rsidP="002F4862">
      <w:pPr>
        <w:jc w:val="both"/>
        <w:rPr>
          <w:rFonts w:asciiTheme="minorHAnsi" w:hAnsiTheme="minorHAnsi" w:cstheme="minorHAnsi"/>
          <w:lang w:val="el-GR"/>
        </w:rPr>
      </w:pPr>
    </w:p>
    <w:p w:rsidR="00354952" w:rsidRPr="00466073" w:rsidRDefault="00354952" w:rsidP="00542953">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u w:val="single"/>
          <w:lang w:val="el-GR"/>
        </w:rPr>
      </w:pPr>
      <w:r w:rsidRPr="00466073">
        <w:rPr>
          <w:rFonts w:asciiTheme="minorHAnsi" w:hAnsiTheme="minorHAnsi" w:cstheme="minorHAnsi"/>
          <w:u w:val="single"/>
          <w:lang w:val="el-GR"/>
        </w:rPr>
        <w:t>Θ</w:t>
      </w:r>
      <w:r w:rsidR="00542953" w:rsidRPr="00466073">
        <w:rPr>
          <w:rFonts w:asciiTheme="minorHAnsi" w:hAnsiTheme="minorHAnsi" w:cstheme="minorHAnsi"/>
          <w:u w:val="single"/>
          <w:lang w:val="el-GR"/>
        </w:rPr>
        <w:t xml:space="preserve">εσμικό </w:t>
      </w:r>
      <w:r w:rsidRPr="00466073">
        <w:rPr>
          <w:rFonts w:asciiTheme="minorHAnsi" w:hAnsiTheme="minorHAnsi" w:cstheme="minorHAnsi"/>
          <w:u w:val="single"/>
          <w:lang w:val="el-GR"/>
        </w:rPr>
        <w:t>Π</w:t>
      </w:r>
      <w:r w:rsidR="00542953" w:rsidRPr="00466073">
        <w:rPr>
          <w:rFonts w:asciiTheme="minorHAnsi" w:hAnsiTheme="minorHAnsi" w:cstheme="minorHAnsi"/>
          <w:u w:val="single"/>
          <w:lang w:val="el-GR"/>
        </w:rPr>
        <w:t>λαίσιο</w:t>
      </w:r>
    </w:p>
    <w:p w:rsidR="003D45B4" w:rsidRPr="00466073" w:rsidRDefault="003D45B4" w:rsidP="00856D6B">
      <w:pPr>
        <w:widowControl w:val="0"/>
        <w:overflowPunct w:val="0"/>
        <w:autoSpaceDE w:val="0"/>
        <w:autoSpaceDN w:val="0"/>
        <w:adjustRightInd w:val="0"/>
        <w:jc w:val="both"/>
        <w:rPr>
          <w:rFonts w:asciiTheme="minorHAnsi" w:hAnsiTheme="minorHAnsi" w:cstheme="minorHAnsi"/>
          <w:lang w:val="el-GR"/>
        </w:rPr>
      </w:pPr>
    </w:p>
    <w:p w:rsidR="00856D6B" w:rsidRPr="00466073" w:rsidRDefault="00856D6B" w:rsidP="00856D6B">
      <w:pPr>
        <w:widowControl w:val="0"/>
        <w:overflowPunct w:val="0"/>
        <w:autoSpaceDE w:val="0"/>
        <w:autoSpaceDN w:val="0"/>
        <w:adjustRightInd w:val="0"/>
        <w:jc w:val="both"/>
        <w:rPr>
          <w:rFonts w:asciiTheme="minorHAnsi" w:hAnsiTheme="minorHAnsi" w:cstheme="minorHAnsi"/>
          <w:lang w:val="el-GR"/>
        </w:rPr>
      </w:pPr>
      <w:r w:rsidRPr="00466073">
        <w:rPr>
          <w:rFonts w:asciiTheme="minorHAnsi" w:hAnsiTheme="minorHAnsi" w:cstheme="minorHAnsi"/>
          <w:lang w:val="el-GR"/>
        </w:rPr>
        <w:t xml:space="preserve">Οι </w:t>
      </w:r>
      <w:r w:rsidR="005E38D8" w:rsidRPr="00466073">
        <w:rPr>
          <w:rFonts w:asciiTheme="minorHAnsi" w:hAnsiTheme="minorHAnsi" w:cstheme="minorHAnsi"/>
          <w:lang w:val="el-GR"/>
        </w:rPr>
        <w:t xml:space="preserve">κυριότερες </w:t>
      </w:r>
      <w:r w:rsidR="00684FC9" w:rsidRPr="00466073">
        <w:rPr>
          <w:rFonts w:asciiTheme="minorHAnsi" w:hAnsiTheme="minorHAnsi" w:cstheme="minorHAnsi"/>
          <w:lang w:val="el-GR"/>
        </w:rPr>
        <w:t xml:space="preserve">διμερείς </w:t>
      </w:r>
      <w:r w:rsidRPr="00466073">
        <w:rPr>
          <w:rFonts w:asciiTheme="minorHAnsi" w:hAnsiTheme="minorHAnsi" w:cstheme="minorHAnsi"/>
          <w:lang w:val="el-GR"/>
        </w:rPr>
        <w:t xml:space="preserve">Συμφωνίες που απαρτίζουν το </w:t>
      </w:r>
      <w:r w:rsidR="00684FC9" w:rsidRPr="00466073">
        <w:rPr>
          <w:rFonts w:asciiTheme="minorHAnsi" w:hAnsiTheme="minorHAnsi" w:cstheme="minorHAnsi"/>
          <w:lang w:val="el-GR"/>
        </w:rPr>
        <w:t xml:space="preserve">οικονομικό </w:t>
      </w:r>
      <w:r w:rsidRPr="00466073">
        <w:rPr>
          <w:rFonts w:asciiTheme="minorHAnsi" w:hAnsiTheme="minorHAnsi" w:cstheme="minorHAnsi"/>
          <w:lang w:val="el-GR"/>
        </w:rPr>
        <w:t xml:space="preserve">θεσμικό πλαίσιο </w:t>
      </w:r>
      <w:r w:rsidR="00684FC9" w:rsidRPr="00466073">
        <w:rPr>
          <w:rFonts w:asciiTheme="minorHAnsi" w:hAnsiTheme="minorHAnsi" w:cstheme="minorHAnsi"/>
          <w:lang w:val="el-GR"/>
        </w:rPr>
        <w:t xml:space="preserve">συνεργασίας Ελλάδος-Ουγγαρίας, </w:t>
      </w:r>
      <w:r w:rsidRPr="00466073">
        <w:rPr>
          <w:rFonts w:asciiTheme="minorHAnsi" w:hAnsiTheme="minorHAnsi" w:cstheme="minorHAnsi"/>
          <w:lang w:val="el-GR"/>
        </w:rPr>
        <w:t xml:space="preserve">είναι: </w:t>
      </w:r>
    </w:p>
    <w:p w:rsidR="00856D6B" w:rsidRPr="00466073" w:rsidRDefault="00856D6B" w:rsidP="00856D6B">
      <w:pPr>
        <w:widowControl w:val="0"/>
        <w:autoSpaceDE w:val="0"/>
        <w:autoSpaceDN w:val="0"/>
        <w:adjustRightInd w:val="0"/>
        <w:spacing w:line="1" w:lineRule="exact"/>
        <w:rPr>
          <w:rFonts w:asciiTheme="minorHAnsi" w:hAnsiTheme="minorHAnsi" w:cstheme="minorHAnsi"/>
          <w:lang w:val="el-GR"/>
        </w:rPr>
      </w:pPr>
    </w:p>
    <w:p w:rsidR="00856D6B" w:rsidRPr="00466073" w:rsidRDefault="00856D6B" w:rsidP="00856D6B">
      <w:pPr>
        <w:widowControl w:val="0"/>
        <w:numPr>
          <w:ilvl w:val="0"/>
          <w:numId w:val="3"/>
        </w:numPr>
        <w:overflowPunct w:val="0"/>
        <w:autoSpaceDE w:val="0"/>
        <w:autoSpaceDN w:val="0"/>
        <w:adjustRightInd w:val="0"/>
        <w:jc w:val="both"/>
        <w:rPr>
          <w:rFonts w:asciiTheme="minorHAnsi" w:hAnsiTheme="minorHAnsi" w:cstheme="minorHAnsi"/>
        </w:rPr>
      </w:pPr>
      <w:proofErr w:type="spellStart"/>
      <w:r w:rsidRPr="00466073">
        <w:rPr>
          <w:rFonts w:asciiTheme="minorHAnsi" w:hAnsiTheme="minorHAnsi" w:cstheme="minorHAnsi"/>
        </w:rPr>
        <w:t>Συμφωνία</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Αεροπορικής</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Συνεργασίας</w:t>
      </w:r>
      <w:proofErr w:type="spellEnd"/>
      <w:r w:rsidRPr="00466073">
        <w:rPr>
          <w:rFonts w:asciiTheme="minorHAnsi" w:hAnsiTheme="minorHAnsi" w:cstheme="minorHAnsi"/>
        </w:rPr>
        <w:t xml:space="preserve"> (1963) </w:t>
      </w:r>
    </w:p>
    <w:p w:rsidR="009D5F8E" w:rsidRPr="00466073" w:rsidRDefault="009D5F8E" w:rsidP="009D5F8E">
      <w:pPr>
        <w:widowControl w:val="0"/>
        <w:numPr>
          <w:ilvl w:val="0"/>
          <w:numId w:val="3"/>
        </w:numPr>
        <w:overflowPunct w:val="0"/>
        <w:autoSpaceDE w:val="0"/>
        <w:autoSpaceDN w:val="0"/>
        <w:adjustRightInd w:val="0"/>
        <w:spacing w:line="239" w:lineRule="auto"/>
        <w:jc w:val="both"/>
        <w:rPr>
          <w:rFonts w:asciiTheme="minorHAnsi" w:hAnsiTheme="minorHAnsi" w:cstheme="minorHAnsi"/>
        </w:rPr>
      </w:pPr>
      <w:proofErr w:type="spellStart"/>
      <w:r w:rsidRPr="00466073">
        <w:rPr>
          <w:rFonts w:asciiTheme="minorHAnsi" w:hAnsiTheme="minorHAnsi" w:cstheme="minorHAnsi"/>
        </w:rPr>
        <w:t>Συμφωνία</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Διεθνών</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Οδικών</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Μεταφορών</w:t>
      </w:r>
      <w:proofErr w:type="spellEnd"/>
      <w:r w:rsidRPr="00466073">
        <w:rPr>
          <w:rFonts w:asciiTheme="minorHAnsi" w:hAnsiTheme="minorHAnsi" w:cstheme="minorHAnsi"/>
        </w:rPr>
        <w:t xml:space="preserve"> (1977) </w:t>
      </w:r>
    </w:p>
    <w:p w:rsidR="009D5F8E" w:rsidRPr="00466073" w:rsidRDefault="009D5F8E" w:rsidP="009D5F8E">
      <w:pPr>
        <w:widowControl w:val="0"/>
        <w:numPr>
          <w:ilvl w:val="0"/>
          <w:numId w:val="3"/>
        </w:numPr>
        <w:overflowPunct w:val="0"/>
        <w:autoSpaceDE w:val="0"/>
        <w:autoSpaceDN w:val="0"/>
        <w:adjustRightInd w:val="0"/>
        <w:jc w:val="both"/>
        <w:rPr>
          <w:rFonts w:asciiTheme="minorHAnsi" w:hAnsiTheme="minorHAnsi" w:cstheme="minorHAnsi"/>
          <w:lang w:val="el-GR"/>
        </w:rPr>
      </w:pPr>
      <w:r w:rsidRPr="00466073">
        <w:rPr>
          <w:rFonts w:asciiTheme="minorHAnsi" w:hAnsiTheme="minorHAnsi" w:cstheme="minorHAnsi"/>
          <w:lang w:val="el-GR"/>
        </w:rPr>
        <w:t xml:space="preserve">Συμφωνία Οικονομικής, Βιομηχανικής και Τεχνολογικής Συνεργασίας (1980) </w:t>
      </w:r>
    </w:p>
    <w:p w:rsidR="00856D6B" w:rsidRPr="00466073" w:rsidRDefault="00856D6B" w:rsidP="00856D6B">
      <w:pPr>
        <w:widowControl w:val="0"/>
        <w:numPr>
          <w:ilvl w:val="0"/>
          <w:numId w:val="3"/>
        </w:numPr>
        <w:overflowPunct w:val="0"/>
        <w:autoSpaceDE w:val="0"/>
        <w:autoSpaceDN w:val="0"/>
        <w:adjustRightInd w:val="0"/>
        <w:spacing w:line="239" w:lineRule="auto"/>
        <w:jc w:val="both"/>
        <w:rPr>
          <w:rFonts w:asciiTheme="minorHAnsi" w:hAnsiTheme="minorHAnsi" w:cstheme="minorHAnsi"/>
        </w:rPr>
      </w:pPr>
      <w:proofErr w:type="spellStart"/>
      <w:r w:rsidRPr="00466073">
        <w:rPr>
          <w:rFonts w:asciiTheme="minorHAnsi" w:hAnsiTheme="minorHAnsi" w:cstheme="minorHAnsi"/>
        </w:rPr>
        <w:t>Συμφωνία</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Αποφυγής</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Διπλής</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Φορολογίας</w:t>
      </w:r>
      <w:proofErr w:type="spellEnd"/>
      <w:r w:rsidRPr="00466073">
        <w:rPr>
          <w:rFonts w:asciiTheme="minorHAnsi" w:hAnsiTheme="minorHAnsi" w:cstheme="minorHAnsi"/>
        </w:rPr>
        <w:t xml:space="preserve"> (1986) </w:t>
      </w:r>
    </w:p>
    <w:p w:rsidR="009D5F8E" w:rsidRPr="00466073" w:rsidRDefault="009D5F8E" w:rsidP="009D5F8E">
      <w:pPr>
        <w:widowControl w:val="0"/>
        <w:numPr>
          <w:ilvl w:val="0"/>
          <w:numId w:val="3"/>
        </w:numPr>
        <w:overflowPunct w:val="0"/>
        <w:autoSpaceDE w:val="0"/>
        <w:autoSpaceDN w:val="0"/>
        <w:adjustRightInd w:val="0"/>
        <w:spacing w:line="239" w:lineRule="auto"/>
        <w:jc w:val="both"/>
        <w:rPr>
          <w:rFonts w:asciiTheme="minorHAnsi" w:hAnsiTheme="minorHAnsi" w:cstheme="minorHAnsi"/>
          <w:lang w:val="el-GR"/>
        </w:rPr>
      </w:pPr>
      <w:r w:rsidRPr="00466073">
        <w:rPr>
          <w:rFonts w:asciiTheme="minorHAnsi" w:hAnsiTheme="minorHAnsi" w:cstheme="minorHAnsi"/>
          <w:lang w:val="el-GR"/>
        </w:rPr>
        <w:t xml:space="preserve">Συμφωνία Τουριστικής Συνεργασίας (1987). Οι δύο χώρες έχουν ανταλλάξει Σχέδια </w:t>
      </w:r>
      <w:r w:rsidR="003C4F05" w:rsidRPr="00466073">
        <w:rPr>
          <w:rFonts w:asciiTheme="minorHAnsi" w:hAnsiTheme="minorHAnsi" w:cstheme="minorHAnsi"/>
          <w:lang w:val="el-GR"/>
        </w:rPr>
        <w:t>για νέα</w:t>
      </w:r>
      <w:r w:rsidR="005E38D8" w:rsidRPr="00466073">
        <w:rPr>
          <w:rFonts w:asciiTheme="minorHAnsi" w:hAnsiTheme="minorHAnsi" w:cstheme="minorHAnsi"/>
          <w:lang w:val="el-GR"/>
        </w:rPr>
        <w:t>,</w:t>
      </w:r>
      <w:r w:rsidR="003C4F05" w:rsidRPr="00466073">
        <w:rPr>
          <w:rFonts w:asciiTheme="minorHAnsi" w:hAnsiTheme="minorHAnsi" w:cstheme="minorHAnsi"/>
          <w:lang w:val="el-GR"/>
        </w:rPr>
        <w:t xml:space="preserve"> α</w:t>
      </w:r>
      <w:r w:rsidRPr="00466073">
        <w:rPr>
          <w:rFonts w:asciiTheme="minorHAnsi" w:hAnsiTheme="minorHAnsi" w:cstheme="minorHAnsi"/>
          <w:lang w:val="el-GR"/>
        </w:rPr>
        <w:t xml:space="preserve">ναθεωρημένη </w:t>
      </w:r>
      <w:r w:rsidR="003C4F05" w:rsidRPr="00466073">
        <w:rPr>
          <w:rFonts w:asciiTheme="minorHAnsi" w:hAnsiTheme="minorHAnsi" w:cstheme="minorHAnsi"/>
          <w:lang w:val="el-GR"/>
        </w:rPr>
        <w:t>Συμφωνία.</w:t>
      </w:r>
      <w:r w:rsidR="002A6117" w:rsidRPr="00466073">
        <w:rPr>
          <w:rFonts w:asciiTheme="minorHAnsi" w:hAnsiTheme="minorHAnsi" w:cstheme="minorHAnsi"/>
          <w:lang w:val="el-GR"/>
        </w:rPr>
        <w:t xml:space="preserve"> Κατά την επίσημη επίσκεψη του Υπουργού Εξωτερικών &amp; Εμπορίου, κ. </w:t>
      </w:r>
      <w:r w:rsidR="002A6117" w:rsidRPr="00466073">
        <w:rPr>
          <w:rFonts w:asciiTheme="minorHAnsi" w:hAnsiTheme="minorHAnsi" w:cstheme="minorHAnsi"/>
        </w:rPr>
        <w:t>Peter</w:t>
      </w:r>
      <w:r w:rsidR="002A6117" w:rsidRPr="00466073">
        <w:rPr>
          <w:rFonts w:asciiTheme="minorHAnsi" w:hAnsiTheme="minorHAnsi" w:cstheme="minorHAnsi"/>
          <w:lang w:val="el-GR"/>
        </w:rPr>
        <w:t xml:space="preserve"> </w:t>
      </w:r>
      <w:proofErr w:type="spellStart"/>
      <w:r w:rsidR="002A6117" w:rsidRPr="00466073">
        <w:rPr>
          <w:rFonts w:asciiTheme="minorHAnsi" w:hAnsiTheme="minorHAnsi" w:cstheme="minorHAnsi"/>
        </w:rPr>
        <w:t>Szijjarto</w:t>
      </w:r>
      <w:proofErr w:type="spellEnd"/>
      <w:r w:rsidR="002A6117" w:rsidRPr="00466073">
        <w:rPr>
          <w:rFonts w:asciiTheme="minorHAnsi" w:hAnsiTheme="minorHAnsi" w:cstheme="minorHAnsi"/>
          <w:lang w:val="el-GR"/>
        </w:rPr>
        <w:t xml:space="preserve">, στην Αθήνα, υπεγράφη Μνημόνιο Κατανόησης και Συνεργασίας στην Τουριστικό τομέα (9 Ιουλ.2020) </w:t>
      </w:r>
      <w:r w:rsidRPr="00466073">
        <w:rPr>
          <w:rFonts w:asciiTheme="minorHAnsi" w:hAnsiTheme="minorHAnsi" w:cstheme="minorHAnsi"/>
          <w:lang w:val="el-GR"/>
        </w:rPr>
        <w:t xml:space="preserve"> </w:t>
      </w:r>
    </w:p>
    <w:p w:rsidR="00856D6B" w:rsidRPr="00466073" w:rsidRDefault="00856D6B" w:rsidP="00856D6B">
      <w:pPr>
        <w:widowControl w:val="0"/>
        <w:numPr>
          <w:ilvl w:val="0"/>
          <w:numId w:val="3"/>
        </w:numPr>
        <w:overflowPunct w:val="0"/>
        <w:autoSpaceDE w:val="0"/>
        <w:autoSpaceDN w:val="0"/>
        <w:adjustRightInd w:val="0"/>
        <w:spacing w:line="239" w:lineRule="auto"/>
        <w:jc w:val="both"/>
        <w:rPr>
          <w:rFonts w:asciiTheme="minorHAnsi" w:hAnsiTheme="minorHAnsi" w:cstheme="minorHAnsi"/>
          <w:lang w:val="el-GR"/>
        </w:rPr>
      </w:pPr>
      <w:r w:rsidRPr="00466073">
        <w:rPr>
          <w:rFonts w:asciiTheme="minorHAnsi" w:hAnsiTheme="minorHAnsi" w:cstheme="minorHAnsi"/>
          <w:lang w:val="el-GR"/>
        </w:rPr>
        <w:t xml:space="preserve">Συμφωνία Προώθησης και Προστασίας Επενδύσεων (1989) </w:t>
      </w:r>
    </w:p>
    <w:p w:rsidR="00856D6B" w:rsidRPr="00466073" w:rsidRDefault="00856D6B" w:rsidP="00856D6B">
      <w:pPr>
        <w:widowControl w:val="0"/>
        <w:autoSpaceDE w:val="0"/>
        <w:autoSpaceDN w:val="0"/>
        <w:adjustRightInd w:val="0"/>
        <w:spacing w:line="1" w:lineRule="exact"/>
        <w:rPr>
          <w:rFonts w:asciiTheme="minorHAnsi" w:hAnsiTheme="minorHAnsi" w:cstheme="minorHAnsi"/>
          <w:lang w:val="el-GR"/>
        </w:rPr>
      </w:pPr>
    </w:p>
    <w:p w:rsidR="00856D6B" w:rsidRPr="00466073" w:rsidRDefault="00856D6B" w:rsidP="00856D6B">
      <w:pPr>
        <w:widowControl w:val="0"/>
        <w:numPr>
          <w:ilvl w:val="0"/>
          <w:numId w:val="3"/>
        </w:numPr>
        <w:overflowPunct w:val="0"/>
        <w:autoSpaceDE w:val="0"/>
        <w:autoSpaceDN w:val="0"/>
        <w:adjustRightInd w:val="0"/>
        <w:spacing w:line="239" w:lineRule="auto"/>
        <w:jc w:val="both"/>
        <w:rPr>
          <w:rFonts w:asciiTheme="minorHAnsi" w:hAnsiTheme="minorHAnsi" w:cstheme="minorHAnsi"/>
          <w:lang w:val="el-GR"/>
        </w:rPr>
      </w:pPr>
      <w:r w:rsidRPr="00466073">
        <w:rPr>
          <w:rFonts w:asciiTheme="minorHAnsi" w:hAnsiTheme="minorHAnsi" w:cstheme="minorHAnsi"/>
          <w:lang w:val="el-GR"/>
        </w:rPr>
        <w:t>Συμφων</w:t>
      </w:r>
      <w:r w:rsidR="005E38D8" w:rsidRPr="00466073">
        <w:rPr>
          <w:rFonts w:asciiTheme="minorHAnsi" w:hAnsiTheme="minorHAnsi" w:cstheme="minorHAnsi"/>
          <w:lang w:val="el-GR"/>
        </w:rPr>
        <w:t>ία Γεωργικής Συνεργασίας (2001).</w:t>
      </w:r>
    </w:p>
    <w:p w:rsidR="005E38D8" w:rsidRPr="00466073" w:rsidRDefault="005E38D8" w:rsidP="005E38D8">
      <w:pPr>
        <w:pStyle w:val="ListParagraph"/>
        <w:rPr>
          <w:rFonts w:cstheme="minorHAnsi"/>
          <w:sz w:val="24"/>
          <w:szCs w:val="24"/>
          <w:lang w:val="el-GR"/>
        </w:rPr>
      </w:pPr>
    </w:p>
    <w:p w:rsidR="001350FA" w:rsidRPr="00466073" w:rsidRDefault="001350FA" w:rsidP="00542953">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u w:val="single"/>
          <w:lang w:val="el-GR"/>
        </w:rPr>
      </w:pPr>
      <w:r w:rsidRPr="00466073">
        <w:rPr>
          <w:rFonts w:asciiTheme="minorHAnsi" w:hAnsiTheme="minorHAnsi" w:cstheme="minorHAnsi"/>
          <w:u w:val="single"/>
          <w:lang w:val="el-GR"/>
        </w:rPr>
        <w:t>Δ</w:t>
      </w:r>
      <w:r w:rsidR="00542953" w:rsidRPr="00466073">
        <w:rPr>
          <w:rFonts w:asciiTheme="minorHAnsi" w:hAnsiTheme="minorHAnsi" w:cstheme="minorHAnsi"/>
          <w:u w:val="single"/>
          <w:lang w:val="el-GR"/>
        </w:rPr>
        <w:t xml:space="preserve">ιμερής </w:t>
      </w:r>
      <w:r w:rsidRPr="00466073">
        <w:rPr>
          <w:rFonts w:asciiTheme="minorHAnsi" w:hAnsiTheme="minorHAnsi" w:cstheme="minorHAnsi"/>
          <w:u w:val="single"/>
          <w:lang w:val="el-GR"/>
        </w:rPr>
        <w:t>Σ</w:t>
      </w:r>
      <w:r w:rsidR="00542953" w:rsidRPr="00466073">
        <w:rPr>
          <w:rFonts w:asciiTheme="minorHAnsi" w:hAnsiTheme="minorHAnsi" w:cstheme="minorHAnsi"/>
          <w:u w:val="single"/>
          <w:lang w:val="el-GR"/>
        </w:rPr>
        <w:t>υνεργασία</w:t>
      </w:r>
      <w:r w:rsidRPr="00466073">
        <w:rPr>
          <w:rFonts w:asciiTheme="minorHAnsi" w:hAnsiTheme="minorHAnsi" w:cstheme="minorHAnsi"/>
          <w:u w:val="single"/>
          <w:lang w:val="el-GR"/>
        </w:rPr>
        <w:t xml:space="preserve"> </w:t>
      </w:r>
    </w:p>
    <w:p w:rsidR="00552F5B" w:rsidRPr="00466073" w:rsidRDefault="00552F5B" w:rsidP="009D5F8E">
      <w:pPr>
        <w:jc w:val="both"/>
        <w:rPr>
          <w:rFonts w:asciiTheme="minorHAnsi" w:hAnsiTheme="minorHAnsi" w:cstheme="minorHAnsi"/>
          <w:lang w:val="el-GR"/>
        </w:rPr>
      </w:pPr>
    </w:p>
    <w:p w:rsidR="00DE1500" w:rsidRPr="00466073" w:rsidRDefault="00F93390" w:rsidP="00805C25">
      <w:pPr>
        <w:shd w:val="clear" w:color="auto" w:fill="FFFFFF"/>
        <w:spacing w:line="300" w:lineRule="atLeast"/>
        <w:jc w:val="both"/>
        <w:rPr>
          <w:rFonts w:asciiTheme="minorHAnsi" w:hAnsiTheme="minorHAnsi" w:cstheme="minorHAnsi"/>
          <w:bCs/>
          <w:color w:val="000000"/>
          <w:lang w:val="el-GR"/>
        </w:rPr>
      </w:pPr>
      <w:r w:rsidRPr="00466073">
        <w:rPr>
          <w:rFonts w:asciiTheme="minorHAnsi" w:hAnsiTheme="minorHAnsi" w:cstheme="minorHAnsi"/>
          <w:b/>
          <w:bCs/>
          <w:color w:val="000000"/>
          <w:u w:val="single"/>
          <w:lang w:val="el-GR"/>
        </w:rPr>
        <w:t>Ανταλλαγή</w:t>
      </w:r>
      <w:r w:rsidR="00DE1500" w:rsidRPr="00466073">
        <w:rPr>
          <w:rFonts w:asciiTheme="minorHAnsi" w:hAnsiTheme="minorHAnsi" w:cstheme="minorHAnsi"/>
          <w:b/>
          <w:bCs/>
          <w:color w:val="000000"/>
          <w:u w:val="single"/>
          <w:lang w:val="el-GR"/>
        </w:rPr>
        <w:t xml:space="preserve"> </w:t>
      </w:r>
      <w:r w:rsidRPr="00466073">
        <w:rPr>
          <w:rFonts w:asciiTheme="minorHAnsi" w:hAnsiTheme="minorHAnsi" w:cstheme="minorHAnsi"/>
          <w:b/>
          <w:bCs/>
          <w:color w:val="000000"/>
          <w:u w:val="single"/>
          <w:lang w:val="el-GR"/>
        </w:rPr>
        <w:t xml:space="preserve">επισήμων </w:t>
      </w:r>
      <w:r w:rsidR="00DE1500" w:rsidRPr="00466073">
        <w:rPr>
          <w:rFonts w:asciiTheme="minorHAnsi" w:hAnsiTheme="minorHAnsi" w:cstheme="minorHAnsi"/>
          <w:b/>
          <w:bCs/>
          <w:color w:val="000000"/>
          <w:u w:val="single"/>
          <w:lang w:val="el-GR"/>
        </w:rPr>
        <w:t>επισκέψεων Υπουργών Εξωτερικών δύο χωρών</w:t>
      </w:r>
      <w:r w:rsidR="00DE1500" w:rsidRPr="00466073">
        <w:rPr>
          <w:rFonts w:asciiTheme="minorHAnsi" w:hAnsiTheme="minorHAnsi" w:cstheme="minorHAnsi"/>
          <w:bCs/>
          <w:color w:val="000000"/>
          <w:lang w:val="el-GR"/>
        </w:rPr>
        <w:t xml:space="preserve">, </w:t>
      </w:r>
      <w:proofErr w:type="spellStart"/>
      <w:r w:rsidR="00DE1500" w:rsidRPr="00466073">
        <w:rPr>
          <w:rFonts w:asciiTheme="minorHAnsi" w:hAnsiTheme="minorHAnsi" w:cstheme="minorHAnsi"/>
          <w:bCs/>
          <w:color w:val="000000"/>
          <w:lang w:val="el-GR"/>
        </w:rPr>
        <w:t>κ.κ</w:t>
      </w:r>
      <w:proofErr w:type="spellEnd"/>
      <w:r w:rsidR="00DE1500" w:rsidRPr="00466073">
        <w:rPr>
          <w:rFonts w:asciiTheme="minorHAnsi" w:hAnsiTheme="minorHAnsi" w:cstheme="minorHAnsi"/>
          <w:bCs/>
          <w:color w:val="000000"/>
          <w:lang w:val="el-GR"/>
        </w:rPr>
        <w:t xml:space="preserve">. </w:t>
      </w:r>
      <w:proofErr w:type="spellStart"/>
      <w:r w:rsidR="00DE1500" w:rsidRPr="00466073">
        <w:rPr>
          <w:rFonts w:asciiTheme="minorHAnsi" w:hAnsiTheme="minorHAnsi" w:cstheme="minorHAnsi"/>
          <w:bCs/>
          <w:color w:val="000000"/>
          <w:lang w:val="el-GR"/>
        </w:rPr>
        <w:t>Δένδια</w:t>
      </w:r>
      <w:proofErr w:type="spellEnd"/>
      <w:r w:rsidR="00DE1500" w:rsidRPr="00466073">
        <w:rPr>
          <w:rFonts w:asciiTheme="minorHAnsi" w:hAnsiTheme="minorHAnsi" w:cstheme="minorHAnsi"/>
          <w:bCs/>
          <w:color w:val="000000"/>
          <w:lang w:val="el-GR"/>
        </w:rPr>
        <w:t xml:space="preserve"> και </w:t>
      </w:r>
      <w:proofErr w:type="spellStart"/>
      <w:r w:rsidR="00DE1500" w:rsidRPr="00466073">
        <w:rPr>
          <w:rFonts w:asciiTheme="minorHAnsi" w:hAnsiTheme="minorHAnsi" w:cstheme="minorHAnsi"/>
          <w:bCs/>
          <w:color w:val="000000"/>
          <w:lang w:val="el-GR"/>
        </w:rPr>
        <w:t>Szijjârtô</w:t>
      </w:r>
      <w:proofErr w:type="spellEnd"/>
      <w:r w:rsidR="00DE1500" w:rsidRPr="00466073">
        <w:rPr>
          <w:rFonts w:asciiTheme="minorHAnsi" w:hAnsiTheme="minorHAnsi" w:cstheme="minorHAnsi"/>
          <w:bCs/>
          <w:color w:val="000000"/>
          <w:lang w:val="el-GR"/>
        </w:rPr>
        <w:t xml:space="preserve"> (02.10.2020 σε Βουδαπέστη και 09.07.2020 σε Αθήνα αντίστοιχα).</w:t>
      </w:r>
      <w:r w:rsidRPr="00466073">
        <w:rPr>
          <w:rFonts w:asciiTheme="minorHAnsi" w:hAnsiTheme="minorHAnsi" w:cstheme="minorHAnsi"/>
          <w:bCs/>
          <w:color w:val="000000"/>
          <w:lang w:val="el-GR"/>
        </w:rPr>
        <w:t xml:space="preserve"> Οι συναντήσεις κατέδειξαν την εκατέρωθεν βούληση για προώθηση της συνεργασίας των δυο χωρών. Οι δύο Υπουργοί, συνυπέγραψαν στην Αθήνα, παρουσία του Υπουργού Τουρισμού, κ. Θεοχάρη, Μνημόνιο Κατανόησης και Συνεργασίας στον τουριστικό τομέα (Αθήνα, 9 Ιουλ. 2020).</w:t>
      </w:r>
    </w:p>
    <w:p w:rsidR="00DE1500" w:rsidRPr="00466073" w:rsidRDefault="00DE1500" w:rsidP="00805C25">
      <w:pPr>
        <w:shd w:val="clear" w:color="auto" w:fill="FFFFFF"/>
        <w:spacing w:line="300" w:lineRule="atLeast"/>
        <w:jc w:val="both"/>
        <w:rPr>
          <w:rFonts w:asciiTheme="minorHAnsi" w:hAnsiTheme="minorHAnsi" w:cstheme="minorHAnsi"/>
          <w:bCs/>
          <w:color w:val="000000"/>
          <w:lang w:val="el-GR"/>
        </w:rPr>
      </w:pPr>
    </w:p>
    <w:p w:rsidR="002E7491" w:rsidRDefault="002E7491" w:rsidP="00805C25">
      <w:pPr>
        <w:shd w:val="clear" w:color="auto" w:fill="FFFFFF"/>
        <w:spacing w:line="300" w:lineRule="atLeast"/>
        <w:jc w:val="both"/>
        <w:rPr>
          <w:rFonts w:asciiTheme="minorHAnsi" w:hAnsiTheme="minorHAnsi" w:cstheme="minorHAnsi"/>
          <w:b/>
          <w:bCs/>
          <w:color w:val="000000"/>
          <w:u w:val="single"/>
          <w:lang w:val="el-GR"/>
        </w:rPr>
      </w:pPr>
    </w:p>
    <w:p w:rsidR="002E7491" w:rsidRDefault="002E7491" w:rsidP="00805C25">
      <w:pPr>
        <w:shd w:val="clear" w:color="auto" w:fill="FFFFFF"/>
        <w:spacing w:line="300" w:lineRule="atLeast"/>
        <w:jc w:val="both"/>
        <w:rPr>
          <w:rFonts w:asciiTheme="minorHAnsi" w:hAnsiTheme="minorHAnsi" w:cstheme="minorHAnsi"/>
          <w:b/>
          <w:bCs/>
          <w:color w:val="000000"/>
          <w:u w:val="single"/>
          <w:lang w:val="el-GR"/>
        </w:rPr>
      </w:pPr>
    </w:p>
    <w:p w:rsidR="002E7491" w:rsidRDefault="002E7491" w:rsidP="00805C25">
      <w:pPr>
        <w:shd w:val="clear" w:color="auto" w:fill="FFFFFF"/>
        <w:spacing w:line="300" w:lineRule="atLeast"/>
        <w:jc w:val="both"/>
        <w:rPr>
          <w:rFonts w:asciiTheme="minorHAnsi" w:hAnsiTheme="minorHAnsi" w:cstheme="minorHAnsi"/>
          <w:b/>
          <w:bCs/>
          <w:color w:val="000000"/>
          <w:u w:val="single"/>
          <w:lang w:val="el-GR"/>
        </w:rPr>
      </w:pPr>
    </w:p>
    <w:p w:rsidR="002E7491" w:rsidRDefault="002E7491" w:rsidP="00805C25">
      <w:pPr>
        <w:shd w:val="clear" w:color="auto" w:fill="FFFFFF"/>
        <w:spacing w:line="300" w:lineRule="atLeast"/>
        <w:jc w:val="both"/>
        <w:rPr>
          <w:rFonts w:asciiTheme="minorHAnsi" w:hAnsiTheme="minorHAnsi" w:cstheme="minorHAnsi"/>
          <w:b/>
          <w:bCs/>
          <w:color w:val="000000"/>
          <w:u w:val="single"/>
          <w:lang w:val="el-GR"/>
        </w:rPr>
      </w:pPr>
    </w:p>
    <w:p w:rsidR="00CC752D" w:rsidRPr="00466073" w:rsidRDefault="00CC752D" w:rsidP="00805C25">
      <w:pPr>
        <w:shd w:val="clear" w:color="auto" w:fill="FFFFFF"/>
        <w:spacing w:line="300" w:lineRule="atLeast"/>
        <w:jc w:val="both"/>
        <w:rPr>
          <w:rFonts w:asciiTheme="minorHAnsi" w:hAnsiTheme="minorHAnsi" w:cstheme="minorHAnsi"/>
          <w:b/>
          <w:bCs/>
          <w:color w:val="000000"/>
          <w:u w:val="single"/>
          <w:lang w:val="el-GR"/>
        </w:rPr>
      </w:pPr>
      <w:proofErr w:type="spellStart"/>
      <w:r w:rsidRPr="00466073">
        <w:rPr>
          <w:rFonts w:asciiTheme="minorHAnsi" w:hAnsiTheme="minorHAnsi" w:cstheme="minorHAnsi"/>
          <w:b/>
          <w:bCs/>
          <w:color w:val="000000"/>
          <w:u w:val="single"/>
          <w:lang w:val="el-GR"/>
        </w:rPr>
        <w:t>Eπίσημη</w:t>
      </w:r>
      <w:proofErr w:type="spellEnd"/>
      <w:r w:rsidRPr="00466073">
        <w:rPr>
          <w:rFonts w:asciiTheme="minorHAnsi" w:hAnsiTheme="minorHAnsi" w:cstheme="minorHAnsi"/>
          <w:b/>
          <w:bCs/>
          <w:color w:val="000000"/>
          <w:u w:val="single"/>
          <w:lang w:val="el-GR"/>
        </w:rPr>
        <w:t xml:space="preserve"> επίσκεψη στη Βουδαπέστη, του </w:t>
      </w:r>
      <w:r w:rsidR="00F93390" w:rsidRPr="00466073">
        <w:rPr>
          <w:rFonts w:asciiTheme="minorHAnsi" w:hAnsiTheme="minorHAnsi" w:cstheme="minorHAnsi"/>
          <w:b/>
          <w:bCs/>
          <w:color w:val="000000"/>
          <w:u w:val="single"/>
          <w:lang w:val="el-GR"/>
        </w:rPr>
        <w:t>πρώην</w:t>
      </w:r>
      <w:r w:rsidRPr="00466073">
        <w:rPr>
          <w:rFonts w:asciiTheme="minorHAnsi" w:hAnsiTheme="minorHAnsi" w:cstheme="minorHAnsi"/>
          <w:b/>
          <w:bCs/>
          <w:color w:val="000000"/>
          <w:u w:val="single"/>
          <w:lang w:val="el-GR"/>
        </w:rPr>
        <w:t xml:space="preserve"> Γενικού Γραμματέα Διεθνών Οικονομικών Σχέσεων του Υπουργείου Εξωτερικών, κ. Γ. </w:t>
      </w:r>
      <w:proofErr w:type="spellStart"/>
      <w:r w:rsidRPr="00466073">
        <w:rPr>
          <w:rFonts w:asciiTheme="minorHAnsi" w:hAnsiTheme="minorHAnsi" w:cstheme="minorHAnsi"/>
          <w:b/>
          <w:bCs/>
          <w:color w:val="000000"/>
          <w:u w:val="single"/>
          <w:lang w:val="el-GR"/>
        </w:rPr>
        <w:t>Τσίπρα</w:t>
      </w:r>
      <w:proofErr w:type="spellEnd"/>
      <w:r w:rsidRPr="00466073">
        <w:rPr>
          <w:rFonts w:asciiTheme="minorHAnsi" w:hAnsiTheme="minorHAnsi" w:cstheme="minorHAnsi"/>
          <w:b/>
          <w:bCs/>
          <w:color w:val="000000"/>
          <w:u w:val="single"/>
          <w:lang w:val="el-GR"/>
        </w:rPr>
        <w:t xml:space="preserve">, 8 </w:t>
      </w:r>
      <w:proofErr w:type="spellStart"/>
      <w:r w:rsidRPr="00466073">
        <w:rPr>
          <w:rFonts w:asciiTheme="minorHAnsi" w:hAnsiTheme="minorHAnsi" w:cstheme="minorHAnsi"/>
          <w:b/>
          <w:bCs/>
          <w:color w:val="000000"/>
          <w:u w:val="single"/>
          <w:lang w:val="el-GR"/>
        </w:rPr>
        <w:t>Μαίου</w:t>
      </w:r>
      <w:proofErr w:type="spellEnd"/>
      <w:r w:rsidRPr="00466073">
        <w:rPr>
          <w:rFonts w:asciiTheme="minorHAnsi" w:hAnsiTheme="minorHAnsi" w:cstheme="minorHAnsi"/>
          <w:b/>
          <w:bCs/>
          <w:color w:val="000000"/>
          <w:u w:val="single"/>
          <w:lang w:val="el-GR"/>
        </w:rPr>
        <w:t xml:space="preserve"> 2017.</w:t>
      </w:r>
    </w:p>
    <w:p w:rsidR="00805C25" w:rsidRPr="00466073" w:rsidRDefault="00CF61FE" w:rsidP="00805C25">
      <w:pPr>
        <w:shd w:val="clear" w:color="auto" w:fill="FFFFFF"/>
        <w:spacing w:line="300" w:lineRule="atLeast"/>
        <w:jc w:val="both"/>
        <w:rPr>
          <w:rFonts w:asciiTheme="minorHAnsi" w:hAnsiTheme="minorHAnsi" w:cstheme="minorHAnsi"/>
          <w:bCs/>
          <w:color w:val="000000"/>
          <w:lang w:val="el-GR"/>
        </w:rPr>
      </w:pPr>
      <w:r>
        <w:rPr>
          <w:rFonts w:asciiTheme="minorHAnsi" w:hAnsiTheme="minorHAnsi" w:cstheme="minorHAnsi"/>
          <w:bCs/>
          <w:color w:val="000000"/>
          <w:lang w:val="el-GR"/>
        </w:rPr>
        <w:t>ΓΓ ΔΟΣ</w:t>
      </w:r>
      <w:r w:rsidR="00CC752D" w:rsidRPr="00466073">
        <w:rPr>
          <w:rFonts w:asciiTheme="minorHAnsi" w:hAnsiTheme="minorHAnsi" w:cstheme="minorHAnsi"/>
          <w:bCs/>
          <w:color w:val="000000"/>
          <w:lang w:val="el-GR"/>
        </w:rPr>
        <w:t xml:space="preserve"> κατά την μονοήμερη επίσκεψή του</w:t>
      </w:r>
      <w:r w:rsidR="00805C25" w:rsidRPr="00466073">
        <w:rPr>
          <w:rFonts w:asciiTheme="minorHAnsi" w:hAnsiTheme="minorHAnsi" w:cstheme="minorHAnsi"/>
          <w:bCs/>
          <w:color w:val="000000"/>
          <w:lang w:val="el-GR"/>
        </w:rPr>
        <w:t xml:space="preserve">, είχε σειρά συναντήσεων με Ούγγρους Αξιωματούχους των Υπουργείων Εξωτερικών &amp; Εμπορίου και Εθνικής Ανάπτυξης. Επίσης, συναντήθηκε με εκπροσώπους ελληνικών εταιρειών που δραστηριοποιούνται στην Ουγγαρία, καθώς και με εκπροσώπους εταιρειών ελληνικών συμφερόντων που εδρεύουν στην Ουγγαρία. </w:t>
      </w:r>
      <w:r w:rsidR="00CC752D" w:rsidRPr="00466073">
        <w:rPr>
          <w:rFonts w:asciiTheme="minorHAnsi" w:hAnsiTheme="minorHAnsi" w:cstheme="minorHAnsi"/>
          <w:bCs/>
          <w:color w:val="000000"/>
          <w:lang w:val="el-GR"/>
        </w:rPr>
        <w:t>Σ</w:t>
      </w:r>
      <w:r w:rsidR="00805C25" w:rsidRPr="00466073">
        <w:rPr>
          <w:rFonts w:asciiTheme="minorHAnsi" w:hAnsiTheme="minorHAnsi" w:cstheme="minorHAnsi"/>
          <w:bCs/>
          <w:color w:val="000000"/>
          <w:lang w:val="el-GR"/>
        </w:rPr>
        <w:t>υναντήθηκε</w:t>
      </w:r>
      <w:r w:rsidR="00CC752D" w:rsidRPr="00466073">
        <w:rPr>
          <w:rFonts w:asciiTheme="minorHAnsi" w:hAnsiTheme="minorHAnsi" w:cstheme="minorHAnsi"/>
          <w:bCs/>
          <w:color w:val="000000"/>
          <w:lang w:val="el-GR"/>
        </w:rPr>
        <w:t xml:space="preserve"> επίσης</w:t>
      </w:r>
      <w:r w:rsidR="00805C25" w:rsidRPr="00466073">
        <w:rPr>
          <w:rFonts w:asciiTheme="minorHAnsi" w:hAnsiTheme="minorHAnsi" w:cstheme="minorHAnsi"/>
          <w:bCs/>
          <w:color w:val="000000"/>
          <w:lang w:val="el-GR"/>
        </w:rPr>
        <w:t xml:space="preserve"> με εκπροσώπους και μέλη του </w:t>
      </w:r>
      <w:proofErr w:type="spellStart"/>
      <w:r w:rsidR="00805C25" w:rsidRPr="00466073">
        <w:rPr>
          <w:rFonts w:asciiTheme="minorHAnsi" w:hAnsiTheme="minorHAnsi" w:cstheme="minorHAnsi"/>
          <w:bCs/>
          <w:color w:val="000000"/>
          <w:lang w:val="el-GR"/>
        </w:rPr>
        <w:t>Ουγγρο</w:t>
      </w:r>
      <w:proofErr w:type="spellEnd"/>
      <w:r w:rsidR="00805C25" w:rsidRPr="00466073">
        <w:rPr>
          <w:rFonts w:asciiTheme="minorHAnsi" w:hAnsiTheme="minorHAnsi" w:cstheme="minorHAnsi"/>
          <w:bCs/>
          <w:color w:val="000000"/>
          <w:lang w:val="el-GR"/>
        </w:rPr>
        <w:t xml:space="preserve">-Ελληνικού Επιχειρηματικού Συμβουλίου.  </w:t>
      </w:r>
    </w:p>
    <w:p w:rsidR="00805C25" w:rsidRPr="00466073" w:rsidRDefault="00805C25" w:rsidP="00805C25">
      <w:pPr>
        <w:shd w:val="clear" w:color="auto" w:fill="FFFFFF"/>
        <w:spacing w:line="300" w:lineRule="atLeast"/>
        <w:jc w:val="both"/>
        <w:rPr>
          <w:rFonts w:asciiTheme="minorHAnsi" w:hAnsiTheme="minorHAnsi" w:cstheme="minorHAnsi"/>
          <w:bCs/>
          <w:color w:val="000000"/>
          <w:lang w:val="el-GR"/>
        </w:rPr>
      </w:pPr>
      <w:r w:rsidRPr="00466073">
        <w:rPr>
          <w:rFonts w:asciiTheme="minorHAnsi" w:hAnsiTheme="minorHAnsi" w:cstheme="minorHAnsi"/>
          <w:bCs/>
          <w:i/>
          <w:color w:val="000000"/>
          <w:u w:val="single"/>
          <w:lang w:val="el-GR"/>
        </w:rPr>
        <w:t xml:space="preserve">Συνάντηση με </w:t>
      </w:r>
      <w:r w:rsidR="00CC752D" w:rsidRPr="00466073">
        <w:rPr>
          <w:rFonts w:asciiTheme="minorHAnsi" w:hAnsiTheme="minorHAnsi" w:cstheme="minorHAnsi"/>
          <w:bCs/>
          <w:i/>
          <w:color w:val="000000"/>
          <w:u w:val="single"/>
          <w:lang w:val="el-GR"/>
        </w:rPr>
        <w:t xml:space="preserve">Ούγγρο </w:t>
      </w:r>
      <w:r w:rsidRPr="00466073">
        <w:rPr>
          <w:rFonts w:asciiTheme="minorHAnsi" w:hAnsiTheme="minorHAnsi" w:cstheme="minorHAnsi"/>
          <w:bCs/>
          <w:i/>
          <w:color w:val="000000"/>
          <w:u w:val="single"/>
          <w:lang w:val="el-GR"/>
        </w:rPr>
        <w:t>Υφυπουργό Ανάπτυξης</w:t>
      </w:r>
      <w:r w:rsidRPr="00466073">
        <w:rPr>
          <w:rFonts w:asciiTheme="minorHAnsi" w:hAnsiTheme="minorHAnsi" w:cstheme="minorHAnsi"/>
          <w:bCs/>
          <w:color w:val="000000"/>
          <w:lang w:val="el-GR"/>
        </w:rPr>
        <w:t xml:space="preserve"> (</w:t>
      </w:r>
      <w:r w:rsidRPr="00466073">
        <w:rPr>
          <w:rFonts w:asciiTheme="minorHAnsi" w:hAnsiTheme="minorHAnsi" w:cstheme="minorHAnsi"/>
          <w:bCs/>
          <w:color w:val="000000"/>
        </w:rPr>
        <w:t>Minister</w:t>
      </w:r>
      <w:r w:rsidRPr="00466073">
        <w:rPr>
          <w:rFonts w:asciiTheme="minorHAnsi" w:hAnsiTheme="minorHAnsi" w:cstheme="minorHAnsi"/>
          <w:bCs/>
          <w:color w:val="000000"/>
          <w:lang w:val="el-GR"/>
        </w:rPr>
        <w:t xml:space="preserve"> </w:t>
      </w:r>
      <w:r w:rsidRPr="00466073">
        <w:rPr>
          <w:rFonts w:asciiTheme="minorHAnsi" w:hAnsiTheme="minorHAnsi" w:cstheme="minorHAnsi"/>
          <w:bCs/>
          <w:color w:val="000000"/>
        </w:rPr>
        <w:t>of</w:t>
      </w:r>
      <w:r w:rsidRPr="00466073">
        <w:rPr>
          <w:rFonts w:asciiTheme="minorHAnsi" w:hAnsiTheme="minorHAnsi" w:cstheme="minorHAnsi"/>
          <w:bCs/>
          <w:color w:val="000000"/>
          <w:lang w:val="el-GR"/>
        </w:rPr>
        <w:t xml:space="preserve"> </w:t>
      </w:r>
      <w:r w:rsidRPr="00466073">
        <w:rPr>
          <w:rFonts w:asciiTheme="minorHAnsi" w:hAnsiTheme="minorHAnsi" w:cstheme="minorHAnsi"/>
          <w:bCs/>
          <w:color w:val="000000"/>
        </w:rPr>
        <w:t>State</w:t>
      </w:r>
      <w:r w:rsidRPr="00466073">
        <w:rPr>
          <w:rFonts w:asciiTheme="minorHAnsi" w:hAnsiTheme="minorHAnsi" w:cstheme="minorHAnsi"/>
          <w:bCs/>
          <w:color w:val="000000"/>
          <w:lang w:val="el-GR"/>
        </w:rPr>
        <w:t xml:space="preserve">), αρμόδιο για ενεργειακά, Δρ. </w:t>
      </w:r>
      <w:proofErr w:type="spellStart"/>
      <w:r w:rsidRPr="00466073">
        <w:rPr>
          <w:rFonts w:asciiTheme="minorHAnsi" w:hAnsiTheme="minorHAnsi" w:cstheme="minorHAnsi"/>
          <w:bCs/>
          <w:color w:val="000000"/>
        </w:rPr>
        <w:t>Andr</w:t>
      </w:r>
      <w:proofErr w:type="spellEnd"/>
      <w:r w:rsidRPr="00466073">
        <w:rPr>
          <w:rFonts w:asciiTheme="minorHAnsi" w:hAnsiTheme="minorHAnsi" w:cstheme="minorHAnsi"/>
          <w:bCs/>
          <w:color w:val="000000"/>
          <w:lang w:val="el-GR"/>
        </w:rPr>
        <w:t>á</w:t>
      </w:r>
      <w:r w:rsidRPr="00466073">
        <w:rPr>
          <w:rFonts w:asciiTheme="minorHAnsi" w:hAnsiTheme="minorHAnsi" w:cstheme="minorHAnsi"/>
          <w:bCs/>
          <w:color w:val="000000"/>
        </w:rPr>
        <w:t>s</w:t>
      </w:r>
      <w:r w:rsidRPr="00466073">
        <w:rPr>
          <w:rFonts w:asciiTheme="minorHAnsi" w:hAnsiTheme="minorHAnsi" w:cstheme="minorHAnsi"/>
          <w:bCs/>
          <w:color w:val="000000"/>
          <w:lang w:val="el-GR"/>
        </w:rPr>
        <w:t xml:space="preserve"> </w:t>
      </w:r>
      <w:r w:rsidRPr="00466073">
        <w:rPr>
          <w:rFonts w:asciiTheme="minorHAnsi" w:hAnsiTheme="minorHAnsi" w:cstheme="minorHAnsi"/>
          <w:bCs/>
          <w:color w:val="000000"/>
        </w:rPr>
        <w:t>ARADSZKI</w:t>
      </w:r>
      <w:r w:rsidR="00CC752D" w:rsidRPr="00466073">
        <w:rPr>
          <w:rFonts w:asciiTheme="minorHAnsi" w:hAnsiTheme="minorHAnsi" w:cstheme="minorHAnsi"/>
          <w:bCs/>
          <w:color w:val="000000"/>
          <w:lang w:val="el-GR"/>
        </w:rPr>
        <w:t xml:space="preserve"> (</w:t>
      </w:r>
      <w:proofErr w:type="spellStart"/>
      <w:r w:rsidR="00CC752D" w:rsidRPr="00466073">
        <w:rPr>
          <w:rFonts w:asciiTheme="minorHAnsi" w:hAnsiTheme="minorHAnsi" w:cstheme="minorHAnsi"/>
          <w:bCs/>
          <w:color w:val="000000"/>
          <w:lang w:val="el-GR"/>
        </w:rPr>
        <w:t>Αράντσκι</w:t>
      </w:r>
      <w:proofErr w:type="spellEnd"/>
      <w:r w:rsidR="00CC752D" w:rsidRPr="00466073">
        <w:rPr>
          <w:rFonts w:asciiTheme="minorHAnsi" w:hAnsiTheme="minorHAnsi" w:cstheme="minorHAnsi"/>
          <w:bCs/>
          <w:color w:val="000000"/>
          <w:lang w:val="el-GR"/>
        </w:rPr>
        <w:t>):</w:t>
      </w:r>
      <w:r w:rsidRPr="00466073">
        <w:rPr>
          <w:rFonts w:asciiTheme="minorHAnsi" w:hAnsiTheme="minorHAnsi" w:cstheme="minorHAnsi"/>
          <w:bCs/>
          <w:color w:val="000000"/>
          <w:lang w:val="el-GR"/>
        </w:rPr>
        <w:t xml:space="preserve"> </w:t>
      </w:r>
      <w:r w:rsidR="00CC752D" w:rsidRPr="00466073">
        <w:rPr>
          <w:rFonts w:asciiTheme="minorHAnsi" w:hAnsiTheme="minorHAnsi" w:cstheme="minorHAnsi"/>
          <w:bCs/>
          <w:color w:val="000000"/>
          <w:lang w:val="el-GR"/>
        </w:rPr>
        <w:t xml:space="preserve">Συζητήθηκαν θέματα αμοιβαίου ενδιαφέροντος όπως π.χ. ο </w:t>
      </w:r>
      <w:r w:rsidRPr="00466073">
        <w:rPr>
          <w:rFonts w:asciiTheme="minorHAnsi" w:hAnsiTheme="minorHAnsi" w:cstheme="minorHAnsi"/>
          <w:bCs/>
          <w:color w:val="000000"/>
          <w:lang w:val="el-GR"/>
        </w:rPr>
        <w:t>Κάθετο</w:t>
      </w:r>
      <w:r w:rsidR="00CC752D" w:rsidRPr="00466073">
        <w:rPr>
          <w:rFonts w:asciiTheme="minorHAnsi" w:hAnsiTheme="minorHAnsi" w:cstheme="minorHAnsi"/>
          <w:bCs/>
          <w:color w:val="000000"/>
          <w:lang w:val="el-GR"/>
        </w:rPr>
        <w:t>ς</w:t>
      </w:r>
      <w:r w:rsidRPr="00466073">
        <w:rPr>
          <w:rFonts w:asciiTheme="minorHAnsi" w:hAnsiTheme="minorHAnsi" w:cstheme="minorHAnsi"/>
          <w:bCs/>
          <w:color w:val="000000"/>
          <w:lang w:val="el-GR"/>
        </w:rPr>
        <w:t xml:space="preserve"> Διάδρομο</w:t>
      </w:r>
      <w:r w:rsidR="00CC752D" w:rsidRPr="00466073">
        <w:rPr>
          <w:rFonts w:asciiTheme="minorHAnsi" w:hAnsiTheme="minorHAnsi" w:cstheme="minorHAnsi"/>
          <w:bCs/>
          <w:color w:val="000000"/>
          <w:lang w:val="el-GR"/>
        </w:rPr>
        <w:t>ς</w:t>
      </w:r>
      <w:r w:rsidR="006A4730" w:rsidRPr="00466073">
        <w:rPr>
          <w:rFonts w:asciiTheme="minorHAnsi" w:hAnsiTheme="minorHAnsi" w:cstheme="minorHAnsi"/>
          <w:bCs/>
          <w:color w:val="000000"/>
          <w:lang w:val="el-GR"/>
        </w:rPr>
        <w:t xml:space="preserve"> </w:t>
      </w:r>
      <w:r w:rsidR="00CC752D" w:rsidRPr="00466073">
        <w:rPr>
          <w:rFonts w:asciiTheme="minorHAnsi" w:hAnsiTheme="minorHAnsi" w:cstheme="minorHAnsi"/>
          <w:bCs/>
          <w:color w:val="000000"/>
          <w:lang w:val="el-GR"/>
        </w:rPr>
        <w:t xml:space="preserve">όπου η Ουγγαρία </w:t>
      </w:r>
      <w:r w:rsidR="006A4730" w:rsidRPr="00466073">
        <w:rPr>
          <w:rFonts w:asciiTheme="minorHAnsi" w:hAnsiTheme="minorHAnsi" w:cstheme="minorHAnsi"/>
          <w:bCs/>
          <w:color w:val="000000"/>
          <w:lang w:val="el-GR"/>
        </w:rPr>
        <w:t>εί</w:t>
      </w:r>
      <w:r w:rsidRPr="00466073">
        <w:rPr>
          <w:rFonts w:asciiTheme="minorHAnsi" w:hAnsiTheme="minorHAnsi" w:cstheme="minorHAnsi"/>
          <w:bCs/>
          <w:color w:val="000000"/>
          <w:lang w:val="el-GR"/>
        </w:rPr>
        <w:t xml:space="preserve">ναι έτοιμη να συνεργαστεί </w:t>
      </w:r>
      <w:r w:rsidR="006A4730" w:rsidRPr="00466073">
        <w:rPr>
          <w:rFonts w:asciiTheme="minorHAnsi" w:hAnsiTheme="minorHAnsi" w:cstheme="minorHAnsi"/>
          <w:bCs/>
          <w:color w:val="000000"/>
          <w:lang w:val="el-GR"/>
        </w:rPr>
        <w:t xml:space="preserve">με την Ελλάδα </w:t>
      </w:r>
      <w:r w:rsidRPr="00466073">
        <w:rPr>
          <w:rFonts w:asciiTheme="minorHAnsi" w:hAnsiTheme="minorHAnsi" w:cstheme="minorHAnsi"/>
          <w:bCs/>
          <w:color w:val="000000"/>
          <w:lang w:val="el-GR"/>
        </w:rPr>
        <w:t xml:space="preserve">στο πλαίσιο της πρωτοβουλίας </w:t>
      </w:r>
      <w:r w:rsidRPr="00466073">
        <w:rPr>
          <w:rFonts w:asciiTheme="minorHAnsi" w:hAnsiTheme="minorHAnsi" w:cstheme="minorHAnsi"/>
          <w:bCs/>
          <w:color w:val="000000"/>
        </w:rPr>
        <w:t>CESEC</w:t>
      </w:r>
      <w:r w:rsidRPr="00466073">
        <w:rPr>
          <w:rFonts w:asciiTheme="minorHAnsi" w:hAnsiTheme="minorHAnsi" w:cstheme="minorHAnsi"/>
          <w:bCs/>
          <w:color w:val="000000"/>
          <w:lang w:val="el-GR"/>
        </w:rPr>
        <w:t xml:space="preserve">.    </w:t>
      </w:r>
    </w:p>
    <w:p w:rsidR="00805C25" w:rsidRPr="00466073" w:rsidRDefault="00805C25" w:rsidP="006A4730">
      <w:pPr>
        <w:shd w:val="clear" w:color="auto" w:fill="FFFFFF"/>
        <w:spacing w:line="300" w:lineRule="atLeast"/>
        <w:jc w:val="both"/>
        <w:rPr>
          <w:rFonts w:asciiTheme="minorHAnsi" w:hAnsiTheme="minorHAnsi" w:cstheme="minorHAnsi"/>
          <w:lang w:val="el-GR"/>
        </w:rPr>
      </w:pPr>
      <w:r w:rsidRPr="00466073">
        <w:rPr>
          <w:rFonts w:asciiTheme="minorHAnsi" w:hAnsiTheme="minorHAnsi" w:cstheme="minorHAnsi"/>
          <w:bCs/>
          <w:i/>
          <w:color w:val="000000"/>
          <w:u w:val="single"/>
          <w:lang w:val="el-GR"/>
        </w:rPr>
        <w:t xml:space="preserve">Συνάντηση με </w:t>
      </w:r>
      <w:r w:rsidR="006A4730" w:rsidRPr="00466073">
        <w:rPr>
          <w:rFonts w:asciiTheme="minorHAnsi" w:hAnsiTheme="minorHAnsi" w:cstheme="minorHAnsi"/>
          <w:bCs/>
          <w:i/>
          <w:color w:val="000000"/>
          <w:u w:val="single"/>
          <w:lang w:val="el-GR"/>
        </w:rPr>
        <w:t xml:space="preserve">Ούγγρο </w:t>
      </w:r>
      <w:r w:rsidRPr="00466073">
        <w:rPr>
          <w:rFonts w:asciiTheme="minorHAnsi" w:hAnsiTheme="minorHAnsi" w:cstheme="minorHAnsi"/>
          <w:bCs/>
          <w:i/>
          <w:color w:val="000000"/>
          <w:u w:val="single"/>
          <w:lang w:val="el-GR"/>
        </w:rPr>
        <w:t>Αναπληρωτή Υπουργό Εξωτερικών &amp; Εμπορίου</w:t>
      </w:r>
      <w:r w:rsidRPr="00466073">
        <w:rPr>
          <w:rFonts w:asciiTheme="minorHAnsi" w:hAnsiTheme="minorHAnsi" w:cstheme="minorHAnsi"/>
          <w:bCs/>
          <w:color w:val="000000"/>
          <w:lang w:val="el-GR"/>
        </w:rPr>
        <w:t xml:space="preserve">, Δρ. </w:t>
      </w:r>
      <w:r w:rsidRPr="00466073">
        <w:rPr>
          <w:rFonts w:asciiTheme="minorHAnsi" w:hAnsiTheme="minorHAnsi" w:cstheme="minorHAnsi"/>
          <w:bCs/>
          <w:color w:val="000000"/>
        </w:rPr>
        <w:t>L</w:t>
      </w:r>
      <w:r w:rsidRPr="00466073">
        <w:rPr>
          <w:rFonts w:asciiTheme="minorHAnsi" w:hAnsiTheme="minorHAnsi" w:cstheme="minorHAnsi"/>
          <w:bCs/>
          <w:color w:val="000000"/>
          <w:lang w:val="el-GR"/>
        </w:rPr>
        <w:t>á</w:t>
      </w:r>
      <w:proofErr w:type="spellStart"/>
      <w:r w:rsidRPr="00466073">
        <w:rPr>
          <w:rFonts w:asciiTheme="minorHAnsi" w:hAnsiTheme="minorHAnsi" w:cstheme="minorHAnsi"/>
          <w:bCs/>
          <w:color w:val="000000"/>
        </w:rPr>
        <w:t>szl</w:t>
      </w:r>
      <w:proofErr w:type="spellEnd"/>
      <w:r w:rsidRPr="00466073">
        <w:rPr>
          <w:rFonts w:asciiTheme="minorHAnsi" w:hAnsiTheme="minorHAnsi" w:cstheme="minorHAnsi"/>
          <w:bCs/>
          <w:color w:val="000000"/>
          <w:lang w:val="el-GR"/>
        </w:rPr>
        <w:t xml:space="preserve">ó </w:t>
      </w:r>
      <w:proofErr w:type="spellStart"/>
      <w:r w:rsidRPr="00466073">
        <w:rPr>
          <w:rFonts w:asciiTheme="minorHAnsi" w:hAnsiTheme="minorHAnsi" w:cstheme="minorHAnsi"/>
          <w:bCs/>
          <w:color w:val="000000"/>
        </w:rPr>
        <w:t>Szab</w:t>
      </w:r>
      <w:proofErr w:type="spellEnd"/>
      <w:r w:rsidR="004D4F71" w:rsidRPr="00466073">
        <w:rPr>
          <w:rFonts w:asciiTheme="minorHAnsi" w:hAnsiTheme="minorHAnsi" w:cstheme="minorHAnsi"/>
          <w:bCs/>
          <w:color w:val="000000"/>
          <w:lang w:val="el-GR"/>
        </w:rPr>
        <w:t>ó (</w:t>
      </w:r>
      <w:proofErr w:type="spellStart"/>
      <w:r w:rsidR="004D4F71" w:rsidRPr="00466073">
        <w:rPr>
          <w:rFonts w:asciiTheme="minorHAnsi" w:hAnsiTheme="minorHAnsi" w:cstheme="minorHAnsi"/>
          <w:bCs/>
          <w:color w:val="000000"/>
          <w:lang w:val="el-GR"/>
        </w:rPr>
        <w:t>Σ</w:t>
      </w:r>
      <w:r w:rsidRPr="00466073">
        <w:rPr>
          <w:rFonts w:asciiTheme="minorHAnsi" w:hAnsiTheme="minorHAnsi" w:cstheme="minorHAnsi"/>
          <w:bCs/>
          <w:color w:val="000000"/>
          <w:lang w:val="el-GR"/>
        </w:rPr>
        <w:t>άμπο</w:t>
      </w:r>
      <w:proofErr w:type="spellEnd"/>
      <w:r w:rsidRPr="00466073">
        <w:rPr>
          <w:rFonts w:asciiTheme="minorHAnsi" w:hAnsiTheme="minorHAnsi" w:cstheme="minorHAnsi"/>
          <w:bCs/>
          <w:color w:val="000000"/>
          <w:lang w:val="el-GR"/>
        </w:rPr>
        <w:t>)</w:t>
      </w:r>
      <w:r w:rsidR="006A4730" w:rsidRPr="00466073">
        <w:rPr>
          <w:rFonts w:asciiTheme="minorHAnsi" w:hAnsiTheme="minorHAnsi" w:cstheme="minorHAnsi"/>
          <w:bCs/>
          <w:color w:val="000000"/>
          <w:lang w:val="el-GR"/>
        </w:rPr>
        <w:t>:</w:t>
      </w:r>
      <w:r w:rsidRPr="00466073">
        <w:rPr>
          <w:rFonts w:asciiTheme="minorHAnsi" w:hAnsiTheme="minorHAnsi" w:cstheme="minorHAnsi"/>
          <w:bCs/>
          <w:color w:val="000000"/>
          <w:lang w:val="el-GR"/>
        </w:rPr>
        <w:t xml:space="preserve"> </w:t>
      </w:r>
      <w:r w:rsidR="006A4730" w:rsidRPr="00466073">
        <w:rPr>
          <w:rFonts w:asciiTheme="minorHAnsi" w:hAnsiTheme="minorHAnsi" w:cstheme="minorHAnsi"/>
          <w:bCs/>
          <w:color w:val="000000"/>
          <w:lang w:val="el-GR"/>
        </w:rPr>
        <w:t xml:space="preserve">Η ουγγρική πλευρά έδειξε ενδιαφέρον για επενδύσεις στον τουριστικό τομέα της Ελλάδος. </w:t>
      </w:r>
    </w:p>
    <w:p w:rsidR="00805C25" w:rsidRPr="00466073" w:rsidRDefault="00805C25" w:rsidP="00805C25">
      <w:pPr>
        <w:shd w:val="clear" w:color="auto" w:fill="FDFDFD"/>
        <w:jc w:val="both"/>
        <w:rPr>
          <w:rFonts w:asciiTheme="minorHAnsi" w:hAnsiTheme="minorHAnsi" w:cstheme="minorHAnsi"/>
          <w:lang w:val="el-GR"/>
        </w:rPr>
      </w:pPr>
      <w:r w:rsidRPr="00466073">
        <w:rPr>
          <w:rFonts w:asciiTheme="minorHAnsi" w:hAnsiTheme="minorHAnsi" w:cstheme="minorHAnsi"/>
          <w:bCs/>
          <w:i/>
          <w:color w:val="000000"/>
          <w:u w:val="single"/>
          <w:lang w:val="el-GR"/>
        </w:rPr>
        <w:t xml:space="preserve">Συνάντηση με </w:t>
      </w:r>
      <w:proofErr w:type="spellStart"/>
      <w:r w:rsidRPr="00466073">
        <w:rPr>
          <w:rFonts w:asciiTheme="minorHAnsi" w:hAnsiTheme="minorHAnsi" w:cstheme="minorHAnsi"/>
          <w:bCs/>
          <w:i/>
          <w:color w:val="000000"/>
          <w:u w:val="single"/>
          <w:lang w:val="el-GR"/>
        </w:rPr>
        <w:t>Ουγγρο</w:t>
      </w:r>
      <w:proofErr w:type="spellEnd"/>
      <w:r w:rsidRPr="00466073">
        <w:rPr>
          <w:rFonts w:asciiTheme="minorHAnsi" w:hAnsiTheme="minorHAnsi" w:cstheme="minorHAnsi"/>
          <w:bCs/>
          <w:i/>
          <w:color w:val="000000"/>
          <w:u w:val="single"/>
          <w:lang w:val="el-GR"/>
        </w:rPr>
        <w:t>-Ελληνικό Επιχειρηματικό Συμβούλιο</w:t>
      </w:r>
      <w:r w:rsidR="006A4730" w:rsidRPr="00466073">
        <w:rPr>
          <w:rFonts w:asciiTheme="minorHAnsi" w:hAnsiTheme="minorHAnsi" w:cstheme="minorHAnsi"/>
          <w:lang w:val="el-GR"/>
        </w:rPr>
        <w:t>:</w:t>
      </w:r>
      <w:r w:rsidRPr="00466073">
        <w:rPr>
          <w:rFonts w:asciiTheme="minorHAnsi" w:hAnsiTheme="minorHAnsi" w:cstheme="minorHAnsi"/>
          <w:lang w:val="el-GR"/>
        </w:rPr>
        <w:t xml:space="preserve"> Συζητήθηκαν θέματα ενίσχυσης των εμπορικών συναλλαγών Ελλάδος-Ουγγαρίας, </w:t>
      </w:r>
      <w:r w:rsidR="006A4730" w:rsidRPr="00466073">
        <w:rPr>
          <w:rFonts w:asciiTheme="minorHAnsi" w:hAnsiTheme="minorHAnsi" w:cstheme="minorHAnsi"/>
          <w:lang w:val="el-GR"/>
        </w:rPr>
        <w:t xml:space="preserve">καθώς και το ενδιαφέρον ουγγρικής εταιρείας να δραστηριοποιηθεί στους τομείς εκκαθάρισης συναλλαγών, διαχείρισης κινδύνου και διακανονισμού αγορών </w:t>
      </w:r>
      <w:r w:rsidRPr="00466073">
        <w:rPr>
          <w:rFonts w:asciiTheme="minorHAnsi" w:hAnsiTheme="minorHAnsi" w:cstheme="minorHAnsi"/>
          <w:lang w:val="el-GR"/>
        </w:rPr>
        <w:t xml:space="preserve">στο </w:t>
      </w:r>
      <w:r w:rsidR="006A4730" w:rsidRPr="00466073">
        <w:rPr>
          <w:rFonts w:asciiTheme="minorHAnsi" w:hAnsiTheme="minorHAnsi" w:cstheme="minorHAnsi"/>
          <w:lang w:val="el-GR"/>
        </w:rPr>
        <w:t xml:space="preserve">πλαίσιο λειτουργίας του νέου </w:t>
      </w:r>
      <w:r w:rsidRPr="00466073">
        <w:rPr>
          <w:rFonts w:asciiTheme="minorHAnsi" w:hAnsiTheme="minorHAnsi" w:cstheme="minorHAnsi"/>
          <w:lang w:val="el-GR"/>
        </w:rPr>
        <w:t>Ελληνικ</w:t>
      </w:r>
      <w:r w:rsidR="006A4730" w:rsidRPr="00466073">
        <w:rPr>
          <w:rFonts w:asciiTheme="minorHAnsi" w:hAnsiTheme="minorHAnsi" w:cstheme="minorHAnsi"/>
          <w:lang w:val="el-GR"/>
        </w:rPr>
        <w:t>ού</w:t>
      </w:r>
      <w:r w:rsidRPr="00466073">
        <w:rPr>
          <w:rFonts w:asciiTheme="minorHAnsi" w:hAnsiTheme="minorHAnsi" w:cstheme="minorHAnsi"/>
          <w:lang w:val="el-GR"/>
        </w:rPr>
        <w:t xml:space="preserve"> Χρηματιστ</w:t>
      </w:r>
      <w:r w:rsidR="006A4730" w:rsidRPr="00466073">
        <w:rPr>
          <w:rFonts w:asciiTheme="minorHAnsi" w:hAnsiTheme="minorHAnsi" w:cstheme="minorHAnsi"/>
          <w:lang w:val="el-GR"/>
        </w:rPr>
        <w:t>ηρίου</w:t>
      </w:r>
      <w:r w:rsidRPr="00466073">
        <w:rPr>
          <w:rFonts w:asciiTheme="minorHAnsi" w:hAnsiTheme="minorHAnsi" w:cstheme="minorHAnsi"/>
          <w:lang w:val="el-GR"/>
        </w:rPr>
        <w:t xml:space="preserve"> Ενέργ</w:t>
      </w:r>
      <w:r w:rsidR="006A4730" w:rsidRPr="00466073">
        <w:rPr>
          <w:rFonts w:asciiTheme="minorHAnsi" w:hAnsiTheme="minorHAnsi" w:cstheme="minorHAnsi"/>
          <w:lang w:val="el-GR"/>
        </w:rPr>
        <w:t>ειας.</w:t>
      </w:r>
    </w:p>
    <w:p w:rsidR="00805C25" w:rsidRPr="00466073" w:rsidRDefault="00805C25" w:rsidP="002278C0">
      <w:pPr>
        <w:shd w:val="clear" w:color="auto" w:fill="FDFDFD"/>
        <w:jc w:val="both"/>
        <w:rPr>
          <w:rFonts w:asciiTheme="minorHAnsi" w:hAnsiTheme="minorHAnsi" w:cstheme="minorHAnsi"/>
          <w:bCs/>
          <w:color w:val="000000"/>
          <w:lang w:val="el-GR"/>
        </w:rPr>
      </w:pPr>
      <w:r w:rsidRPr="00466073">
        <w:rPr>
          <w:rFonts w:asciiTheme="minorHAnsi" w:hAnsiTheme="minorHAnsi" w:cstheme="minorHAnsi"/>
          <w:bCs/>
          <w:i/>
          <w:color w:val="000000"/>
          <w:u w:val="single"/>
          <w:lang w:val="el-GR"/>
        </w:rPr>
        <w:t>Συνάντηση με στελέχη ελληνικών και ουγγρικών εταιρειών ελληνικού ενδιαφέροντος</w:t>
      </w:r>
      <w:r w:rsidR="002278C0" w:rsidRPr="00466073">
        <w:rPr>
          <w:rFonts w:asciiTheme="minorHAnsi" w:hAnsiTheme="minorHAnsi" w:cstheme="minorHAnsi"/>
          <w:bCs/>
          <w:color w:val="000000"/>
          <w:lang w:val="el-GR"/>
        </w:rPr>
        <w:t xml:space="preserve">: Συζητήθηκαν οι προϋποθέσεις και προοπτικές περαιτέρω αύξησης των ελληνικών εξαγωγών στην Ουγγαρία. </w:t>
      </w:r>
      <w:r w:rsidRPr="00466073">
        <w:rPr>
          <w:rFonts w:asciiTheme="minorHAnsi" w:hAnsiTheme="minorHAnsi" w:cstheme="minorHAnsi"/>
          <w:bCs/>
          <w:color w:val="000000"/>
          <w:lang w:val="el-GR"/>
        </w:rPr>
        <w:t xml:space="preserve"> </w:t>
      </w:r>
    </w:p>
    <w:p w:rsidR="0017753D" w:rsidRPr="00466073" w:rsidRDefault="0017753D" w:rsidP="009D5F8E">
      <w:pPr>
        <w:jc w:val="both"/>
        <w:rPr>
          <w:rFonts w:asciiTheme="minorHAnsi" w:hAnsiTheme="minorHAnsi" w:cstheme="minorHAnsi"/>
          <w:b/>
          <w:u w:val="single"/>
          <w:lang w:val="el-GR"/>
        </w:rPr>
      </w:pPr>
    </w:p>
    <w:p w:rsidR="00D07E1A" w:rsidRPr="00466073" w:rsidRDefault="00D07E1A" w:rsidP="009D5F8E">
      <w:pPr>
        <w:jc w:val="both"/>
        <w:rPr>
          <w:rFonts w:asciiTheme="minorHAnsi" w:hAnsiTheme="minorHAnsi" w:cstheme="minorHAnsi"/>
          <w:b/>
          <w:u w:val="single"/>
          <w:lang w:val="el-GR"/>
        </w:rPr>
      </w:pPr>
      <w:r w:rsidRPr="00466073">
        <w:rPr>
          <w:rFonts w:asciiTheme="minorHAnsi" w:hAnsiTheme="minorHAnsi" w:cstheme="minorHAnsi"/>
          <w:b/>
          <w:u w:val="single"/>
          <w:lang w:val="el-GR"/>
        </w:rPr>
        <w:t>Μικτή Ομάδα Εργασίας -ΜΟΕ</w:t>
      </w:r>
    </w:p>
    <w:p w:rsidR="00552F5B" w:rsidRPr="00466073" w:rsidRDefault="00552F5B" w:rsidP="009D5F8E">
      <w:pPr>
        <w:jc w:val="both"/>
        <w:rPr>
          <w:rFonts w:asciiTheme="minorHAnsi" w:hAnsiTheme="minorHAnsi" w:cstheme="minorHAnsi"/>
          <w:lang w:val="el-GR"/>
        </w:rPr>
      </w:pPr>
      <w:r w:rsidRPr="00466073">
        <w:rPr>
          <w:rFonts w:asciiTheme="minorHAnsi" w:hAnsiTheme="minorHAnsi" w:cstheme="minorHAnsi"/>
          <w:lang w:val="el-GR"/>
        </w:rPr>
        <w:t xml:space="preserve">Το 2007, στο πλαίσιο της επίσημης επίσκεψης του τότε Ούγγρου Πρωθυπουργού, κ.  </w:t>
      </w:r>
      <w:proofErr w:type="spellStart"/>
      <w:proofErr w:type="gramStart"/>
      <w:r w:rsidRPr="00466073">
        <w:rPr>
          <w:rFonts w:asciiTheme="minorHAnsi" w:hAnsiTheme="minorHAnsi" w:cstheme="minorHAnsi"/>
        </w:rPr>
        <w:t>Gyurscany</w:t>
      </w:r>
      <w:proofErr w:type="spellEnd"/>
      <w:r w:rsidRPr="00466073">
        <w:rPr>
          <w:rFonts w:asciiTheme="minorHAnsi" w:hAnsiTheme="minorHAnsi" w:cstheme="minorHAnsi"/>
          <w:lang w:val="el-GR"/>
        </w:rPr>
        <w:t xml:space="preserve">, στην Αθήνα, αποφασίστηκε η σύσταση </w:t>
      </w:r>
      <w:r w:rsidR="002278C0" w:rsidRPr="00466073">
        <w:rPr>
          <w:rFonts w:asciiTheme="minorHAnsi" w:hAnsiTheme="minorHAnsi" w:cstheme="minorHAnsi"/>
          <w:lang w:val="el-GR"/>
        </w:rPr>
        <w:t>Μικτής Ομάδας Εργασίας</w:t>
      </w:r>
      <w:r w:rsidRPr="00466073">
        <w:rPr>
          <w:rFonts w:asciiTheme="minorHAnsi" w:hAnsiTheme="minorHAnsi" w:cstheme="minorHAnsi"/>
          <w:lang w:val="el-GR"/>
        </w:rPr>
        <w:t>, για την προώθηση της διμερούς συνεργασίας στους τομείς: α) των συνδυασμένων μεταφορών, β) του εμπορίου και γ) της ενέργειας.</w:t>
      </w:r>
      <w:proofErr w:type="gramEnd"/>
      <w:r w:rsidRPr="00466073">
        <w:rPr>
          <w:rFonts w:asciiTheme="minorHAnsi" w:hAnsiTheme="minorHAnsi" w:cstheme="minorHAnsi"/>
          <w:lang w:val="el-GR"/>
        </w:rPr>
        <w:t xml:space="preserve"> Υπήρχε πρόβλεψη η ΜΟΕ να συνεδριάζει δύο φορές ετησίως, εναλλάξ στις δύο Πρωτεύουσες. </w:t>
      </w:r>
    </w:p>
    <w:p w:rsidR="00552F5B" w:rsidRPr="00466073" w:rsidRDefault="00552F5B" w:rsidP="009D5F8E">
      <w:pPr>
        <w:jc w:val="both"/>
        <w:rPr>
          <w:rFonts w:asciiTheme="minorHAnsi" w:hAnsiTheme="minorHAnsi" w:cstheme="minorHAnsi"/>
          <w:lang w:val="el-GR"/>
        </w:rPr>
      </w:pPr>
      <w:r w:rsidRPr="00466073">
        <w:rPr>
          <w:rFonts w:asciiTheme="minorHAnsi" w:hAnsiTheme="minorHAnsi" w:cstheme="minorHAnsi"/>
          <w:lang w:val="el-GR"/>
        </w:rPr>
        <w:t>Η 1</w:t>
      </w:r>
      <w:r w:rsidRPr="00466073">
        <w:rPr>
          <w:rFonts w:asciiTheme="minorHAnsi" w:hAnsiTheme="minorHAnsi" w:cstheme="minorHAnsi"/>
          <w:vertAlign w:val="superscript"/>
          <w:lang w:val="el-GR"/>
        </w:rPr>
        <w:t>η</w:t>
      </w:r>
      <w:r w:rsidRPr="00466073">
        <w:rPr>
          <w:rFonts w:asciiTheme="minorHAnsi" w:hAnsiTheme="minorHAnsi" w:cstheme="minorHAnsi"/>
          <w:lang w:val="el-GR"/>
        </w:rPr>
        <w:t xml:space="preserve"> Σύγκληση της ΜΟΕ πραγματοποιήθηκε τον Φεβρουάριο 2008 στην Βουδαπέστη με επικεφαλής από την ελληνική πλευρά τον τότε Υφυπουργό Εξωτερικών, κ. Π. Δούκα και από ουγγρικής τον Υφυπουργό Οικονομίας κ. </w:t>
      </w:r>
      <w:r w:rsidRPr="00466073">
        <w:rPr>
          <w:rFonts w:asciiTheme="minorHAnsi" w:hAnsiTheme="minorHAnsi" w:cstheme="minorHAnsi"/>
        </w:rPr>
        <w:t>A</w:t>
      </w:r>
      <w:r w:rsidRPr="00466073">
        <w:rPr>
          <w:rFonts w:asciiTheme="minorHAnsi" w:hAnsiTheme="minorHAnsi" w:cstheme="minorHAnsi"/>
          <w:lang w:val="el-GR"/>
        </w:rPr>
        <w:t xml:space="preserve">. </w:t>
      </w:r>
      <w:proofErr w:type="spellStart"/>
      <w:r w:rsidRPr="00466073">
        <w:rPr>
          <w:rFonts w:asciiTheme="minorHAnsi" w:hAnsiTheme="minorHAnsi" w:cstheme="minorHAnsi"/>
        </w:rPr>
        <w:t>Garamhegyi</w:t>
      </w:r>
      <w:proofErr w:type="spellEnd"/>
      <w:r w:rsidRPr="00466073">
        <w:rPr>
          <w:rFonts w:asciiTheme="minorHAnsi" w:hAnsiTheme="minorHAnsi" w:cstheme="minorHAnsi"/>
          <w:lang w:val="el-GR"/>
        </w:rPr>
        <w:t xml:space="preserve">. </w:t>
      </w:r>
    </w:p>
    <w:p w:rsidR="00552F5B" w:rsidRPr="00466073" w:rsidRDefault="00552F5B" w:rsidP="009D5F8E">
      <w:pPr>
        <w:jc w:val="both"/>
        <w:rPr>
          <w:rFonts w:asciiTheme="minorHAnsi" w:hAnsiTheme="minorHAnsi" w:cstheme="minorHAnsi"/>
          <w:lang w:val="el-GR"/>
        </w:rPr>
      </w:pPr>
      <w:r w:rsidRPr="00466073">
        <w:rPr>
          <w:rFonts w:asciiTheme="minorHAnsi" w:hAnsiTheme="minorHAnsi" w:cstheme="minorHAnsi"/>
          <w:lang w:val="el-GR"/>
        </w:rPr>
        <w:t>Η 2</w:t>
      </w:r>
      <w:r w:rsidRPr="00466073">
        <w:rPr>
          <w:rFonts w:asciiTheme="minorHAnsi" w:hAnsiTheme="minorHAnsi" w:cstheme="minorHAnsi"/>
          <w:vertAlign w:val="superscript"/>
          <w:lang w:val="el-GR"/>
        </w:rPr>
        <w:t>η</w:t>
      </w:r>
      <w:r w:rsidRPr="00466073">
        <w:rPr>
          <w:rFonts w:asciiTheme="minorHAnsi" w:hAnsiTheme="minorHAnsi" w:cstheme="minorHAnsi"/>
          <w:lang w:val="el-GR"/>
        </w:rPr>
        <w:t xml:space="preserve"> Σύγκληση της ΜΟΕ πραγματοποιήθηκε τον Σεπτέμβριο 2009 στην Αθήνα με επικεφαλής από την ελληνική πλευρά τον τότε Υφυπουργό Εξωτερικών, κ. </w:t>
      </w:r>
      <w:r w:rsidR="005B4CDD" w:rsidRPr="00466073">
        <w:rPr>
          <w:rFonts w:asciiTheme="minorHAnsi" w:hAnsiTheme="minorHAnsi" w:cstheme="minorHAnsi"/>
          <w:lang w:val="el-GR"/>
        </w:rPr>
        <w:t>Μ. Βαρβιτσιώτη</w:t>
      </w:r>
      <w:r w:rsidRPr="00466073">
        <w:rPr>
          <w:rFonts w:asciiTheme="minorHAnsi" w:hAnsiTheme="minorHAnsi" w:cstheme="minorHAnsi"/>
          <w:lang w:val="el-GR"/>
        </w:rPr>
        <w:t xml:space="preserve"> και από ουγγρικής τον Υφυπουργό Οικονομίας κ. </w:t>
      </w:r>
      <w:r w:rsidR="005B4CDD" w:rsidRPr="00466073">
        <w:rPr>
          <w:rFonts w:asciiTheme="minorHAnsi" w:hAnsiTheme="minorHAnsi" w:cstheme="minorHAnsi"/>
        </w:rPr>
        <w:t>Z</w:t>
      </w:r>
      <w:r w:rsidR="005B4CDD" w:rsidRPr="00466073">
        <w:rPr>
          <w:rFonts w:asciiTheme="minorHAnsi" w:hAnsiTheme="minorHAnsi" w:cstheme="minorHAnsi"/>
          <w:lang w:val="el-GR"/>
        </w:rPr>
        <w:t xml:space="preserve">. </w:t>
      </w:r>
      <w:proofErr w:type="spellStart"/>
      <w:r w:rsidR="005B4CDD" w:rsidRPr="00466073">
        <w:rPr>
          <w:rFonts w:asciiTheme="minorHAnsi" w:hAnsiTheme="minorHAnsi" w:cstheme="minorHAnsi"/>
        </w:rPr>
        <w:t>Mester</w:t>
      </w:r>
      <w:proofErr w:type="spellEnd"/>
      <w:r w:rsidR="005B4CDD" w:rsidRPr="00466073">
        <w:rPr>
          <w:rFonts w:asciiTheme="minorHAnsi" w:hAnsiTheme="minorHAnsi" w:cstheme="minorHAnsi"/>
          <w:lang w:val="el-GR"/>
        </w:rPr>
        <w:t>.</w:t>
      </w:r>
    </w:p>
    <w:p w:rsidR="00CF61FE" w:rsidRDefault="005B4CDD" w:rsidP="000C1AC1">
      <w:pPr>
        <w:jc w:val="both"/>
        <w:rPr>
          <w:rFonts w:asciiTheme="minorHAnsi" w:hAnsiTheme="minorHAnsi" w:cstheme="minorHAnsi"/>
          <w:lang w:val="el-GR"/>
        </w:rPr>
      </w:pPr>
      <w:r w:rsidRPr="00466073">
        <w:rPr>
          <w:rFonts w:asciiTheme="minorHAnsi" w:hAnsiTheme="minorHAnsi" w:cstheme="minorHAnsi"/>
          <w:lang w:val="el-GR"/>
        </w:rPr>
        <w:t xml:space="preserve">Η 3η Σύγκληση της ΜΟΕ είχε ορισθεί, αρχικά, να πραγματοποιηθεί τον Φεβρουάριο 2011 στην Βουδαπέστη, όμως λόγω ανάληψης της Προεδρίας της Ε.Ε. από την Ουγγαρία, η ουγγρική πλευρά δήλωσε αδυναμία σωστής και έγκαιρης προετοιμασίας της ΜΟΕ και η Σύγκληση αναβλήθηκε. </w:t>
      </w:r>
      <w:proofErr w:type="spellStart"/>
      <w:r w:rsidRPr="00466073">
        <w:rPr>
          <w:rFonts w:asciiTheme="minorHAnsi" w:hAnsiTheme="minorHAnsi" w:cstheme="minorHAnsi"/>
          <w:lang w:val="el-GR"/>
        </w:rPr>
        <w:t>Αντ</w:t>
      </w:r>
      <w:proofErr w:type="spellEnd"/>
      <w:r w:rsidRPr="00466073">
        <w:rPr>
          <w:rFonts w:asciiTheme="minorHAnsi" w:hAnsiTheme="minorHAnsi" w:cstheme="minorHAnsi"/>
          <w:lang w:val="el-GR"/>
        </w:rPr>
        <w:t>’ αυτής, πραγματοποιήθηκε άτυπου χαρακτήρα συνάντηση του</w:t>
      </w:r>
      <w:r w:rsidR="008234A9" w:rsidRPr="00466073">
        <w:rPr>
          <w:rFonts w:asciiTheme="minorHAnsi" w:hAnsiTheme="minorHAnsi" w:cstheme="minorHAnsi"/>
          <w:lang w:val="el-GR"/>
        </w:rPr>
        <w:t xml:space="preserve"> Έλληνα</w:t>
      </w:r>
      <w:r w:rsidRPr="00466073">
        <w:rPr>
          <w:rFonts w:asciiTheme="minorHAnsi" w:hAnsiTheme="minorHAnsi" w:cstheme="minorHAnsi"/>
          <w:lang w:val="el-GR"/>
        </w:rPr>
        <w:t xml:space="preserve"> Υφυπουργού Εξωτερικών κ. Σπ. </w:t>
      </w:r>
      <w:proofErr w:type="spellStart"/>
      <w:r w:rsidRPr="00466073">
        <w:rPr>
          <w:rFonts w:asciiTheme="minorHAnsi" w:hAnsiTheme="minorHAnsi" w:cstheme="minorHAnsi"/>
          <w:lang w:val="el-GR"/>
        </w:rPr>
        <w:t>Κουβέλη</w:t>
      </w:r>
      <w:proofErr w:type="spellEnd"/>
      <w:r w:rsidRPr="00466073">
        <w:rPr>
          <w:rFonts w:asciiTheme="minorHAnsi" w:hAnsiTheme="minorHAnsi" w:cstheme="minorHAnsi"/>
          <w:lang w:val="el-GR"/>
        </w:rPr>
        <w:t xml:space="preserve"> με τον Ούγγρο Υφυπουργό κ. Z. </w:t>
      </w:r>
      <w:proofErr w:type="spellStart"/>
      <w:r w:rsidRPr="00466073">
        <w:rPr>
          <w:rFonts w:asciiTheme="minorHAnsi" w:hAnsiTheme="minorHAnsi" w:cstheme="minorHAnsi"/>
          <w:lang w:val="el-GR"/>
        </w:rPr>
        <w:t>Becsey</w:t>
      </w:r>
      <w:proofErr w:type="spellEnd"/>
      <w:r w:rsidRPr="00466073">
        <w:rPr>
          <w:rFonts w:asciiTheme="minorHAnsi" w:hAnsiTheme="minorHAnsi" w:cstheme="minorHAnsi"/>
          <w:lang w:val="el-GR"/>
        </w:rPr>
        <w:t xml:space="preserve"> και υπηρεσιακούς παράγοντες</w:t>
      </w:r>
      <w:r w:rsidR="008234A9" w:rsidRPr="00466073">
        <w:rPr>
          <w:rFonts w:asciiTheme="minorHAnsi" w:hAnsiTheme="minorHAnsi" w:cstheme="minorHAnsi"/>
          <w:lang w:val="el-GR"/>
        </w:rPr>
        <w:t xml:space="preserve"> (Βουδαπέστη, 17.2.2011). Στη συνάντηση αυτή συζητήθηκαν θέματα προώθησης των επενδύσεων, του τουρισμού και της τεχνολογικής συνεργασίας, ενώ συμφωνήθηκε η 3η Σύνοδος της Μικτής Ομάδας Εργασίας να πραγματοποιηθεί το φθινόπωρο του 2011 στη Βουδαπέστη. Όμως, εξαιτίας της αντικατάστασης των δύο Υφυπουργών δεν καθορίστηκε ακριβής ημερομηνία για την 3</w:t>
      </w:r>
      <w:r w:rsidR="008234A9" w:rsidRPr="00466073">
        <w:rPr>
          <w:rFonts w:asciiTheme="minorHAnsi" w:hAnsiTheme="minorHAnsi" w:cstheme="minorHAnsi"/>
          <w:vertAlign w:val="superscript"/>
          <w:lang w:val="el-GR"/>
        </w:rPr>
        <w:t>η</w:t>
      </w:r>
      <w:r w:rsidR="008234A9" w:rsidRPr="00466073">
        <w:rPr>
          <w:rFonts w:asciiTheme="minorHAnsi" w:hAnsiTheme="minorHAnsi" w:cstheme="minorHAnsi"/>
          <w:lang w:val="el-GR"/>
        </w:rPr>
        <w:t xml:space="preserve"> Σύγκληση της ΜΟΕ</w:t>
      </w:r>
      <w:r w:rsidR="00EB7149" w:rsidRPr="00466073">
        <w:rPr>
          <w:rFonts w:asciiTheme="minorHAnsi" w:hAnsiTheme="minorHAnsi" w:cstheme="minorHAnsi"/>
          <w:lang w:val="el-GR"/>
        </w:rPr>
        <w:t xml:space="preserve">. </w:t>
      </w:r>
      <w:r w:rsidR="000C1AC1" w:rsidRPr="00466073">
        <w:rPr>
          <w:rFonts w:asciiTheme="minorHAnsi" w:hAnsiTheme="minorHAnsi" w:cstheme="minorHAnsi"/>
          <w:lang w:val="el-GR"/>
        </w:rPr>
        <w:t>Στη συνέχεια, οι  εκλογικές αναμετρήσεις στην Ελλάδα (Μάιος και Ιούνιος 2012), οι οικονομικές εξελίξεις</w:t>
      </w:r>
      <w:r w:rsidR="005B65BD" w:rsidRPr="00466073">
        <w:rPr>
          <w:rFonts w:asciiTheme="minorHAnsi" w:hAnsiTheme="minorHAnsi" w:cstheme="minorHAnsi"/>
          <w:lang w:val="el-GR"/>
        </w:rPr>
        <w:t xml:space="preserve"> διεθνώς</w:t>
      </w:r>
      <w:r w:rsidR="000C1AC1" w:rsidRPr="00466073">
        <w:rPr>
          <w:rFonts w:asciiTheme="minorHAnsi" w:hAnsiTheme="minorHAnsi" w:cstheme="minorHAnsi"/>
          <w:lang w:val="el-GR"/>
        </w:rPr>
        <w:t>,</w:t>
      </w:r>
      <w:r w:rsidR="005B65BD" w:rsidRPr="00466073">
        <w:rPr>
          <w:rFonts w:asciiTheme="minorHAnsi" w:hAnsiTheme="minorHAnsi" w:cstheme="minorHAnsi"/>
          <w:lang w:val="el-GR"/>
        </w:rPr>
        <w:t xml:space="preserve"> καθώς και λοιπά θέματα διεθνούς επικαιρότητας (μεταναστευτικό, μέλλον Ε.Ε., κλπ), έθεσαν εκτός προτεραιότητας τη </w:t>
      </w:r>
      <w:r w:rsidR="000C1AC1" w:rsidRPr="00466073">
        <w:rPr>
          <w:rFonts w:asciiTheme="minorHAnsi" w:hAnsiTheme="minorHAnsi" w:cstheme="minorHAnsi"/>
          <w:lang w:val="el-GR"/>
        </w:rPr>
        <w:t>σύγκληση της 3η</w:t>
      </w:r>
      <w:r w:rsidR="005B65BD" w:rsidRPr="00466073">
        <w:rPr>
          <w:rFonts w:asciiTheme="minorHAnsi" w:hAnsiTheme="minorHAnsi" w:cstheme="minorHAnsi"/>
          <w:lang w:val="el-GR"/>
        </w:rPr>
        <w:t>ς ΜΟΕ Ελλάδος-Ουγγαρίας.</w:t>
      </w:r>
    </w:p>
    <w:p w:rsidR="000C1AC1" w:rsidRPr="00466073" w:rsidRDefault="005B65BD" w:rsidP="000C1AC1">
      <w:pPr>
        <w:jc w:val="both"/>
        <w:rPr>
          <w:rFonts w:asciiTheme="minorHAnsi" w:hAnsiTheme="minorHAnsi" w:cstheme="minorHAnsi"/>
          <w:lang w:val="el-GR"/>
        </w:rPr>
      </w:pPr>
      <w:r w:rsidRPr="00466073">
        <w:rPr>
          <w:rFonts w:asciiTheme="minorHAnsi" w:hAnsiTheme="minorHAnsi" w:cstheme="minorHAnsi"/>
          <w:lang w:val="el-GR"/>
        </w:rPr>
        <w:t xml:space="preserve"> Ακολούθως, από πλευράς Ουγγαρίας, οι υπηρεσίες και αρμοδιότητες του εξωτερικού εμπορίου μεταφέρθηκαν από του Υπουργείο Οικονομίας στο Υπουργείο Εξωτερικών</w:t>
      </w:r>
      <w:r w:rsidR="00654B5C" w:rsidRPr="00466073">
        <w:rPr>
          <w:rFonts w:asciiTheme="minorHAnsi" w:hAnsiTheme="minorHAnsi" w:cstheme="minorHAnsi"/>
          <w:lang w:val="el-GR"/>
        </w:rPr>
        <w:t xml:space="preserve"> (το οποίο μετονομάστηκε σε Υπουργείο Εξωτερικών και Εμπορίου), με συνέπεια να αλλάξει η πολιτική προσέγγισης των </w:t>
      </w:r>
      <w:r w:rsidR="00654B5C" w:rsidRPr="00466073">
        <w:rPr>
          <w:rFonts w:asciiTheme="minorHAnsi" w:hAnsiTheme="minorHAnsi" w:cstheme="minorHAnsi"/>
          <w:lang w:val="el-GR"/>
        </w:rPr>
        <w:lastRenderedPageBreak/>
        <w:t xml:space="preserve">διμερών οικονομικών θεμάτων. Σύμφωνα με την Ουγγρική πλευρά, το Υπουργείο Εξωτερικών &amp; Εμπορίου, αφενός δεν είχε ενημερωθεί από το Υπουργείο Οικονομίας για το ιστορικό της ΜΟΕ Ελλάδος-Ουγγαρίας και αφετέρου δεν είχε τις δομές αλλά ούτε και υποστήριζε </w:t>
      </w:r>
      <w:r w:rsidR="005B691E" w:rsidRPr="00466073">
        <w:rPr>
          <w:rFonts w:asciiTheme="minorHAnsi" w:hAnsiTheme="minorHAnsi" w:cstheme="minorHAnsi"/>
          <w:lang w:val="el-GR"/>
        </w:rPr>
        <w:t xml:space="preserve">τη συγκεκριμένη </w:t>
      </w:r>
      <w:r w:rsidR="00654B5C" w:rsidRPr="00466073">
        <w:rPr>
          <w:rFonts w:asciiTheme="minorHAnsi" w:hAnsiTheme="minorHAnsi" w:cstheme="minorHAnsi"/>
          <w:lang w:val="el-GR"/>
        </w:rPr>
        <w:t>μορφ</w:t>
      </w:r>
      <w:r w:rsidR="005B691E" w:rsidRPr="00466073">
        <w:rPr>
          <w:rFonts w:asciiTheme="minorHAnsi" w:hAnsiTheme="minorHAnsi" w:cstheme="minorHAnsi"/>
          <w:lang w:val="el-GR"/>
        </w:rPr>
        <w:t>ή</w:t>
      </w:r>
      <w:r w:rsidR="00654B5C" w:rsidRPr="00466073">
        <w:rPr>
          <w:rFonts w:asciiTheme="minorHAnsi" w:hAnsiTheme="minorHAnsi" w:cstheme="minorHAnsi"/>
          <w:lang w:val="el-GR"/>
        </w:rPr>
        <w:t xml:space="preserve"> </w:t>
      </w:r>
      <w:r w:rsidR="005B691E" w:rsidRPr="00466073">
        <w:rPr>
          <w:rFonts w:asciiTheme="minorHAnsi" w:hAnsiTheme="minorHAnsi" w:cstheme="minorHAnsi"/>
          <w:lang w:val="el-GR"/>
        </w:rPr>
        <w:t xml:space="preserve">διακρατικής </w:t>
      </w:r>
      <w:r w:rsidR="00654B5C" w:rsidRPr="00466073">
        <w:rPr>
          <w:rFonts w:asciiTheme="minorHAnsi" w:hAnsiTheme="minorHAnsi" w:cstheme="minorHAnsi"/>
          <w:lang w:val="el-GR"/>
        </w:rPr>
        <w:t>συνεργασίας</w:t>
      </w:r>
      <w:r w:rsidR="005B691E" w:rsidRPr="00466073">
        <w:rPr>
          <w:rFonts w:asciiTheme="minorHAnsi" w:hAnsiTheme="minorHAnsi" w:cstheme="minorHAnsi"/>
          <w:lang w:val="el-GR"/>
        </w:rPr>
        <w:t>. Η Ελληνική Πρεσβεία στην Βουδαπέστη με το Γραφείο Οικονομικώ</w:t>
      </w:r>
      <w:r w:rsidR="00B94E53" w:rsidRPr="00466073">
        <w:rPr>
          <w:rFonts w:asciiTheme="minorHAnsi" w:hAnsiTheme="minorHAnsi" w:cstheme="minorHAnsi"/>
          <w:lang w:val="el-GR"/>
        </w:rPr>
        <w:t xml:space="preserve">ν και Εμπορικών Υποθέσεων διερεύνησαν </w:t>
      </w:r>
      <w:r w:rsidR="005B691E" w:rsidRPr="00466073">
        <w:rPr>
          <w:rFonts w:asciiTheme="minorHAnsi" w:hAnsiTheme="minorHAnsi" w:cstheme="minorHAnsi"/>
          <w:lang w:val="el-GR"/>
        </w:rPr>
        <w:t>εναλλακτικούς τρόπους συνεργασίας, όμως, πηγές του Υπουργείου Εξωτερικών &amp; Εμπορίου της Ουγγαρίας</w:t>
      </w:r>
      <w:r w:rsidR="00B94E53" w:rsidRPr="00466073">
        <w:rPr>
          <w:rFonts w:asciiTheme="minorHAnsi" w:hAnsiTheme="minorHAnsi" w:cstheme="minorHAnsi"/>
          <w:lang w:val="el-GR"/>
        </w:rPr>
        <w:t xml:space="preserve">, ενημέρωσαν </w:t>
      </w:r>
      <w:r w:rsidR="005B691E" w:rsidRPr="00466073">
        <w:rPr>
          <w:rFonts w:asciiTheme="minorHAnsi" w:hAnsiTheme="minorHAnsi" w:cstheme="minorHAnsi"/>
          <w:lang w:val="el-GR"/>
        </w:rPr>
        <w:t xml:space="preserve">ότι επί του παρόντος, η προοπτική αυτή δεν </w:t>
      </w:r>
      <w:r w:rsidR="00DF5EC4" w:rsidRPr="00466073">
        <w:rPr>
          <w:rFonts w:asciiTheme="minorHAnsi" w:hAnsiTheme="minorHAnsi" w:cstheme="minorHAnsi"/>
          <w:lang w:val="el-GR"/>
        </w:rPr>
        <w:t xml:space="preserve">φαίνεται να </w:t>
      </w:r>
      <w:r w:rsidR="005B691E" w:rsidRPr="00466073">
        <w:rPr>
          <w:rFonts w:asciiTheme="minorHAnsi" w:hAnsiTheme="minorHAnsi" w:cstheme="minorHAnsi"/>
          <w:lang w:val="el-GR"/>
        </w:rPr>
        <w:t>αποτελεί προτεραιότητα για την Ουγγαρία.</w:t>
      </w:r>
    </w:p>
    <w:p w:rsidR="002E7491" w:rsidRDefault="002E7491" w:rsidP="00D07E1A">
      <w:pPr>
        <w:jc w:val="both"/>
        <w:rPr>
          <w:rFonts w:asciiTheme="minorHAnsi" w:hAnsiTheme="minorHAnsi" w:cstheme="minorHAnsi"/>
          <w:b/>
          <w:u w:val="single"/>
          <w:lang w:val="el-GR"/>
        </w:rPr>
      </w:pPr>
    </w:p>
    <w:p w:rsidR="00D07E1A" w:rsidRPr="00466073" w:rsidRDefault="00D07E1A" w:rsidP="00D07E1A">
      <w:pPr>
        <w:jc w:val="both"/>
        <w:rPr>
          <w:rFonts w:asciiTheme="minorHAnsi" w:hAnsiTheme="minorHAnsi" w:cstheme="minorHAnsi"/>
          <w:b/>
          <w:u w:val="single"/>
          <w:lang w:val="el-GR"/>
        </w:rPr>
      </w:pPr>
      <w:r w:rsidRPr="00466073">
        <w:rPr>
          <w:rFonts w:asciiTheme="minorHAnsi" w:hAnsiTheme="minorHAnsi" w:cstheme="minorHAnsi"/>
          <w:b/>
          <w:u w:val="single"/>
          <w:lang w:val="el-GR"/>
        </w:rPr>
        <w:t>Συμμετοχή στην ΔΕΘ</w:t>
      </w:r>
    </w:p>
    <w:p w:rsidR="001350FA" w:rsidRPr="00466073" w:rsidRDefault="001350FA" w:rsidP="00D07E1A">
      <w:pPr>
        <w:widowControl w:val="0"/>
        <w:overflowPunct w:val="0"/>
        <w:autoSpaceDE w:val="0"/>
        <w:autoSpaceDN w:val="0"/>
        <w:adjustRightInd w:val="0"/>
        <w:jc w:val="both"/>
        <w:rPr>
          <w:rFonts w:asciiTheme="minorHAnsi" w:hAnsiTheme="minorHAnsi" w:cstheme="minorHAnsi"/>
          <w:lang w:val="el-GR"/>
        </w:rPr>
      </w:pPr>
      <w:r w:rsidRPr="00466073">
        <w:rPr>
          <w:rFonts w:asciiTheme="minorHAnsi" w:hAnsiTheme="minorHAnsi" w:cstheme="minorHAnsi"/>
          <w:lang w:val="el-GR"/>
        </w:rPr>
        <w:t>Τον Σεπτέμβριο του 2010 η Ουγγαρία ήταν η τιμώμενη χώρα στη 75</w:t>
      </w:r>
      <w:r w:rsidRPr="00466073">
        <w:rPr>
          <w:rFonts w:asciiTheme="minorHAnsi" w:hAnsiTheme="minorHAnsi" w:cstheme="minorHAnsi"/>
          <w:vertAlign w:val="superscript"/>
          <w:lang w:val="el-GR"/>
        </w:rPr>
        <w:t>η</w:t>
      </w:r>
      <w:r w:rsidRPr="00466073">
        <w:rPr>
          <w:rFonts w:asciiTheme="minorHAnsi" w:hAnsiTheme="minorHAnsi" w:cstheme="minorHAnsi"/>
          <w:lang w:val="el-GR"/>
        </w:rPr>
        <w:t xml:space="preserve"> Διεθνή Έκθεση Θεσσαλονίκης-ΔΕΘ. Ο Ούγγρος Υφυπουργός Εθνικής Οικονομίας, αρμόδιος για διεθνείς οικονομικές σχέσεις, κ. </w:t>
      </w:r>
      <w:proofErr w:type="spellStart"/>
      <w:r w:rsidRPr="00466073">
        <w:rPr>
          <w:rFonts w:asciiTheme="minorHAnsi" w:hAnsiTheme="minorHAnsi" w:cstheme="minorHAnsi"/>
          <w:lang w:val="el-GR"/>
        </w:rPr>
        <w:t>Zsolt</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Becsey</w:t>
      </w:r>
      <w:proofErr w:type="spellEnd"/>
      <w:r w:rsidRPr="00466073">
        <w:rPr>
          <w:rFonts w:asciiTheme="minorHAnsi" w:hAnsiTheme="minorHAnsi" w:cstheme="minorHAnsi"/>
          <w:lang w:val="el-GR"/>
        </w:rPr>
        <w:t xml:space="preserve"> επικεφαλής επιχειρηματικής αντιπροσωπείας, αποτελούμενη από 17 επιχειρήσεις και φορείς, παρευρέθηκε στη ΔΕΘ, όπου συναντήθηκε με τον Υφυπουργό Εξωτερικών κ. Σπ. </w:t>
      </w:r>
      <w:proofErr w:type="spellStart"/>
      <w:r w:rsidRPr="00466073">
        <w:rPr>
          <w:rFonts w:asciiTheme="minorHAnsi" w:hAnsiTheme="minorHAnsi" w:cstheme="minorHAnsi"/>
          <w:lang w:val="el-GR"/>
        </w:rPr>
        <w:t>Κουβέλη</w:t>
      </w:r>
      <w:proofErr w:type="spellEnd"/>
      <w:r w:rsidRPr="00466073">
        <w:rPr>
          <w:rFonts w:asciiTheme="minorHAnsi" w:hAnsiTheme="minorHAnsi" w:cstheme="minorHAnsi"/>
          <w:lang w:val="el-GR"/>
        </w:rPr>
        <w:t xml:space="preserve">. </w:t>
      </w:r>
    </w:p>
    <w:p w:rsidR="00546CB3" w:rsidRPr="00466073" w:rsidRDefault="00546CB3" w:rsidP="00D07E1A">
      <w:pPr>
        <w:jc w:val="both"/>
        <w:rPr>
          <w:rFonts w:asciiTheme="minorHAnsi" w:hAnsiTheme="minorHAnsi" w:cstheme="minorHAnsi"/>
          <w:b/>
          <w:u w:val="single"/>
          <w:lang w:val="el-GR"/>
        </w:rPr>
      </w:pPr>
    </w:p>
    <w:p w:rsidR="00542953" w:rsidRPr="00466073" w:rsidRDefault="00542953" w:rsidP="00D07E1A">
      <w:pPr>
        <w:jc w:val="both"/>
        <w:rPr>
          <w:rFonts w:asciiTheme="minorHAnsi" w:hAnsiTheme="minorHAnsi" w:cstheme="minorHAnsi"/>
          <w:b/>
          <w:u w:val="single"/>
          <w:lang w:val="el-GR"/>
        </w:rPr>
      </w:pPr>
      <w:r w:rsidRPr="00466073">
        <w:rPr>
          <w:rFonts w:asciiTheme="minorHAnsi" w:hAnsiTheme="minorHAnsi" w:cstheme="minorHAnsi"/>
          <w:b/>
          <w:u w:val="single"/>
          <w:lang w:val="el-GR"/>
        </w:rPr>
        <w:t>Καινοτόμες Συστάδες επιχειρήσεων</w:t>
      </w:r>
      <w:r w:rsidR="00D07E1A" w:rsidRPr="00466073">
        <w:rPr>
          <w:rFonts w:asciiTheme="minorHAnsi" w:hAnsiTheme="minorHAnsi" w:cstheme="minorHAnsi"/>
          <w:b/>
          <w:u w:val="single"/>
          <w:lang w:val="el-GR"/>
        </w:rPr>
        <w:t xml:space="preserve"> -</w:t>
      </w:r>
      <w:proofErr w:type="spellStart"/>
      <w:r w:rsidR="00D07E1A" w:rsidRPr="00466073">
        <w:rPr>
          <w:rFonts w:asciiTheme="minorHAnsi" w:hAnsiTheme="minorHAnsi" w:cstheme="minorHAnsi"/>
          <w:b/>
          <w:u w:val="single"/>
          <w:lang w:val="el-GR"/>
        </w:rPr>
        <w:t>Clusters</w:t>
      </w:r>
      <w:proofErr w:type="spellEnd"/>
    </w:p>
    <w:p w:rsidR="00542953" w:rsidRPr="00466073" w:rsidRDefault="00542953" w:rsidP="00542953">
      <w:pPr>
        <w:widowControl w:val="0"/>
        <w:autoSpaceDE w:val="0"/>
        <w:autoSpaceDN w:val="0"/>
        <w:adjustRightInd w:val="0"/>
        <w:spacing w:line="58" w:lineRule="exact"/>
        <w:rPr>
          <w:rFonts w:asciiTheme="minorHAnsi" w:hAnsiTheme="minorHAnsi" w:cstheme="minorHAnsi"/>
          <w:lang w:val="el-GR"/>
        </w:rPr>
      </w:pPr>
    </w:p>
    <w:p w:rsidR="00542953" w:rsidRPr="00466073" w:rsidRDefault="00542953" w:rsidP="00D07E1A">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Έχει υπογραφεί Μνημόνιο Συνεργασίας μεταξύ της Ελληνικής Πρωτοβουλίας Τεχνολογικών Συνεργατικών Σχηματισμών «</w:t>
      </w:r>
      <w:proofErr w:type="spellStart"/>
      <w:r w:rsidRPr="00466073">
        <w:rPr>
          <w:rFonts w:asciiTheme="minorHAnsi" w:hAnsiTheme="minorHAnsi" w:cstheme="minorHAnsi"/>
          <w:lang w:val="el-GR"/>
        </w:rPr>
        <w:t>Corallia</w:t>
      </w:r>
      <w:proofErr w:type="spellEnd"/>
      <w:r w:rsidRPr="00466073">
        <w:rPr>
          <w:rFonts w:asciiTheme="minorHAnsi" w:hAnsiTheme="minorHAnsi" w:cstheme="minorHAnsi"/>
          <w:lang w:val="el-GR"/>
        </w:rPr>
        <w:t xml:space="preserve">» και της ουγγρικής </w:t>
      </w:r>
      <w:r w:rsidR="00D07E1A" w:rsidRPr="00466073">
        <w:rPr>
          <w:rFonts w:asciiTheme="minorHAnsi" w:hAnsiTheme="minorHAnsi" w:cstheme="minorHAnsi"/>
          <w:lang w:val="el-GR"/>
        </w:rPr>
        <w:t>Α</w:t>
      </w:r>
      <w:r w:rsidRPr="00466073">
        <w:rPr>
          <w:rFonts w:asciiTheme="minorHAnsi" w:hAnsiTheme="minorHAnsi" w:cstheme="minorHAnsi"/>
          <w:lang w:val="el-GR"/>
        </w:rPr>
        <w:t xml:space="preserve">ρχής </w:t>
      </w:r>
      <w:r w:rsidR="00D07E1A" w:rsidRPr="00466073">
        <w:rPr>
          <w:rFonts w:asciiTheme="minorHAnsi" w:hAnsiTheme="minorHAnsi" w:cstheme="minorHAnsi"/>
          <w:lang w:val="el-GR"/>
        </w:rPr>
        <w:t>Π</w:t>
      </w:r>
      <w:r w:rsidRPr="00466073">
        <w:rPr>
          <w:rFonts w:asciiTheme="minorHAnsi" w:hAnsiTheme="minorHAnsi" w:cstheme="minorHAnsi"/>
          <w:lang w:val="el-GR"/>
        </w:rPr>
        <w:t xml:space="preserve">ροώθησης Συνεργατικών Σχηματισμών </w:t>
      </w:r>
      <w:r w:rsidR="00D07E1A" w:rsidRPr="00466073">
        <w:rPr>
          <w:rFonts w:asciiTheme="minorHAnsi" w:hAnsiTheme="minorHAnsi" w:cstheme="minorHAnsi"/>
          <w:lang w:val="el-GR"/>
        </w:rPr>
        <w:t>(</w:t>
      </w:r>
      <w:r w:rsidR="00931D38" w:rsidRPr="00466073">
        <w:rPr>
          <w:rFonts w:asciiTheme="minorHAnsi" w:hAnsiTheme="minorHAnsi" w:cstheme="minorHAnsi"/>
          <w:lang w:val="el-GR"/>
        </w:rPr>
        <w:t>«</w:t>
      </w:r>
      <w:proofErr w:type="spellStart"/>
      <w:r w:rsidRPr="00466073">
        <w:rPr>
          <w:rFonts w:asciiTheme="minorHAnsi" w:hAnsiTheme="minorHAnsi" w:cstheme="minorHAnsi"/>
          <w:lang w:val="el-GR"/>
        </w:rPr>
        <w:t>Hungarian</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Pole</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Programme</w:t>
      </w:r>
      <w:proofErr w:type="spellEnd"/>
      <w:r w:rsidRPr="00466073">
        <w:rPr>
          <w:rFonts w:asciiTheme="minorHAnsi" w:hAnsiTheme="minorHAnsi" w:cstheme="minorHAnsi"/>
          <w:lang w:val="el-GR"/>
        </w:rPr>
        <w:t xml:space="preserve"> Office»</w:t>
      </w:r>
      <w:r w:rsidR="00D07E1A" w:rsidRPr="00466073">
        <w:rPr>
          <w:rFonts w:asciiTheme="minorHAnsi" w:hAnsiTheme="minorHAnsi" w:cstheme="minorHAnsi"/>
          <w:lang w:val="el-GR"/>
        </w:rPr>
        <w:t>)</w:t>
      </w:r>
      <w:r w:rsidRPr="00466073">
        <w:rPr>
          <w:rFonts w:asciiTheme="minorHAnsi" w:hAnsiTheme="minorHAnsi" w:cstheme="minorHAnsi"/>
          <w:lang w:val="el-GR"/>
        </w:rPr>
        <w:t xml:space="preserve">. Πρόκειται για κοινή πρωτοβουλία </w:t>
      </w:r>
      <w:r w:rsidR="00D07E1A" w:rsidRPr="00466073">
        <w:rPr>
          <w:rFonts w:asciiTheme="minorHAnsi" w:hAnsiTheme="minorHAnsi" w:cstheme="minorHAnsi"/>
          <w:lang w:val="el-GR"/>
        </w:rPr>
        <w:t xml:space="preserve">των δύο φορέων, </w:t>
      </w:r>
      <w:r w:rsidRPr="00466073">
        <w:rPr>
          <w:rFonts w:asciiTheme="minorHAnsi" w:hAnsiTheme="minorHAnsi" w:cstheme="minorHAnsi"/>
          <w:lang w:val="el-GR"/>
        </w:rPr>
        <w:t xml:space="preserve">στρατηγικής σημασίας, που αποσκοπεί στην ανταλλαγή τεχνογνωσίας </w:t>
      </w:r>
      <w:r w:rsidR="00D07E1A" w:rsidRPr="00466073">
        <w:rPr>
          <w:rFonts w:asciiTheme="minorHAnsi" w:hAnsiTheme="minorHAnsi" w:cstheme="minorHAnsi"/>
          <w:lang w:val="el-GR"/>
        </w:rPr>
        <w:t xml:space="preserve">για την </w:t>
      </w:r>
      <w:r w:rsidRPr="00466073">
        <w:rPr>
          <w:rFonts w:asciiTheme="minorHAnsi" w:hAnsiTheme="minorHAnsi" w:cstheme="minorHAnsi"/>
          <w:lang w:val="el-GR"/>
        </w:rPr>
        <w:t>βελτιστοποίηση</w:t>
      </w:r>
      <w:r w:rsidR="00D07E1A" w:rsidRPr="00466073">
        <w:rPr>
          <w:rFonts w:asciiTheme="minorHAnsi" w:hAnsiTheme="minorHAnsi" w:cstheme="minorHAnsi"/>
          <w:lang w:val="el-GR"/>
        </w:rPr>
        <w:t xml:space="preserve"> των δομών </w:t>
      </w:r>
      <w:r w:rsidRPr="00466073">
        <w:rPr>
          <w:rFonts w:asciiTheme="minorHAnsi" w:hAnsiTheme="minorHAnsi" w:cstheme="minorHAnsi"/>
          <w:lang w:val="el-GR"/>
        </w:rPr>
        <w:t xml:space="preserve">και λειτουργίας </w:t>
      </w:r>
      <w:r w:rsidR="00D07E1A" w:rsidRPr="00466073">
        <w:rPr>
          <w:rFonts w:asciiTheme="minorHAnsi" w:hAnsiTheme="minorHAnsi" w:cstheme="minorHAnsi"/>
          <w:lang w:val="el-GR"/>
        </w:rPr>
        <w:t xml:space="preserve">των συνεργατικών σχηματισμών </w:t>
      </w:r>
      <w:r w:rsidRPr="00466073">
        <w:rPr>
          <w:rFonts w:asciiTheme="minorHAnsi" w:hAnsiTheme="minorHAnsi" w:cstheme="minorHAnsi"/>
          <w:lang w:val="el-GR"/>
        </w:rPr>
        <w:t>(</w:t>
      </w:r>
      <w:proofErr w:type="spellStart"/>
      <w:r w:rsidR="00D07E1A" w:rsidRPr="00466073">
        <w:rPr>
          <w:rFonts w:asciiTheme="minorHAnsi" w:hAnsiTheme="minorHAnsi" w:cstheme="minorHAnsi"/>
          <w:lang w:val="el-GR"/>
        </w:rPr>
        <w:t>clusters</w:t>
      </w:r>
      <w:proofErr w:type="spellEnd"/>
      <w:r w:rsidRPr="00466073">
        <w:rPr>
          <w:rFonts w:asciiTheme="minorHAnsi" w:hAnsiTheme="minorHAnsi" w:cstheme="minorHAnsi"/>
          <w:lang w:val="el-GR"/>
        </w:rPr>
        <w:t xml:space="preserve">) </w:t>
      </w:r>
      <w:r w:rsidR="00D07E1A" w:rsidRPr="00466073">
        <w:rPr>
          <w:rFonts w:asciiTheme="minorHAnsi" w:hAnsiTheme="minorHAnsi" w:cstheme="minorHAnsi"/>
          <w:lang w:val="el-GR"/>
        </w:rPr>
        <w:t xml:space="preserve">στα πρότυπα ενός </w:t>
      </w:r>
      <w:r w:rsidRPr="00466073">
        <w:rPr>
          <w:rFonts w:asciiTheme="minorHAnsi" w:hAnsiTheme="minorHAnsi" w:cstheme="minorHAnsi"/>
          <w:lang w:val="el-GR"/>
        </w:rPr>
        <w:t>μοντέλο</w:t>
      </w:r>
      <w:r w:rsidR="00D07E1A" w:rsidRPr="00466073">
        <w:rPr>
          <w:rFonts w:asciiTheme="minorHAnsi" w:hAnsiTheme="minorHAnsi" w:cstheme="minorHAnsi"/>
          <w:lang w:val="el-GR"/>
        </w:rPr>
        <w:t>υ</w:t>
      </w:r>
      <w:r w:rsidRPr="00466073">
        <w:rPr>
          <w:rFonts w:asciiTheme="minorHAnsi" w:hAnsiTheme="minorHAnsi" w:cstheme="minorHAnsi"/>
          <w:lang w:val="el-GR"/>
        </w:rPr>
        <w:t xml:space="preserve"> </w:t>
      </w:r>
      <w:r w:rsidR="00D07E1A" w:rsidRPr="00466073">
        <w:rPr>
          <w:rFonts w:asciiTheme="minorHAnsi" w:hAnsiTheme="minorHAnsi" w:cstheme="minorHAnsi"/>
          <w:lang w:val="el-GR"/>
        </w:rPr>
        <w:t>«</w:t>
      </w:r>
      <w:proofErr w:type="spellStart"/>
      <w:r w:rsidRPr="00466073">
        <w:rPr>
          <w:rFonts w:asciiTheme="minorHAnsi" w:hAnsiTheme="minorHAnsi" w:cstheme="minorHAnsi"/>
          <w:lang w:val="el-GR"/>
        </w:rPr>
        <w:t>World</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Class</w:t>
      </w:r>
      <w:proofErr w:type="spellEnd"/>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Clusters</w:t>
      </w:r>
      <w:proofErr w:type="spellEnd"/>
      <w:r w:rsidR="00D07E1A" w:rsidRPr="00466073">
        <w:rPr>
          <w:rFonts w:asciiTheme="minorHAnsi" w:hAnsiTheme="minorHAnsi" w:cstheme="minorHAnsi"/>
          <w:lang w:val="el-GR"/>
        </w:rPr>
        <w:t xml:space="preserve">». Παράλληλα, η πρωτοβουλία αποσκοπεί και </w:t>
      </w:r>
      <w:r w:rsidRPr="00466073">
        <w:rPr>
          <w:rFonts w:asciiTheme="minorHAnsi" w:hAnsiTheme="minorHAnsi" w:cstheme="minorHAnsi"/>
          <w:lang w:val="el-GR"/>
        </w:rPr>
        <w:t>στην προώθηση πολιτικών για την ανάδειξη του εργαλείου των συνεργατικών σχηματισμών σε ευρωπαϊκό επίπεδο.</w:t>
      </w:r>
    </w:p>
    <w:p w:rsidR="00931D38" w:rsidRPr="00466073" w:rsidRDefault="00931D38" w:rsidP="00D07E1A">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Το Πρόγραμμα «</w:t>
      </w:r>
      <w:r w:rsidRPr="00466073">
        <w:rPr>
          <w:rFonts w:asciiTheme="minorHAnsi" w:hAnsiTheme="minorHAnsi" w:cstheme="minorHAnsi"/>
        </w:rPr>
        <w:t>Hungarian</w:t>
      </w:r>
      <w:r w:rsidRPr="00466073">
        <w:rPr>
          <w:rFonts w:asciiTheme="minorHAnsi" w:hAnsiTheme="minorHAnsi" w:cstheme="minorHAnsi"/>
          <w:lang w:val="el-GR"/>
        </w:rPr>
        <w:t xml:space="preserve"> </w:t>
      </w:r>
      <w:r w:rsidRPr="00466073">
        <w:rPr>
          <w:rFonts w:asciiTheme="minorHAnsi" w:hAnsiTheme="minorHAnsi" w:cstheme="minorHAnsi"/>
        </w:rPr>
        <w:t>Pole</w:t>
      </w:r>
      <w:r w:rsidRPr="00466073">
        <w:rPr>
          <w:rFonts w:asciiTheme="minorHAnsi" w:hAnsiTheme="minorHAnsi" w:cstheme="minorHAnsi"/>
          <w:lang w:val="el-GR"/>
        </w:rPr>
        <w:t xml:space="preserve"> </w:t>
      </w:r>
      <w:proofErr w:type="spellStart"/>
      <w:r w:rsidRPr="00466073">
        <w:rPr>
          <w:rFonts w:asciiTheme="minorHAnsi" w:hAnsiTheme="minorHAnsi" w:cstheme="minorHAnsi"/>
        </w:rPr>
        <w:t>Programme</w:t>
      </w:r>
      <w:proofErr w:type="spellEnd"/>
      <w:r w:rsidRPr="00466073">
        <w:rPr>
          <w:rFonts w:asciiTheme="minorHAnsi" w:hAnsiTheme="minorHAnsi" w:cstheme="minorHAnsi"/>
          <w:lang w:val="el-GR"/>
        </w:rPr>
        <w:t>» (2008-2010), υλοποιήθηκε στο πλαίσιο του Πολυετούς Δημοσιονομικού Πλαισίου 2007-2013 της Ε.Ε., με σκοπό την ανάπτυξη των επιχειρηματικών συστάδων και τη βελτίωση του επιχειρηματικού περιβάλλοντος. Τον Απρίλιο 2011 το πρόγραμμα «</w:t>
      </w:r>
      <w:r w:rsidRPr="00466073">
        <w:rPr>
          <w:rFonts w:asciiTheme="minorHAnsi" w:hAnsiTheme="minorHAnsi" w:cstheme="minorHAnsi"/>
        </w:rPr>
        <w:t>Hungarian</w:t>
      </w:r>
      <w:r w:rsidRPr="00466073">
        <w:rPr>
          <w:rFonts w:asciiTheme="minorHAnsi" w:hAnsiTheme="minorHAnsi" w:cstheme="minorHAnsi"/>
          <w:lang w:val="el-GR"/>
        </w:rPr>
        <w:t xml:space="preserve"> </w:t>
      </w:r>
      <w:r w:rsidRPr="00466073">
        <w:rPr>
          <w:rFonts w:asciiTheme="minorHAnsi" w:hAnsiTheme="minorHAnsi" w:cstheme="minorHAnsi"/>
        </w:rPr>
        <w:t>Pole</w:t>
      </w:r>
      <w:r w:rsidRPr="00466073">
        <w:rPr>
          <w:rFonts w:asciiTheme="minorHAnsi" w:hAnsiTheme="minorHAnsi" w:cstheme="minorHAnsi"/>
          <w:lang w:val="el-GR"/>
        </w:rPr>
        <w:t xml:space="preserve"> </w:t>
      </w:r>
      <w:proofErr w:type="spellStart"/>
      <w:r w:rsidRPr="00466073">
        <w:rPr>
          <w:rFonts w:asciiTheme="minorHAnsi" w:hAnsiTheme="minorHAnsi" w:cstheme="minorHAnsi"/>
        </w:rPr>
        <w:t>Programme</w:t>
      </w:r>
      <w:proofErr w:type="spellEnd"/>
      <w:r w:rsidRPr="00466073">
        <w:rPr>
          <w:rFonts w:asciiTheme="minorHAnsi" w:hAnsiTheme="minorHAnsi" w:cstheme="minorHAnsi"/>
          <w:lang w:val="el-GR"/>
        </w:rPr>
        <w:t xml:space="preserve">» μεταφέρθηκε στη δικαιοδοσία του </w:t>
      </w:r>
      <w:r w:rsidRPr="00466073">
        <w:rPr>
          <w:rFonts w:asciiTheme="minorHAnsi" w:hAnsiTheme="minorHAnsi" w:cstheme="minorHAnsi"/>
        </w:rPr>
        <w:t>MAG</w:t>
      </w:r>
      <w:r w:rsidRPr="00466073">
        <w:rPr>
          <w:rFonts w:asciiTheme="minorHAnsi" w:hAnsiTheme="minorHAnsi" w:cstheme="minorHAnsi"/>
          <w:lang w:val="el-GR"/>
        </w:rPr>
        <w:t xml:space="preserve"> (</w:t>
      </w:r>
      <w:r w:rsidRPr="00466073">
        <w:rPr>
          <w:rFonts w:asciiTheme="minorHAnsi" w:hAnsiTheme="minorHAnsi" w:cstheme="minorHAnsi"/>
        </w:rPr>
        <w:t>Hungarian</w:t>
      </w:r>
      <w:r w:rsidRPr="00466073">
        <w:rPr>
          <w:rFonts w:asciiTheme="minorHAnsi" w:hAnsiTheme="minorHAnsi" w:cstheme="minorHAnsi"/>
          <w:lang w:val="el-GR"/>
        </w:rPr>
        <w:t xml:space="preserve"> </w:t>
      </w:r>
      <w:r w:rsidRPr="00466073">
        <w:rPr>
          <w:rFonts w:asciiTheme="minorHAnsi" w:hAnsiTheme="minorHAnsi" w:cstheme="minorHAnsi"/>
        </w:rPr>
        <w:t>Economic</w:t>
      </w:r>
      <w:r w:rsidRPr="00466073">
        <w:rPr>
          <w:rFonts w:asciiTheme="minorHAnsi" w:hAnsiTheme="minorHAnsi" w:cstheme="minorHAnsi"/>
          <w:lang w:val="el-GR"/>
        </w:rPr>
        <w:t xml:space="preserve"> </w:t>
      </w:r>
      <w:r w:rsidRPr="00466073">
        <w:rPr>
          <w:rFonts w:asciiTheme="minorHAnsi" w:hAnsiTheme="minorHAnsi" w:cstheme="minorHAnsi"/>
        </w:rPr>
        <w:t>Development</w:t>
      </w:r>
      <w:r w:rsidRPr="00466073">
        <w:rPr>
          <w:rFonts w:asciiTheme="minorHAnsi" w:hAnsiTheme="minorHAnsi" w:cstheme="minorHAnsi"/>
          <w:lang w:val="el-GR"/>
        </w:rPr>
        <w:t xml:space="preserve"> </w:t>
      </w:r>
      <w:r w:rsidRPr="00466073">
        <w:rPr>
          <w:rFonts w:asciiTheme="minorHAnsi" w:hAnsiTheme="minorHAnsi" w:cstheme="minorHAnsi"/>
        </w:rPr>
        <w:t>Centre</w:t>
      </w:r>
      <w:r w:rsidRPr="00466073">
        <w:rPr>
          <w:rFonts w:asciiTheme="minorHAnsi" w:hAnsiTheme="minorHAnsi" w:cstheme="minorHAnsi"/>
          <w:lang w:val="el-GR"/>
        </w:rPr>
        <w:t>)</w:t>
      </w:r>
      <w:r w:rsidR="002C3530" w:rsidRPr="00466073">
        <w:rPr>
          <w:rFonts w:asciiTheme="minorHAnsi" w:hAnsiTheme="minorHAnsi" w:cstheme="minorHAnsi"/>
          <w:lang w:val="el-GR"/>
        </w:rPr>
        <w:t xml:space="preserve"> και συγκεκριμένα εντάχθηκε στο Τμήμα «</w:t>
      </w:r>
      <w:r w:rsidR="002C3530" w:rsidRPr="00466073">
        <w:rPr>
          <w:rFonts w:asciiTheme="minorHAnsi" w:hAnsiTheme="minorHAnsi" w:cstheme="minorHAnsi"/>
        </w:rPr>
        <w:t>Cluster</w:t>
      </w:r>
      <w:r w:rsidR="002C3530" w:rsidRPr="00466073">
        <w:rPr>
          <w:rFonts w:asciiTheme="minorHAnsi" w:hAnsiTheme="minorHAnsi" w:cstheme="minorHAnsi"/>
          <w:lang w:val="el-GR"/>
        </w:rPr>
        <w:t xml:space="preserve"> </w:t>
      </w:r>
      <w:r w:rsidR="002C3530" w:rsidRPr="00466073">
        <w:rPr>
          <w:rFonts w:asciiTheme="minorHAnsi" w:hAnsiTheme="minorHAnsi" w:cstheme="minorHAnsi"/>
        </w:rPr>
        <w:t>Development</w:t>
      </w:r>
      <w:r w:rsidR="002C3530" w:rsidRPr="00466073">
        <w:rPr>
          <w:rFonts w:asciiTheme="minorHAnsi" w:hAnsiTheme="minorHAnsi" w:cstheme="minorHAnsi"/>
          <w:lang w:val="el-GR"/>
        </w:rPr>
        <w:t xml:space="preserve"> </w:t>
      </w:r>
      <w:r w:rsidR="002C3530" w:rsidRPr="00466073">
        <w:rPr>
          <w:rFonts w:asciiTheme="minorHAnsi" w:hAnsiTheme="minorHAnsi" w:cstheme="minorHAnsi"/>
        </w:rPr>
        <w:t>Office</w:t>
      </w:r>
      <w:r w:rsidR="002C3530" w:rsidRPr="00466073">
        <w:rPr>
          <w:rFonts w:asciiTheme="minorHAnsi" w:hAnsiTheme="minorHAnsi" w:cstheme="minorHAnsi"/>
          <w:lang w:val="el-GR"/>
        </w:rPr>
        <w:t xml:space="preserve">». </w:t>
      </w:r>
    </w:p>
    <w:p w:rsidR="002C3530" w:rsidRPr="00466073" w:rsidRDefault="002C3530" w:rsidP="00D07E1A">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 xml:space="preserve">Το 2014, με απόφαση της Κυβέρνησης, το σύνολο των αρμοδιοτήτων του </w:t>
      </w:r>
      <w:r w:rsidRPr="00466073">
        <w:rPr>
          <w:rFonts w:asciiTheme="minorHAnsi" w:hAnsiTheme="minorHAnsi" w:cstheme="minorHAnsi"/>
        </w:rPr>
        <w:t>MAG</w:t>
      </w:r>
      <w:r w:rsidRPr="00466073">
        <w:rPr>
          <w:rFonts w:asciiTheme="minorHAnsi" w:hAnsiTheme="minorHAnsi" w:cstheme="minorHAnsi"/>
          <w:lang w:val="el-GR"/>
        </w:rPr>
        <w:t xml:space="preserve"> μεταφέρθηκε στο Υπουργείο Εθνικής Οικονομίας, με σκοπό την βελτιστοποίηση των διοικητικών διαδικασιών των αναπτυξιακών προγραμμάτων και διαγωνισμών της Ε.Ε.</w:t>
      </w:r>
    </w:p>
    <w:p w:rsidR="00320C11" w:rsidRPr="00466073" w:rsidRDefault="00320C11" w:rsidP="00D07E1A">
      <w:pPr>
        <w:widowControl w:val="0"/>
        <w:overflowPunct w:val="0"/>
        <w:autoSpaceDE w:val="0"/>
        <w:autoSpaceDN w:val="0"/>
        <w:adjustRightInd w:val="0"/>
        <w:spacing w:line="232" w:lineRule="auto"/>
        <w:jc w:val="both"/>
        <w:rPr>
          <w:rFonts w:asciiTheme="minorHAnsi" w:hAnsiTheme="minorHAnsi" w:cstheme="minorHAnsi"/>
          <w:lang w:val="el-GR"/>
        </w:rPr>
      </w:pPr>
    </w:p>
    <w:p w:rsidR="00542953" w:rsidRPr="00466073" w:rsidRDefault="00542953" w:rsidP="008D285F">
      <w:pPr>
        <w:jc w:val="both"/>
        <w:rPr>
          <w:rFonts w:asciiTheme="minorHAnsi" w:hAnsiTheme="minorHAnsi" w:cstheme="minorHAnsi"/>
          <w:b/>
          <w:u w:val="single"/>
          <w:lang w:val="el-GR"/>
        </w:rPr>
      </w:pPr>
      <w:r w:rsidRPr="00466073">
        <w:rPr>
          <w:rFonts w:asciiTheme="minorHAnsi" w:hAnsiTheme="minorHAnsi" w:cstheme="minorHAnsi"/>
          <w:b/>
          <w:u w:val="single"/>
          <w:lang w:val="el-GR"/>
        </w:rPr>
        <w:t>Τεχνολογίες πληροφορικής και επικοινωνιών (ICT)</w:t>
      </w:r>
    </w:p>
    <w:p w:rsidR="00542953" w:rsidRPr="00466073" w:rsidRDefault="00542953" w:rsidP="00542953">
      <w:pPr>
        <w:widowControl w:val="0"/>
        <w:autoSpaceDE w:val="0"/>
        <w:autoSpaceDN w:val="0"/>
        <w:adjustRightInd w:val="0"/>
        <w:spacing w:line="2" w:lineRule="exact"/>
        <w:rPr>
          <w:rFonts w:asciiTheme="minorHAnsi" w:hAnsiTheme="minorHAnsi" w:cstheme="minorHAnsi"/>
          <w:lang w:val="el-GR"/>
        </w:rPr>
      </w:pPr>
    </w:p>
    <w:p w:rsidR="00542953" w:rsidRPr="00466073" w:rsidRDefault="00805C25" w:rsidP="00903EEC">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Είχε συζητηθεί παλαιότερα</w:t>
      </w:r>
      <w:r w:rsidR="008D285F" w:rsidRPr="00466073">
        <w:rPr>
          <w:rFonts w:asciiTheme="minorHAnsi" w:hAnsiTheme="minorHAnsi" w:cstheme="minorHAnsi"/>
          <w:lang w:val="el-GR"/>
        </w:rPr>
        <w:t xml:space="preserve"> η υπογραφή Μνημονίου Κατανόησης (</w:t>
      </w:r>
      <w:proofErr w:type="spellStart"/>
      <w:r w:rsidR="008D285F" w:rsidRPr="00466073">
        <w:rPr>
          <w:rFonts w:asciiTheme="minorHAnsi" w:hAnsiTheme="minorHAnsi" w:cstheme="minorHAnsi"/>
          <w:lang w:val="el-GR"/>
        </w:rPr>
        <w:t>MoU</w:t>
      </w:r>
      <w:proofErr w:type="spellEnd"/>
      <w:r w:rsidR="008D285F" w:rsidRPr="00466073">
        <w:rPr>
          <w:rFonts w:asciiTheme="minorHAnsi" w:hAnsiTheme="minorHAnsi" w:cstheme="minorHAnsi"/>
          <w:lang w:val="el-GR"/>
        </w:rPr>
        <w:t xml:space="preserve">) για θέματα </w:t>
      </w:r>
      <w:r w:rsidR="00542953" w:rsidRPr="00466073">
        <w:rPr>
          <w:rFonts w:asciiTheme="minorHAnsi" w:hAnsiTheme="minorHAnsi" w:cstheme="minorHAnsi"/>
          <w:lang w:val="el-GR"/>
        </w:rPr>
        <w:t>συνεργασίας στον τομ</w:t>
      </w:r>
      <w:r w:rsidR="008D285F" w:rsidRPr="00466073">
        <w:rPr>
          <w:rFonts w:asciiTheme="minorHAnsi" w:hAnsiTheme="minorHAnsi" w:cstheme="minorHAnsi"/>
          <w:lang w:val="el-GR"/>
        </w:rPr>
        <w:t>έα των τεχνολογιών πληροφορικής και</w:t>
      </w:r>
      <w:r w:rsidR="00542953" w:rsidRPr="00466073">
        <w:rPr>
          <w:rFonts w:asciiTheme="minorHAnsi" w:hAnsiTheme="minorHAnsi" w:cstheme="minorHAnsi"/>
          <w:lang w:val="el-GR"/>
        </w:rPr>
        <w:t xml:space="preserve"> ηλεκτρονικής διακυβέρνησης, μεταξύ της Ειδικής Γραμματείας Ψηφιακού Σχεδιασμού και του Ουγγρικού Υπουργείου Ανάπτυξης.</w:t>
      </w:r>
    </w:p>
    <w:p w:rsidR="00546CB3" w:rsidRPr="00466073" w:rsidRDefault="00546CB3" w:rsidP="008D285F">
      <w:pPr>
        <w:jc w:val="both"/>
        <w:rPr>
          <w:rFonts w:asciiTheme="minorHAnsi" w:hAnsiTheme="minorHAnsi" w:cstheme="minorHAnsi"/>
          <w:b/>
          <w:u w:val="single"/>
          <w:lang w:val="el-GR"/>
        </w:rPr>
      </w:pPr>
    </w:p>
    <w:p w:rsidR="008D285F" w:rsidRPr="00466073" w:rsidRDefault="00542953" w:rsidP="008D285F">
      <w:pPr>
        <w:jc w:val="both"/>
        <w:rPr>
          <w:rFonts w:asciiTheme="minorHAnsi" w:hAnsiTheme="minorHAnsi" w:cstheme="minorHAnsi"/>
          <w:b/>
          <w:u w:val="single"/>
          <w:lang w:val="el-GR"/>
        </w:rPr>
      </w:pPr>
      <w:proofErr w:type="spellStart"/>
      <w:r w:rsidRPr="00466073">
        <w:rPr>
          <w:rFonts w:asciiTheme="minorHAnsi" w:hAnsiTheme="minorHAnsi" w:cstheme="minorHAnsi"/>
          <w:b/>
          <w:u w:val="single"/>
          <w:lang w:val="el-GR"/>
        </w:rPr>
        <w:t>Ελληνο</w:t>
      </w:r>
      <w:proofErr w:type="spellEnd"/>
      <w:r w:rsidRPr="00466073">
        <w:rPr>
          <w:rFonts w:asciiTheme="minorHAnsi" w:hAnsiTheme="minorHAnsi" w:cstheme="minorHAnsi"/>
          <w:b/>
          <w:u w:val="single"/>
          <w:lang w:val="el-GR"/>
        </w:rPr>
        <w:t xml:space="preserve">-Ουγγρικό Επιχειρηματικό Συμβούλιο </w:t>
      </w:r>
    </w:p>
    <w:p w:rsidR="00CA5182" w:rsidRPr="00466073" w:rsidRDefault="008D285F" w:rsidP="008D285F">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 xml:space="preserve">Περί τα τέλη </w:t>
      </w:r>
      <w:r w:rsidR="00542953" w:rsidRPr="00466073">
        <w:rPr>
          <w:rFonts w:asciiTheme="minorHAnsi" w:hAnsiTheme="minorHAnsi" w:cstheme="minorHAnsi"/>
          <w:lang w:val="el-GR"/>
        </w:rPr>
        <w:t xml:space="preserve">του 1997 συνεστήθη το </w:t>
      </w:r>
      <w:proofErr w:type="spellStart"/>
      <w:r w:rsidR="00542953" w:rsidRPr="00466073">
        <w:rPr>
          <w:rFonts w:asciiTheme="minorHAnsi" w:hAnsiTheme="minorHAnsi" w:cstheme="minorHAnsi"/>
          <w:lang w:val="el-GR"/>
        </w:rPr>
        <w:t>Ελληνο</w:t>
      </w:r>
      <w:proofErr w:type="spellEnd"/>
      <w:r w:rsidR="00542953" w:rsidRPr="00466073">
        <w:rPr>
          <w:rFonts w:asciiTheme="minorHAnsi" w:hAnsiTheme="minorHAnsi" w:cstheme="minorHAnsi"/>
          <w:lang w:val="el-GR"/>
        </w:rPr>
        <w:t>-Ουγγρ</w:t>
      </w:r>
      <w:r w:rsidRPr="00466073">
        <w:rPr>
          <w:rFonts w:asciiTheme="minorHAnsi" w:hAnsiTheme="minorHAnsi" w:cstheme="minorHAnsi"/>
          <w:lang w:val="el-GR"/>
        </w:rPr>
        <w:t>ικό Επιχειρηματικό Συμβούλιο, το οποίο</w:t>
      </w:r>
      <w:r w:rsidR="00FB6AA9" w:rsidRPr="00466073">
        <w:rPr>
          <w:rFonts w:asciiTheme="minorHAnsi" w:hAnsiTheme="minorHAnsi" w:cstheme="minorHAnsi"/>
          <w:lang w:val="el-GR"/>
        </w:rPr>
        <w:t xml:space="preserve"> αποτελείται από δύο σκέλη, το Ε</w:t>
      </w:r>
      <w:r w:rsidRPr="00466073">
        <w:rPr>
          <w:rFonts w:asciiTheme="minorHAnsi" w:hAnsiTheme="minorHAnsi" w:cstheme="minorHAnsi"/>
          <w:lang w:val="el-GR"/>
        </w:rPr>
        <w:t>λληνικ</w:t>
      </w:r>
      <w:r w:rsidR="00CA5182" w:rsidRPr="00466073">
        <w:rPr>
          <w:rFonts w:asciiTheme="minorHAnsi" w:hAnsiTheme="minorHAnsi" w:cstheme="minorHAnsi"/>
          <w:lang w:val="el-GR"/>
        </w:rPr>
        <w:t>ό και το Ουγγρικό, καθένα με το</w:t>
      </w:r>
      <w:r w:rsidRPr="00466073">
        <w:rPr>
          <w:rFonts w:asciiTheme="minorHAnsi" w:hAnsiTheme="minorHAnsi" w:cstheme="minorHAnsi"/>
          <w:lang w:val="el-GR"/>
        </w:rPr>
        <w:t xml:space="preserve"> δικό του Πρόεδρο</w:t>
      </w:r>
      <w:r w:rsidR="00CA5182" w:rsidRPr="00466073">
        <w:rPr>
          <w:rFonts w:asciiTheme="minorHAnsi" w:hAnsiTheme="minorHAnsi" w:cstheme="minorHAnsi"/>
          <w:lang w:val="el-GR"/>
        </w:rPr>
        <w:t xml:space="preserve"> (από Ελλάδα ο κ. Π. </w:t>
      </w:r>
      <w:proofErr w:type="spellStart"/>
      <w:r w:rsidR="00CA5182" w:rsidRPr="00466073">
        <w:rPr>
          <w:rFonts w:asciiTheme="minorHAnsi" w:hAnsiTheme="minorHAnsi" w:cstheme="minorHAnsi"/>
          <w:lang w:val="el-GR"/>
        </w:rPr>
        <w:t>Ζερίτης</w:t>
      </w:r>
      <w:proofErr w:type="spellEnd"/>
      <w:r w:rsidR="00CA5182" w:rsidRPr="00466073">
        <w:rPr>
          <w:rFonts w:asciiTheme="minorHAnsi" w:hAnsiTheme="minorHAnsi" w:cstheme="minorHAnsi"/>
          <w:lang w:val="el-GR"/>
        </w:rPr>
        <w:t xml:space="preserve"> και από Ουγγαρία ο κ. </w:t>
      </w:r>
      <w:r w:rsidR="00CA5182" w:rsidRPr="00466073">
        <w:rPr>
          <w:rFonts w:asciiTheme="minorHAnsi" w:hAnsiTheme="minorHAnsi" w:cstheme="minorHAnsi"/>
        </w:rPr>
        <w:t>F</w:t>
      </w:r>
      <w:r w:rsidR="00CA5182" w:rsidRPr="00466073">
        <w:rPr>
          <w:rFonts w:asciiTheme="minorHAnsi" w:hAnsiTheme="minorHAnsi" w:cstheme="minorHAnsi"/>
          <w:lang w:val="el-GR"/>
        </w:rPr>
        <w:t xml:space="preserve">. </w:t>
      </w:r>
      <w:proofErr w:type="spellStart"/>
      <w:r w:rsidR="00CA5182" w:rsidRPr="00466073">
        <w:rPr>
          <w:rFonts w:asciiTheme="minorHAnsi" w:hAnsiTheme="minorHAnsi" w:cstheme="minorHAnsi"/>
        </w:rPr>
        <w:t>Bartha</w:t>
      </w:r>
      <w:proofErr w:type="spellEnd"/>
      <w:r w:rsidR="00CA5182" w:rsidRPr="00466073">
        <w:rPr>
          <w:rFonts w:asciiTheme="minorHAnsi" w:hAnsiTheme="minorHAnsi" w:cstheme="minorHAnsi"/>
          <w:lang w:val="el-GR"/>
        </w:rPr>
        <w:t>).</w:t>
      </w:r>
      <w:r w:rsidRPr="00466073">
        <w:rPr>
          <w:rFonts w:asciiTheme="minorHAnsi" w:hAnsiTheme="minorHAnsi" w:cstheme="minorHAnsi"/>
          <w:lang w:val="el-GR"/>
        </w:rPr>
        <w:t xml:space="preserve"> </w:t>
      </w:r>
    </w:p>
    <w:p w:rsidR="001720A6" w:rsidRPr="00466073" w:rsidRDefault="008D285F" w:rsidP="008D285F">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 xml:space="preserve">Εξαιτίας της διακοπής λειτουργίας της μονάδας παραγωγής του Ομίλου </w:t>
      </w:r>
      <w:proofErr w:type="spellStart"/>
      <w:r w:rsidRPr="00466073">
        <w:rPr>
          <w:rFonts w:asciiTheme="minorHAnsi" w:hAnsiTheme="minorHAnsi" w:cstheme="minorHAnsi"/>
          <w:lang w:val="el-GR"/>
        </w:rPr>
        <w:t>Ζερίτη</w:t>
      </w:r>
      <w:proofErr w:type="spellEnd"/>
      <w:r w:rsidRPr="00466073">
        <w:rPr>
          <w:rFonts w:asciiTheme="minorHAnsi" w:hAnsiTheme="minorHAnsi" w:cstheme="minorHAnsi"/>
          <w:lang w:val="el-GR"/>
        </w:rPr>
        <w:t xml:space="preserve"> στην Ουγγαρία (2009), αλλά και του αιφνιδίου θανάτου του Προέδρου του ουγγρικού σκέλους του Επιχειρηματικού Συμβουλίου (2012), τ</w:t>
      </w:r>
      <w:r w:rsidR="00CA5182" w:rsidRPr="00466073">
        <w:rPr>
          <w:rFonts w:asciiTheme="minorHAnsi" w:hAnsiTheme="minorHAnsi" w:cstheme="minorHAnsi"/>
          <w:lang w:val="el-GR"/>
        </w:rPr>
        <w:t xml:space="preserve">ο Συμβούλιο υπέπεσε σε παροδική αδράνεια, χωρίς όμως να ανασταλεί η λειτουργία του. Στη συνέχεια, με ανταλλαγές επισκέψεων, την εμπλοκή του ΕΒΕΑ, της Πρεσβείας της Ουγγαρίας στην Αθήνα και του Γραφείου ΟΕΥ της Ελληνικής Πρεσβείας στην Βουδαπέστη, το ενδιαφέρον για περαιτέρω ανάπτυξη και βελτίωση των οικονομικών και εμπορικών σχέσεων των δύο πλευρών αναθερμάνθηκε. </w:t>
      </w:r>
    </w:p>
    <w:p w:rsidR="002E7491" w:rsidRDefault="002E7491" w:rsidP="001720A6">
      <w:pPr>
        <w:widowControl w:val="0"/>
        <w:overflowPunct w:val="0"/>
        <w:autoSpaceDE w:val="0"/>
        <w:autoSpaceDN w:val="0"/>
        <w:adjustRightInd w:val="0"/>
        <w:spacing w:line="232" w:lineRule="auto"/>
        <w:jc w:val="both"/>
        <w:rPr>
          <w:rFonts w:asciiTheme="minorHAnsi" w:hAnsiTheme="minorHAnsi" w:cstheme="minorHAnsi"/>
          <w:lang w:val="el-GR"/>
        </w:rPr>
      </w:pPr>
    </w:p>
    <w:p w:rsidR="002E7491" w:rsidRDefault="002E7491" w:rsidP="001720A6">
      <w:pPr>
        <w:widowControl w:val="0"/>
        <w:overflowPunct w:val="0"/>
        <w:autoSpaceDE w:val="0"/>
        <w:autoSpaceDN w:val="0"/>
        <w:adjustRightInd w:val="0"/>
        <w:spacing w:line="232" w:lineRule="auto"/>
        <w:jc w:val="both"/>
        <w:rPr>
          <w:rFonts w:asciiTheme="minorHAnsi" w:hAnsiTheme="minorHAnsi" w:cstheme="minorHAnsi"/>
          <w:lang w:val="el-GR"/>
        </w:rPr>
      </w:pPr>
    </w:p>
    <w:p w:rsidR="00B65A45" w:rsidRPr="00466073" w:rsidRDefault="001720A6" w:rsidP="001720A6">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 xml:space="preserve">Προσφάτως, το </w:t>
      </w:r>
      <w:proofErr w:type="spellStart"/>
      <w:r w:rsidRPr="00466073">
        <w:rPr>
          <w:rFonts w:asciiTheme="minorHAnsi" w:hAnsiTheme="minorHAnsi" w:cstheme="minorHAnsi"/>
          <w:lang w:val="el-GR"/>
        </w:rPr>
        <w:t>Ουγγρο</w:t>
      </w:r>
      <w:proofErr w:type="spellEnd"/>
      <w:r w:rsidRPr="00466073">
        <w:rPr>
          <w:rFonts w:asciiTheme="minorHAnsi" w:hAnsiTheme="minorHAnsi" w:cstheme="minorHAnsi"/>
          <w:lang w:val="el-GR"/>
        </w:rPr>
        <w:t>-Ελ</w:t>
      </w:r>
      <w:r w:rsidR="00B7114C" w:rsidRPr="00466073">
        <w:rPr>
          <w:rFonts w:asciiTheme="minorHAnsi" w:hAnsiTheme="minorHAnsi" w:cstheme="minorHAnsi"/>
          <w:lang w:val="el-GR"/>
        </w:rPr>
        <w:t>ληνικό Επιχειρηματικό Συμβούλιο</w:t>
      </w:r>
      <w:r w:rsidRPr="00466073">
        <w:rPr>
          <w:rFonts w:asciiTheme="minorHAnsi" w:hAnsiTheme="minorHAnsi" w:cstheme="minorHAnsi"/>
          <w:lang w:val="el-GR"/>
        </w:rPr>
        <w:t xml:space="preserve"> έχει επιδείξει σημαντική δραστηριότητα με επισκέψεις μελών του στην Ελλάδα, καθώς και με τη διευκόλυνση  αντίστοιχων επισκέψεων μελών του ελληνικού σκέλους (</w:t>
      </w:r>
      <w:proofErr w:type="spellStart"/>
      <w:r w:rsidRPr="00466073">
        <w:rPr>
          <w:rFonts w:asciiTheme="minorHAnsi" w:hAnsiTheme="minorHAnsi" w:cstheme="minorHAnsi"/>
          <w:lang w:val="el-GR"/>
        </w:rPr>
        <w:t>Ελληνο</w:t>
      </w:r>
      <w:proofErr w:type="spellEnd"/>
      <w:r w:rsidRPr="00466073">
        <w:rPr>
          <w:rFonts w:asciiTheme="minorHAnsi" w:hAnsiTheme="minorHAnsi" w:cstheme="minorHAnsi"/>
          <w:lang w:val="el-GR"/>
        </w:rPr>
        <w:t>-Ουγγρικό Επιχειρηματικό Συμβούλιο) στην Ουγγαρία</w:t>
      </w:r>
      <w:r w:rsidR="00B65A45" w:rsidRPr="00466073">
        <w:rPr>
          <w:rFonts w:asciiTheme="minorHAnsi" w:hAnsiTheme="minorHAnsi" w:cstheme="minorHAnsi"/>
          <w:lang w:val="el-GR"/>
        </w:rPr>
        <w:t xml:space="preserve">. </w:t>
      </w:r>
    </w:p>
    <w:p w:rsidR="001720A6" w:rsidRPr="00466073" w:rsidRDefault="00B65A45" w:rsidP="001720A6">
      <w:pPr>
        <w:widowControl w:val="0"/>
        <w:overflowPunct w:val="0"/>
        <w:autoSpaceDE w:val="0"/>
        <w:autoSpaceDN w:val="0"/>
        <w:adjustRightInd w:val="0"/>
        <w:spacing w:line="232" w:lineRule="auto"/>
        <w:jc w:val="both"/>
        <w:rPr>
          <w:rFonts w:asciiTheme="minorHAnsi" w:hAnsiTheme="minorHAnsi" w:cstheme="minorHAnsi"/>
          <w:color w:val="000000"/>
          <w:lang w:val="el-GR"/>
        </w:rPr>
      </w:pPr>
      <w:r w:rsidRPr="00466073">
        <w:rPr>
          <w:rFonts w:asciiTheme="minorHAnsi" w:hAnsiTheme="minorHAnsi" w:cstheme="minorHAnsi"/>
          <w:lang w:val="el-GR"/>
        </w:rPr>
        <w:t xml:space="preserve">Η </w:t>
      </w:r>
      <w:r w:rsidR="001720A6" w:rsidRPr="00466073">
        <w:rPr>
          <w:rFonts w:asciiTheme="minorHAnsi" w:hAnsiTheme="minorHAnsi" w:cstheme="minorHAnsi"/>
          <w:lang w:val="el-GR"/>
        </w:rPr>
        <w:t xml:space="preserve">επίσκεψη Ελλήνων επιχειρηματιών </w:t>
      </w:r>
      <w:r w:rsidRPr="00466073">
        <w:rPr>
          <w:rFonts w:asciiTheme="minorHAnsi" w:hAnsiTheme="minorHAnsi" w:cstheme="minorHAnsi"/>
          <w:lang w:val="el-GR"/>
        </w:rPr>
        <w:t xml:space="preserve">που </w:t>
      </w:r>
      <w:r w:rsidR="001720A6" w:rsidRPr="00466073">
        <w:rPr>
          <w:rFonts w:asciiTheme="minorHAnsi" w:hAnsiTheme="minorHAnsi" w:cstheme="minorHAnsi"/>
          <w:lang w:val="el-GR"/>
        </w:rPr>
        <w:t xml:space="preserve">πραγματοποιήθηκε μεταξύ 14-18 Νοεμβρίου 2016 με επικεφαλής τον Πρόεδρο του </w:t>
      </w:r>
      <w:proofErr w:type="spellStart"/>
      <w:r w:rsidR="001720A6" w:rsidRPr="00466073">
        <w:rPr>
          <w:rFonts w:asciiTheme="minorHAnsi" w:hAnsiTheme="minorHAnsi" w:cstheme="minorHAnsi"/>
          <w:lang w:val="el-GR"/>
        </w:rPr>
        <w:t>Ελληνο</w:t>
      </w:r>
      <w:proofErr w:type="spellEnd"/>
      <w:r w:rsidR="001720A6" w:rsidRPr="00466073">
        <w:rPr>
          <w:rFonts w:asciiTheme="minorHAnsi" w:hAnsiTheme="minorHAnsi" w:cstheme="minorHAnsi"/>
          <w:lang w:val="el-GR"/>
        </w:rPr>
        <w:t>-Ουγγρικού Επιχειρηματικού Συμβουλίου και μέλος του Δ.Σ</w:t>
      </w:r>
      <w:r w:rsidRPr="00466073">
        <w:rPr>
          <w:rFonts w:asciiTheme="minorHAnsi" w:hAnsiTheme="minorHAnsi" w:cstheme="minorHAnsi"/>
          <w:lang w:val="el-GR"/>
        </w:rPr>
        <w:t xml:space="preserve">. του ΕΒΕΑ, κ Πάτροκλο </w:t>
      </w:r>
      <w:proofErr w:type="spellStart"/>
      <w:r w:rsidRPr="00466073">
        <w:rPr>
          <w:rFonts w:asciiTheme="minorHAnsi" w:hAnsiTheme="minorHAnsi" w:cstheme="minorHAnsi"/>
          <w:lang w:val="el-GR"/>
        </w:rPr>
        <w:t>Κουδούνη</w:t>
      </w:r>
      <w:proofErr w:type="spellEnd"/>
      <w:r w:rsidRPr="00466073">
        <w:rPr>
          <w:rFonts w:asciiTheme="minorHAnsi" w:hAnsiTheme="minorHAnsi" w:cstheme="minorHAnsi"/>
          <w:lang w:val="el-GR"/>
        </w:rPr>
        <w:t xml:space="preserve">, άφησε ικανοποιημένους τόσο τους Έλληνες όσο και τους Ούγγρους επιχειρηματίες. </w:t>
      </w:r>
    </w:p>
    <w:p w:rsidR="0020309F" w:rsidRPr="00466073" w:rsidRDefault="00805C25" w:rsidP="001720A6">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Τον Μάιο 201</w:t>
      </w:r>
      <w:r w:rsidR="00CC752D" w:rsidRPr="00466073">
        <w:rPr>
          <w:rFonts w:asciiTheme="minorHAnsi" w:hAnsiTheme="minorHAnsi" w:cstheme="minorHAnsi"/>
          <w:lang w:val="el-GR"/>
        </w:rPr>
        <w:t>7</w:t>
      </w:r>
      <w:r w:rsidRPr="00466073">
        <w:rPr>
          <w:rFonts w:asciiTheme="minorHAnsi" w:hAnsiTheme="minorHAnsi" w:cstheme="minorHAnsi"/>
          <w:lang w:val="el-GR"/>
        </w:rPr>
        <w:t xml:space="preserve"> ο τέως Γενικός Γραμματέας Διεθνών Οικονομικών Σχέσεων, κ. Γ. </w:t>
      </w:r>
      <w:proofErr w:type="spellStart"/>
      <w:r w:rsidRPr="00466073">
        <w:rPr>
          <w:rFonts w:asciiTheme="minorHAnsi" w:hAnsiTheme="minorHAnsi" w:cstheme="minorHAnsi"/>
          <w:lang w:val="el-GR"/>
        </w:rPr>
        <w:t>Τσίπρας</w:t>
      </w:r>
      <w:proofErr w:type="spellEnd"/>
      <w:r w:rsidRPr="00466073">
        <w:rPr>
          <w:rFonts w:asciiTheme="minorHAnsi" w:hAnsiTheme="minorHAnsi" w:cstheme="minorHAnsi"/>
          <w:lang w:val="el-GR"/>
        </w:rPr>
        <w:t xml:space="preserve">, πραγματοποίησε μονοήμερη επίσημη επίσκεψη στην Βουδαπέστη και συναντήθηκε με εκπροσώπους και μέλη του </w:t>
      </w:r>
      <w:proofErr w:type="spellStart"/>
      <w:r w:rsidRPr="00466073">
        <w:rPr>
          <w:rFonts w:asciiTheme="minorHAnsi" w:hAnsiTheme="minorHAnsi" w:cstheme="minorHAnsi"/>
          <w:lang w:val="el-GR"/>
        </w:rPr>
        <w:t>Ουγγρο</w:t>
      </w:r>
      <w:proofErr w:type="spellEnd"/>
      <w:r w:rsidRPr="00466073">
        <w:rPr>
          <w:rFonts w:asciiTheme="minorHAnsi" w:hAnsiTheme="minorHAnsi" w:cstheme="minorHAnsi"/>
          <w:lang w:val="el-GR"/>
        </w:rPr>
        <w:t xml:space="preserve">-Ελληνικού Επιχειρηματικού Συμβουλίου.  </w:t>
      </w:r>
    </w:p>
    <w:p w:rsidR="00805C25" w:rsidRPr="00466073" w:rsidRDefault="00E22BDD" w:rsidP="001720A6">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Το 201</w:t>
      </w:r>
      <w:r w:rsidRPr="00466073">
        <w:rPr>
          <w:rFonts w:asciiTheme="minorHAnsi" w:hAnsiTheme="minorHAnsi" w:cstheme="minorHAnsi"/>
          <w:lang w:val="hu-HU"/>
        </w:rPr>
        <w:t>8</w:t>
      </w:r>
      <w:r w:rsidR="0020309F" w:rsidRPr="00466073">
        <w:rPr>
          <w:rFonts w:asciiTheme="minorHAnsi" w:hAnsiTheme="minorHAnsi" w:cstheme="minorHAnsi"/>
          <w:lang w:val="el-GR"/>
        </w:rPr>
        <w:t xml:space="preserve">, Πρόεδρος του </w:t>
      </w:r>
      <w:proofErr w:type="spellStart"/>
      <w:r w:rsidR="0020309F" w:rsidRPr="00466073">
        <w:rPr>
          <w:rFonts w:asciiTheme="minorHAnsi" w:hAnsiTheme="minorHAnsi" w:cstheme="minorHAnsi"/>
          <w:lang w:val="el-GR"/>
        </w:rPr>
        <w:t>Ουγγρο</w:t>
      </w:r>
      <w:proofErr w:type="spellEnd"/>
      <w:r w:rsidR="0020309F" w:rsidRPr="00466073">
        <w:rPr>
          <w:rFonts w:asciiTheme="minorHAnsi" w:hAnsiTheme="minorHAnsi" w:cstheme="minorHAnsi"/>
          <w:lang w:val="el-GR"/>
        </w:rPr>
        <w:t xml:space="preserve">-Ελληνικού Επιχειρηματικού Συμβουλίου εξελέγη ο ομογενής επιχειρηματίας και Πρόεδρος της Αυτοδιοίκησης Ελλήνων Ουγγαρίας, κ. Γεώργιος </w:t>
      </w:r>
      <w:proofErr w:type="spellStart"/>
      <w:r w:rsidR="0020309F" w:rsidRPr="00466073">
        <w:rPr>
          <w:rFonts w:asciiTheme="minorHAnsi" w:hAnsiTheme="minorHAnsi" w:cstheme="minorHAnsi"/>
          <w:lang w:val="el-GR"/>
        </w:rPr>
        <w:t>Κουκουμτζής</w:t>
      </w:r>
      <w:proofErr w:type="spellEnd"/>
      <w:r w:rsidR="0020309F" w:rsidRPr="00466073">
        <w:rPr>
          <w:rFonts w:asciiTheme="minorHAnsi" w:hAnsiTheme="minorHAnsi" w:cstheme="minorHAnsi"/>
          <w:lang w:val="el-GR"/>
        </w:rPr>
        <w:t>.</w:t>
      </w:r>
    </w:p>
    <w:p w:rsidR="00542953" w:rsidRPr="00466073" w:rsidRDefault="00542953" w:rsidP="008D285F">
      <w:pPr>
        <w:widowControl w:val="0"/>
        <w:overflowPunct w:val="0"/>
        <w:autoSpaceDE w:val="0"/>
        <w:autoSpaceDN w:val="0"/>
        <w:adjustRightInd w:val="0"/>
        <w:spacing w:line="232" w:lineRule="auto"/>
        <w:jc w:val="both"/>
        <w:rPr>
          <w:rFonts w:asciiTheme="minorHAnsi" w:hAnsiTheme="minorHAnsi" w:cstheme="minorHAnsi"/>
          <w:lang w:val="el-GR"/>
        </w:rPr>
      </w:pPr>
    </w:p>
    <w:p w:rsidR="00722965" w:rsidRDefault="00542953" w:rsidP="00542953">
      <w:pPr>
        <w:widowControl w:val="0"/>
        <w:overflowPunct w:val="0"/>
        <w:autoSpaceDE w:val="0"/>
        <w:autoSpaceDN w:val="0"/>
        <w:adjustRightInd w:val="0"/>
        <w:spacing w:line="214" w:lineRule="auto"/>
        <w:ind w:left="720" w:hanging="720"/>
        <w:jc w:val="both"/>
        <w:rPr>
          <w:rFonts w:asciiTheme="minorHAnsi" w:hAnsiTheme="minorHAnsi" w:cstheme="minorHAnsi"/>
          <w:u w:val="single"/>
          <w:lang w:val="el-GR"/>
        </w:rPr>
      </w:pPr>
      <w:proofErr w:type="spellStart"/>
      <w:r w:rsidRPr="00466073">
        <w:rPr>
          <w:rFonts w:asciiTheme="minorHAnsi" w:hAnsiTheme="minorHAnsi" w:cstheme="minorHAnsi"/>
          <w:b/>
          <w:u w:val="single"/>
          <w:lang w:val="el-GR"/>
        </w:rPr>
        <w:t>Ουγγρο</w:t>
      </w:r>
      <w:proofErr w:type="spellEnd"/>
      <w:r w:rsidRPr="00466073">
        <w:rPr>
          <w:rFonts w:asciiTheme="minorHAnsi" w:hAnsiTheme="minorHAnsi" w:cstheme="minorHAnsi"/>
          <w:b/>
          <w:u w:val="single"/>
          <w:lang w:val="el-GR"/>
        </w:rPr>
        <w:t>-Ελληνικό Εμπορικό, Βιομηχανικό και Τουριστικό Επιμελητήριο</w:t>
      </w:r>
      <w:r w:rsidRPr="00466073">
        <w:rPr>
          <w:rFonts w:asciiTheme="minorHAnsi" w:hAnsiTheme="minorHAnsi" w:cstheme="minorHAnsi"/>
          <w:u w:val="single"/>
          <w:lang w:val="el-GR"/>
        </w:rPr>
        <w:t xml:space="preserve"> </w:t>
      </w:r>
    </w:p>
    <w:p w:rsidR="001D4EEC" w:rsidRPr="00466073" w:rsidRDefault="001D4EEC" w:rsidP="00542953">
      <w:pPr>
        <w:widowControl w:val="0"/>
        <w:overflowPunct w:val="0"/>
        <w:autoSpaceDE w:val="0"/>
        <w:autoSpaceDN w:val="0"/>
        <w:adjustRightInd w:val="0"/>
        <w:spacing w:line="214" w:lineRule="auto"/>
        <w:ind w:left="720" w:hanging="720"/>
        <w:jc w:val="both"/>
        <w:rPr>
          <w:rFonts w:asciiTheme="minorHAnsi" w:hAnsiTheme="minorHAnsi" w:cstheme="minorHAnsi"/>
          <w:u w:val="single"/>
          <w:lang w:val="el-GR"/>
        </w:rPr>
      </w:pPr>
    </w:p>
    <w:p w:rsidR="00542953" w:rsidRPr="00466073" w:rsidRDefault="00722965" w:rsidP="00722965">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 xml:space="preserve">Ιδρύθηκε το </w:t>
      </w:r>
      <w:r w:rsidR="00542953" w:rsidRPr="00466073">
        <w:rPr>
          <w:rFonts w:asciiTheme="minorHAnsi" w:hAnsiTheme="minorHAnsi" w:cstheme="minorHAnsi"/>
          <w:lang w:val="el-GR"/>
        </w:rPr>
        <w:t>1996, με τη συνδρομή του ΕΒΕ Θεσσαλονίκης. Στο Επιμελητήριο ε</w:t>
      </w:r>
      <w:r w:rsidR="008A0F82" w:rsidRPr="00466073">
        <w:rPr>
          <w:rFonts w:asciiTheme="minorHAnsi" w:hAnsiTheme="minorHAnsi" w:cstheme="minorHAnsi"/>
          <w:lang w:val="el-GR"/>
        </w:rPr>
        <w:t>ίναι εγγεγραμμένες περί τις 9</w:t>
      </w:r>
      <w:r w:rsidR="00542953" w:rsidRPr="00466073">
        <w:rPr>
          <w:rFonts w:asciiTheme="minorHAnsi" w:hAnsiTheme="minorHAnsi" w:cstheme="minorHAnsi"/>
          <w:lang w:val="el-GR"/>
        </w:rPr>
        <w:t>0 επιχειρήσεις ως μέλη, με ενεργές όμως μόλις τις 30. Η πλειονότητα των εταιρειών είναι μικρού μεγέθους</w:t>
      </w:r>
      <w:r w:rsidRPr="00466073">
        <w:rPr>
          <w:rFonts w:asciiTheme="minorHAnsi" w:hAnsiTheme="minorHAnsi" w:cstheme="minorHAnsi"/>
          <w:lang w:val="el-GR"/>
        </w:rPr>
        <w:t>,</w:t>
      </w:r>
      <w:r w:rsidR="00542953" w:rsidRPr="00466073">
        <w:rPr>
          <w:rFonts w:asciiTheme="minorHAnsi" w:hAnsiTheme="minorHAnsi" w:cstheme="minorHAnsi"/>
          <w:lang w:val="el-GR"/>
        </w:rPr>
        <w:t xml:space="preserve"> που δραστηριοποιούνται κυρίως στον τουριστικό τομέα και στο εισαγωγικό εμ</w:t>
      </w:r>
      <w:r w:rsidRPr="00466073">
        <w:rPr>
          <w:rFonts w:asciiTheme="minorHAnsi" w:hAnsiTheme="minorHAnsi" w:cstheme="minorHAnsi"/>
          <w:lang w:val="el-GR"/>
        </w:rPr>
        <w:t xml:space="preserve">πόριο (κυρίως ειδών διατροφής). Το επιμελητήριο αντιμετωπίζει προβλήματα, τόσο λειτουργικά, όσο και σκοπιμότητας. </w:t>
      </w:r>
      <w:r w:rsidR="008A0F82" w:rsidRPr="00466073">
        <w:rPr>
          <w:rFonts w:asciiTheme="minorHAnsi" w:hAnsiTheme="minorHAnsi" w:cstheme="minorHAnsi"/>
          <w:lang w:val="el-GR"/>
        </w:rPr>
        <w:t xml:space="preserve">Εκκρεμούν η τακτική Γενική Συνέλευση και οι αρχαιρεσίες. Το </w:t>
      </w:r>
      <w:r w:rsidR="002D3A50" w:rsidRPr="00466073">
        <w:rPr>
          <w:rFonts w:asciiTheme="minorHAnsi" w:hAnsiTheme="minorHAnsi" w:cstheme="minorHAnsi"/>
          <w:lang w:val="el-GR"/>
        </w:rPr>
        <w:t xml:space="preserve">τελευταίο διάστημα, το </w:t>
      </w:r>
      <w:r w:rsidR="008A0F82" w:rsidRPr="00466073">
        <w:rPr>
          <w:rFonts w:asciiTheme="minorHAnsi" w:hAnsiTheme="minorHAnsi" w:cstheme="minorHAnsi"/>
          <w:lang w:val="el-GR"/>
        </w:rPr>
        <w:t xml:space="preserve">επιμελητήριο, έχει υποπέσει σε αδράνεια και υπολειτουργεί. </w:t>
      </w:r>
      <w:r w:rsidRPr="00466073">
        <w:rPr>
          <w:rFonts w:asciiTheme="minorHAnsi" w:hAnsiTheme="minorHAnsi" w:cstheme="minorHAnsi"/>
          <w:lang w:val="el-GR"/>
        </w:rPr>
        <w:t xml:space="preserve">Πρόεδρος </w:t>
      </w:r>
      <w:r w:rsidR="008A0F82" w:rsidRPr="00466073">
        <w:rPr>
          <w:rFonts w:asciiTheme="minorHAnsi" w:hAnsiTheme="minorHAnsi" w:cstheme="minorHAnsi"/>
          <w:lang w:val="el-GR"/>
        </w:rPr>
        <w:t>(από τον Δεκέμβριο</w:t>
      </w:r>
      <w:r w:rsidRPr="00466073">
        <w:rPr>
          <w:rFonts w:asciiTheme="minorHAnsi" w:hAnsiTheme="minorHAnsi" w:cstheme="minorHAnsi"/>
          <w:lang w:val="el-GR"/>
        </w:rPr>
        <w:t xml:space="preserve"> 2007) είναι ο κ. Αλέξανδρος </w:t>
      </w:r>
      <w:proofErr w:type="spellStart"/>
      <w:r w:rsidRPr="00466073">
        <w:rPr>
          <w:rFonts w:asciiTheme="minorHAnsi" w:hAnsiTheme="minorHAnsi" w:cstheme="minorHAnsi"/>
          <w:lang w:val="el-GR"/>
        </w:rPr>
        <w:t>Στρί</w:t>
      </w:r>
      <w:r w:rsidR="008A0F82" w:rsidRPr="00466073">
        <w:rPr>
          <w:rFonts w:asciiTheme="minorHAnsi" w:hAnsiTheme="minorHAnsi" w:cstheme="minorHAnsi"/>
          <w:lang w:val="el-GR"/>
        </w:rPr>
        <w:t>κκα</w:t>
      </w:r>
      <w:proofErr w:type="spellEnd"/>
      <w:r w:rsidR="008A0F82" w:rsidRPr="00466073">
        <w:rPr>
          <w:rFonts w:asciiTheme="minorHAnsi" w:hAnsiTheme="minorHAnsi" w:cstheme="minorHAnsi"/>
          <w:lang w:val="el-GR"/>
        </w:rPr>
        <w:t>.</w:t>
      </w:r>
      <w:r w:rsidR="00B94E53" w:rsidRPr="00466073">
        <w:rPr>
          <w:rFonts w:asciiTheme="minorHAnsi" w:hAnsiTheme="minorHAnsi" w:cstheme="minorHAnsi"/>
          <w:lang w:val="el-GR"/>
        </w:rPr>
        <w:t xml:space="preserve"> Επισημαίνεται ότι το</w:t>
      </w:r>
      <w:r w:rsidR="00E22BDD" w:rsidRPr="00466073">
        <w:rPr>
          <w:rFonts w:asciiTheme="minorHAnsi" w:hAnsiTheme="minorHAnsi" w:cstheme="minorHAnsi"/>
          <w:lang w:val="el-GR"/>
        </w:rPr>
        <w:t xml:space="preserve"> 2020 το επιμελητήριο εκλήθη</w:t>
      </w:r>
      <w:r w:rsidR="001D4EEC">
        <w:rPr>
          <w:rFonts w:asciiTheme="minorHAnsi" w:hAnsiTheme="minorHAnsi" w:cstheme="minorHAnsi"/>
          <w:lang w:val="el-GR"/>
        </w:rPr>
        <w:t xml:space="preserve"> </w:t>
      </w:r>
      <w:r w:rsidR="00B94E53" w:rsidRPr="00466073">
        <w:rPr>
          <w:rFonts w:asciiTheme="minorHAnsi" w:hAnsiTheme="minorHAnsi" w:cstheme="minorHAnsi"/>
          <w:lang w:val="el-GR"/>
        </w:rPr>
        <w:t xml:space="preserve">να αναλάβει </w:t>
      </w:r>
      <w:r w:rsidR="00E22BDD" w:rsidRPr="00466073">
        <w:rPr>
          <w:rFonts w:asciiTheme="minorHAnsi" w:hAnsiTheme="minorHAnsi" w:cstheme="minorHAnsi"/>
          <w:lang w:val="el-GR"/>
        </w:rPr>
        <w:t>την εκ περιτροπής Προεδρία των Μικτών Ε</w:t>
      </w:r>
      <w:r w:rsidR="00B94E53" w:rsidRPr="00466073">
        <w:rPr>
          <w:rFonts w:asciiTheme="minorHAnsi" w:hAnsiTheme="minorHAnsi" w:cstheme="minorHAnsi"/>
          <w:lang w:val="el-GR"/>
        </w:rPr>
        <w:t>πιμελητηρίων των κ-μ της Ε</w:t>
      </w:r>
      <w:r w:rsidR="00E22BDD" w:rsidRPr="00466073">
        <w:rPr>
          <w:rFonts w:asciiTheme="minorHAnsi" w:hAnsiTheme="minorHAnsi" w:cstheme="minorHAnsi"/>
          <w:lang w:val="el-GR"/>
        </w:rPr>
        <w:t>.</w:t>
      </w:r>
      <w:r w:rsidR="00B94E53" w:rsidRPr="00466073">
        <w:rPr>
          <w:rFonts w:asciiTheme="minorHAnsi" w:hAnsiTheme="minorHAnsi" w:cstheme="minorHAnsi"/>
          <w:lang w:val="el-GR"/>
        </w:rPr>
        <w:t>Ε</w:t>
      </w:r>
      <w:r w:rsidR="00E22BDD" w:rsidRPr="00466073">
        <w:rPr>
          <w:rFonts w:asciiTheme="minorHAnsi" w:hAnsiTheme="minorHAnsi" w:cstheme="minorHAnsi"/>
          <w:lang w:val="el-GR"/>
        </w:rPr>
        <w:t>.</w:t>
      </w:r>
      <w:r w:rsidR="00B94E53" w:rsidRPr="00466073">
        <w:rPr>
          <w:rFonts w:asciiTheme="minorHAnsi" w:hAnsiTheme="minorHAnsi" w:cstheme="minorHAnsi"/>
          <w:lang w:val="el-GR"/>
        </w:rPr>
        <w:t xml:space="preserve"> στην Ουγγαρία.</w:t>
      </w:r>
    </w:p>
    <w:p w:rsidR="0017753D" w:rsidRPr="00466073" w:rsidRDefault="00113598" w:rsidP="00BA1F80">
      <w:pPr>
        <w:spacing w:after="120"/>
        <w:rPr>
          <w:rFonts w:asciiTheme="minorHAnsi" w:hAnsiTheme="minorHAnsi" w:cstheme="minorHAnsi"/>
          <w:lang w:val="el-GR"/>
        </w:rPr>
      </w:pPr>
      <w:r w:rsidRPr="00466073">
        <w:rPr>
          <w:rFonts w:asciiTheme="minorHAnsi" w:hAnsiTheme="minorHAnsi" w:cstheme="minorHAnsi"/>
          <w:lang w:val="el-GR"/>
        </w:rPr>
        <w:t xml:space="preserve"> </w:t>
      </w:r>
    </w:p>
    <w:p w:rsidR="003D45B4" w:rsidRPr="00466073" w:rsidRDefault="00E03DDC" w:rsidP="00BA1F80">
      <w:pPr>
        <w:spacing w:after="120"/>
        <w:rPr>
          <w:rFonts w:asciiTheme="minorHAnsi" w:hAnsiTheme="minorHAnsi" w:cstheme="minorHAnsi"/>
          <w:b/>
          <w:bCs/>
          <w:color w:val="000000" w:themeColor="text1"/>
          <w:lang w:val="el-GR"/>
        </w:rPr>
      </w:pPr>
      <w:r w:rsidRPr="00466073">
        <w:rPr>
          <w:rFonts w:asciiTheme="minorHAnsi" w:hAnsiTheme="minorHAnsi" w:cstheme="minorHAnsi"/>
          <w:b/>
          <w:bCs/>
          <w:color w:val="000000" w:themeColor="text1"/>
          <w:lang w:val="el-GR"/>
        </w:rPr>
        <w:t xml:space="preserve">Β. Διμερές Εμπόριο </w:t>
      </w:r>
    </w:p>
    <w:p w:rsidR="004B4EF3" w:rsidRPr="00466073" w:rsidRDefault="004B4EF3" w:rsidP="004B4EF3">
      <w:pPr>
        <w:jc w:val="both"/>
        <w:rPr>
          <w:rFonts w:asciiTheme="minorHAnsi" w:hAnsiTheme="minorHAnsi" w:cstheme="minorHAnsi"/>
          <w:lang w:val="el-GR"/>
        </w:rPr>
      </w:pPr>
      <w:r w:rsidRPr="00466073">
        <w:rPr>
          <w:rFonts w:asciiTheme="minorHAnsi" w:hAnsiTheme="minorHAnsi" w:cstheme="minorHAnsi"/>
          <w:lang w:val="el-GR"/>
        </w:rPr>
        <w:t>Βασικός στόχος των διμερών μας σχέσεων με την Ουγγαρία, αποτελεί η περαιτέρω ανάπτυξη και διεύρυνση των οικονομικών και εμπορικών σχέσεων. Η Ουγγαρία είναι μια ευρωπαϊκή, ανοιχτή οικονομία, εκτός ευρωζώνης, με εξαγωγικό προσανατολισμό και ση</w:t>
      </w:r>
      <w:r w:rsidR="00F45E2F" w:rsidRPr="00466073">
        <w:rPr>
          <w:rFonts w:asciiTheme="minorHAnsi" w:hAnsiTheme="minorHAnsi" w:cstheme="minorHAnsi"/>
          <w:lang w:val="el-GR"/>
        </w:rPr>
        <w:t>μαντ</w:t>
      </w:r>
      <w:r w:rsidR="00957C2F" w:rsidRPr="00466073">
        <w:rPr>
          <w:rFonts w:asciiTheme="minorHAnsi" w:hAnsiTheme="minorHAnsi" w:cstheme="minorHAnsi"/>
          <w:lang w:val="el-GR"/>
        </w:rPr>
        <w:t>ική βιομηχανία. Γεωγραφικά γειτν</w:t>
      </w:r>
      <w:r w:rsidR="00F45E2F" w:rsidRPr="00466073">
        <w:rPr>
          <w:rFonts w:asciiTheme="minorHAnsi" w:hAnsiTheme="minorHAnsi" w:cstheme="minorHAnsi"/>
          <w:lang w:val="el-GR"/>
        </w:rPr>
        <w:t>ιάζει</w:t>
      </w:r>
      <w:r w:rsidRPr="00466073">
        <w:rPr>
          <w:rFonts w:asciiTheme="minorHAnsi" w:hAnsiTheme="minorHAnsi" w:cstheme="minorHAnsi"/>
          <w:lang w:val="el-GR"/>
        </w:rPr>
        <w:t xml:space="preserve"> -και </w:t>
      </w:r>
      <w:r w:rsidR="002D3A50" w:rsidRPr="00466073">
        <w:rPr>
          <w:rFonts w:asciiTheme="minorHAnsi" w:hAnsiTheme="minorHAnsi" w:cstheme="minorHAnsi"/>
          <w:lang w:val="el-GR"/>
        </w:rPr>
        <w:t xml:space="preserve">σε σημαντικό </w:t>
      </w:r>
      <w:r w:rsidRPr="00466073">
        <w:rPr>
          <w:rFonts w:asciiTheme="minorHAnsi" w:hAnsiTheme="minorHAnsi" w:cstheme="minorHAnsi"/>
          <w:lang w:val="el-GR"/>
        </w:rPr>
        <w:t xml:space="preserve">βαθμό επηρεάζεται- από αναπτυγμένες </w:t>
      </w:r>
      <w:r w:rsidR="00F45E2F" w:rsidRPr="00466073">
        <w:rPr>
          <w:rFonts w:asciiTheme="minorHAnsi" w:hAnsiTheme="minorHAnsi" w:cstheme="minorHAnsi"/>
          <w:lang w:val="el-GR"/>
        </w:rPr>
        <w:t xml:space="preserve">και ισχυρές </w:t>
      </w:r>
      <w:r w:rsidRPr="00466073">
        <w:rPr>
          <w:rFonts w:asciiTheme="minorHAnsi" w:hAnsiTheme="minorHAnsi" w:cstheme="minorHAnsi"/>
          <w:lang w:val="el-GR"/>
        </w:rPr>
        <w:t xml:space="preserve">αγορές όπως </w:t>
      </w:r>
      <w:r w:rsidR="00DB28F9" w:rsidRPr="00466073">
        <w:rPr>
          <w:rFonts w:asciiTheme="minorHAnsi" w:hAnsiTheme="minorHAnsi" w:cstheme="minorHAnsi"/>
          <w:lang w:val="el-GR"/>
        </w:rPr>
        <w:t>της</w:t>
      </w:r>
      <w:r w:rsidRPr="00466073">
        <w:rPr>
          <w:rFonts w:asciiTheme="minorHAnsi" w:hAnsiTheme="minorHAnsi" w:cstheme="minorHAnsi"/>
          <w:lang w:val="el-GR"/>
        </w:rPr>
        <w:t xml:space="preserve"> Γερμανία</w:t>
      </w:r>
      <w:r w:rsidR="00DB28F9" w:rsidRPr="00466073">
        <w:rPr>
          <w:rFonts w:asciiTheme="minorHAnsi" w:hAnsiTheme="minorHAnsi" w:cstheme="minorHAnsi"/>
          <w:lang w:val="el-GR"/>
        </w:rPr>
        <w:t>ς,</w:t>
      </w:r>
      <w:r w:rsidRPr="00466073">
        <w:rPr>
          <w:rFonts w:asciiTheme="minorHAnsi" w:hAnsiTheme="minorHAnsi" w:cstheme="minorHAnsi"/>
          <w:lang w:val="el-GR"/>
        </w:rPr>
        <w:t xml:space="preserve"> Αυστρία</w:t>
      </w:r>
      <w:r w:rsidR="00DB28F9" w:rsidRPr="00466073">
        <w:rPr>
          <w:rFonts w:asciiTheme="minorHAnsi" w:hAnsiTheme="minorHAnsi" w:cstheme="minorHAnsi"/>
          <w:lang w:val="el-GR"/>
        </w:rPr>
        <w:t>ς</w:t>
      </w:r>
      <w:r w:rsidRPr="00466073">
        <w:rPr>
          <w:rFonts w:asciiTheme="minorHAnsi" w:hAnsiTheme="minorHAnsi" w:cstheme="minorHAnsi"/>
          <w:lang w:val="el-GR"/>
        </w:rPr>
        <w:t xml:space="preserve"> και Ιταλία</w:t>
      </w:r>
      <w:r w:rsidR="00DB28F9" w:rsidRPr="00466073">
        <w:rPr>
          <w:rFonts w:asciiTheme="minorHAnsi" w:hAnsiTheme="minorHAnsi" w:cstheme="minorHAnsi"/>
          <w:lang w:val="el-GR"/>
        </w:rPr>
        <w:t>ς</w:t>
      </w:r>
      <w:r w:rsidRPr="00466073">
        <w:rPr>
          <w:rFonts w:asciiTheme="minorHAnsi" w:hAnsiTheme="minorHAnsi" w:cstheme="minorHAnsi"/>
          <w:lang w:val="el-GR"/>
        </w:rPr>
        <w:t xml:space="preserve">. Το εμπορικό ισοζύγιο της Ουγγαρίας εμφανίζεται έντονα πλεονασματικό και οι εξαγωγές της χώρας αποτελούν την ατμομηχανή της οικονομίας. </w:t>
      </w:r>
    </w:p>
    <w:p w:rsidR="00D263F0" w:rsidRPr="00466073" w:rsidRDefault="00D263F0" w:rsidP="00D263F0">
      <w:pPr>
        <w:jc w:val="both"/>
        <w:rPr>
          <w:rFonts w:asciiTheme="minorHAnsi" w:hAnsiTheme="minorHAnsi" w:cstheme="minorHAnsi"/>
          <w:lang w:val="el-GR"/>
        </w:rPr>
      </w:pPr>
    </w:p>
    <w:p w:rsidR="00D263F0" w:rsidRDefault="00D263F0" w:rsidP="00D263F0">
      <w:pPr>
        <w:jc w:val="both"/>
        <w:rPr>
          <w:rFonts w:asciiTheme="minorHAnsi" w:hAnsiTheme="minorHAnsi" w:cstheme="minorHAnsi"/>
          <w:lang w:val="el-GR"/>
        </w:rPr>
      </w:pPr>
      <w:r w:rsidRPr="00466073">
        <w:rPr>
          <w:rFonts w:asciiTheme="minorHAnsi" w:hAnsiTheme="minorHAnsi" w:cstheme="minorHAnsi"/>
          <w:lang w:val="el-GR"/>
        </w:rPr>
        <w:t>Η αξία του συνόλου των εμπορικών συναλλαγών Ουγγαρίας-Ελλάδας εμφανίζει, τα τελευταία έτη, συνεχόμενη αυξητική τάση. Η αξία των ελληνικών εξαγωγών μεταξύ 2012 κ</w:t>
      </w:r>
      <w:r w:rsidR="00AD3250" w:rsidRPr="00466073">
        <w:rPr>
          <w:rFonts w:asciiTheme="minorHAnsi" w:hAnsiTheme="minorHAnsi" w:cstheme="minorHAnsi"/>
          <w:lang w:val="el-GR"/>
        </w:rPr>
        <w:t xml:space="preserve">αι 2020 είχε </w:t>
      </w:r>
      <w:r w:rsidRPr="00466073">
        <w:rPr>
          <w:rFonts w:asciiTheme="minorHAnsi" w:hAnsiTheme="minorHAnsi" w:cstheme="minorHAnsi"/>
          <w:lang w:val="el-GR"/>
        </w:rPr>
        <w:t>υπερδιπλασιαστεί  (αύξηση 110%), ενώ τ</w:t>
      </w:r>
      <w:r w:rsidR="000166EB" w:rsidRPr="00466073">
        <w:rPr>
          <w:rFonts w:asciiTheme="minorHAnsi" w:hAnsiTheme="minorHAnsi" w:cstheme="minorHAnsi"/>
          <w:lang w:val="el-GR"/>
        </w:rPr>
        <w:t>α τελευταία πέντε έτη (2017-2022</w:t>
      </w:r>
      <w:r w:rsidRPr="00466073">
        <w:rPr>
          <w:rFonts w:asciiTheme="minorHAnsi" w:hAnsiTheme="minorHAnsi" w:cstheme="minorHAnsi"/>
          <w:lang w:val="el-GR"/>
        </w:rPr>
        <w:t>) οι αξία των ελλ</w:t>
      </w:r>
      <w:r w:rsidR="000166EB" w:rsidRPr="00466073">
        <w:rPr>
          <w:rFonts w:asciiTheme="minorHAnsi" w:hAnsiTheme="minorHAnsi" w:cstheme="minorHAnsi"/>
          <w:lang w:val="el-GR"/>
        </w:rPr>
        <w:t>ηνικών εξαγωγών αυξήθηκε κατά 49,5</w:t>
      </w:r>
      <w:r w:rsidRPr="00466073">
        <w:rPr>
          <w:rFonts w:asciiTheme="minorHAnsi" w:hAnsiTheme="minorHAnsi" w:cstheme="minorHAnsi"/>
          <w:lang w:val="el-GR"/>
        </w:rPr>
        <w:t xml:space="preserve">%. Αν και υπάρχει σημαντικό περιθώριο βελτίωσης και αύξησης του όγκου και της αξίας των διμερών συναλλαγών, πρέπει να επισημανθεί η ανισορροπία που επικρατεί στο εμπορικό ισοζύγιο, το οποίο παραμένει διαχρονικά ελλειμματικό εις βάρος της Ελλάδος. </w:t>
      </w:r>
      <w:r w:rsidR="000166EB" w:rsidRPr="00466073">
        <w:rPr>
          <w:rFonts w:asciiTheme="minorHAnsi" w:hAnsiTheme="minorHAnsi" w:cstheme="minorHAnsi"/>
          <w:lang w:val="el-GR"/>
        </w:rPr>
        <w:t>Από τον παρακάτω πίνακα, προκύπτει</w:t>
      </w:r>
      <w:r w:rsidR="00AD3250" w:rsidRPr="00466073">
        <w:rPr>
          <w:rFonts w:asciiTheme="minorHAnsi" w:hAnsiTheme="minorHAnsi" w:cstheme="minorHAnsi"/>
          <w:lang w:val="el-GR"/>
        </w:rPr>
        <w:t>,</w:t>
      </w:r>
      <w:r w:rsidR="000166EB" w:rsidRPr="00466073">
        <w:rPr>
          <w:rFonts w:asciiTheme="minorHAnsi" w:hAnsiTheme="minorHAnsi" w:cstheme="minorHAnsi"/>
          <w:lang w:val="el-GR"/>
        </w:rPr>
        <w:t xml:space="preserve"> ότι μόνο τ</w:t>
      </w:r>
      <w:r w:rsidRPr="00466073">
        <w:rPr>
          <w:rFonts w:asciiTheme="minorHAnsi" w:hAnsiTheme="minorHAnsi" w:cstheme="minorHAnsi"/>
          <w:lang w:val="el-GR"/>
        </w:rPr>
        <w:t>ο 2019</w:t>
      </w:r>
      <w:r w:rsidR="000166EB" w:rsidRPr="00466073">
        <w:rPr>
          <w:rFonts w:asciiTheme="minorHAnsi" w:hAnsiTheme="minorHAnsi" w:cstheme="minorHAnsi"/>
          <w:lang w:val="el-GR"/>
        </w:rPr>
        <w:t xml:space="preserve"> σημειώθηκ</w:t>
      </w:r>
      <w:r w:rsidR="00AD3250" w:rsidRPr="00466073">
        <w:rPr>
          <w:rFonts w:asciiTheme="minorHAnsi" w:hAnsiTheme="minorHAnsi" w:cstheme="minorHAnsi"/>
          <w:lang w:val="el-GR"/>
        </w:rPr>
        <w:t>ε</w:t>
      </w:r>
      <w:r w:rsidR="000166EB" w:rsidRPr="00466073">
        <w:rPr>
          <w:rFonts w:asciiTheme="minorHAnsi" w:hAnsiTheme="minorHAnsi" w:cstheme="minorHAnsi"/>
          <w:lang w:val="el-GR"/>
        </w:rPr>
        <w:t xml:space="preserve"> </w:t>
      </w:r>
      <w:r w:rsidR="00F926D2" w:rsidRPr="00466073">
        <w:rPr>
          <w:rFonts w:asciiTheme="minorHAnsi" w:hAnsiTheme="minorHAnsi" w:cstheme="minorHAnsi"/>
          <w:lang w:val="el-GR"/>
        </w:rPr>
        <w:t>αμελητέα αύξηση των ελληνικών εξαγωγών</w:t>
      </w:r>
      <w:r w:rsidRPr="00466073">
        <w:rPr>
          <w:rFonts w:asciiTheme="minorHAnsi" w:hAnsiTheme="minorHAnsi" w:cstheme="minorHAnsi"/>
          <w:lang w:val="el-GR"/>
        </w:rPr>
        <w:t xml:space="preserve"> στην Ουγγαρία</w:t>
      </w:r>
      <w:r w:rsidR="00AD3250" w:rsidRPr="00466073">
        <w:rPr>
          <w:rFonts w:asciiTheme="minorHAnsi" w:hAnsiTheme="minorHAnsi" w:cstheme="minorHAnsi"/>
          <w:lang w:val="el-GR"/>
        </w:rPr>
        <w:t>,</w:t>
      </w:r>
      <w:r w:rsidRPr="00466073">
        <w:rPr>
          <w:rFonts w:asciiTheme="minorHAnsi" w:hAnsiTheme="minorHAnsi" w:cstheme="minorHAnsi"/>
          <w:lang w:val="el-GR"/>
        </w:rPr>
        <w:t xml:space="preserve"> </w:t>
      </w:r>
      <w:r w:rsidR="00F926D2" w:rsidRPr="00466073">
        <w:rPr>
          <w:rFonts w:asciiTheme="minorHAnsi" w:hAnsiTheme="minorHAnsi" w:cstheme="minorHAnsi"/>
          <w:lang w:val="el-GR"/>
        </w:rPr>
        <w:t xml:space="preserve">μόλις </w:t>
      </w:r>
      <w:r w:rsidRPr="00466073">
        <w:rPr>
          <w:rFonts w:asciiTheme="minorHAnsi" w:hAnsiTheme="minorHAnsi" w:cstheme="minorHAnsi"/>
          <w:lang w:val="el-GR"/>
        </w:rPr>
        <w:t>κατά €3 εκ. (2</w:t>
      </w:r>
      <w:r w:rsidR="00F926D2" w:rsidRPr="00466073">
        <w:rPr>
          <w:rFonts w:asciiTheme="minorHAnsi" w:hAnsiTheme="minorHAnsi" w:cstheme="minorHAnsi"/>
          <w:lang w:val="el-GR"/>
        </w:rPr>
        <w:t xml:space="preserve">,63%) σε σχέση με το 2018, ενώ </w:t>
      </w:r>
      <w:r w:rsidRPr="00466073">
        <w:rPr>
          <w:rFonts w:asciiTheme="minorHAnsi" w:hAnsiTheme="minorHAnsi" w:cstheme="minorHAnsi"/>
          <w:lang w:val="el-GR"/>
        </w:rPr>
        <w:t>οι εισαγωγές μ</w:t>
      </w:r>
      <w:r w:rsidR="00AD3250" w:rsidRPr="00466073">
        <w:rPr>
          <w:rFonts w:asciiTheme="minorHAnsi" w:hAnsiTheme="minorHAnsi" w:cstheme="minorHAnsi"/>
          <w:lang w:val="el-GR"/>
        </w:rPr>
        <w:t xml:space="preserve">ας από Ουγγαρία, το ίδιο έτος, </w:t>
      </w:r>
      <w:r w:rsidRPr="00466073">
        <w:rPr>
          <w:rFonts w:asciiTheme="minorHAnsi" w:hAnsiTheme="minorHAnsi" w:cstheme="minorHAnsi"/>
          <w:lang w:val="el-GR"/>
        </w:rPr>
        <w:t xml:space="preserve">αυξήθηκαν κατά €57,7 εκ. (12,85%), με συνέπεια τη περαιτέρω διεύρυνση του εμπορικού μας ελλείμματος. </w:t>
      </w:r>
    </w:p>
    <w:p w:rsidR="002E7491" w:rsidRDefault="002E7491" w:rsidP="00D263F0">
      <w:pPr>
        <w:jc w:val="both"/>
        <w:rPr>
          <w:rFonts w:asciiTheme="minorHAnsi" w:hAnsiTheme="minorHAnsi" w:cstheme="minorHAnsi"/>
          <w:lang w:val="el-GR"/>
        </w:rPr>
      </w:pPr>
    </w:p>
    <w:p w:rsidR="002E7491" w:rsidRDefault="002E7491" w:rsidP="00D263F0">
      <w:pPr>
        <w:jc w:val="both"/>
        <w:rPr>
          <w:rFonts w:asciiTheme="minorHAnsi" w:hAnsiTheme="minorHAnsi" w:cstheme="minorHAnsi"/>
          <w:lang w:val="el-GR"/>
        </w:rPr>
      </w:pPr>
    </w:p>
    <w:p w:rsidR="002E7491" w:rsidRPr="00466073" w:rsidRDefault="002E7491" w:rsidP="00D263F0">
      <w:pPr>
        <w:jc w:val="both"/>
        <w:rPr>
          <w:rFonts w:asciiTheme="minorHAnsi" w:hAnsiTheme="minorHAnsi" w:cstheme="minorHAnsi"/>
          <w:lang w:val="el-GR"/>
        </w:rPr>
      </w:pPr>
    </w:p>
    <w:p w:rsidR="003D45B4" w:rsidRPr="00466073" w:rsidRDefault="003D45B4" w:rsidP="004B4EF3">
      <w:pPr>
        <w:jc w:val="both"/>
        <w:rPr>
          <w:rFonts w:asciiTheme="minorHAnsi" w:hAnsiTheme="minorHAnsi" w:cstheme="minorHAnsi"/>
          <w:lang w:val="el-GR"/>
        </w:rPr>
      </w:pPr>
    </w:p>
    <w:p w:rsidR="004B4EF3" w:rsidRPr="00466073" w:rsidRDefault="004B4EF3" w:rsidP="004B4EF3">
      <w:pPr>
        <w:widowControl w:val="0"/>
        <w:autoSpaceDE w:val="0"/>
        <w:autoSpaceDN w:val="0"/>
        <w:adjustRightInd w:val="0"/>
        <w:spacing w:line="292" w:lineRule="exact"/>
        <w:jc w:val="center"/>
        <w:rPr>
          <w:rFonts w:asciiTheme="minorHAnsi" w:hAnsiTheme="minorHAnsi" w:cstheme="minorHAnsi"/>
          <w:b/>
          <w:lang w:val="el-GR"/>
        </w:rPr>
      </w:pPr>
      <w:r w:rsidRPr="00466073">
        <w:rPr>
          <w:rFonts w:asciiTheme="minorHAnsi" w:hAnsiTheme="minorHAnsi" w:cstheme="minorHAnsi"/>
          <w:b/>
          <w:lang w:val="el-GR"/>
        </w:rPr>
        <w:t>Διμερές Εμπόριο Ουγγαρίας-Ελλάδος</w:t>
      </w:r>
    </w:p>
    <w:tbl>
      <w:tblPr>
        <w:tblW w:w="98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809"/>
        <w:gridCol w:w="1331"/>
        <w:gridCol w:w="1331"/>
        <w:gridCol w:w="1331"/>
        <w:gridCol w:w="1331"/>
        <w:gridCol w:w="1335"/>
        <w:gridCol w:w="1341"/>
      </w:tblGrid>
      <w:tr w:rsidR="00F926D2" w:rsidRPr="00466073" w:rsidTr="00AD3250">
        <w:trPr>
          <w:jc w:val="center"/>
        </w:trPr>
        <w:tc>
          <w:tcPr>
            <w:tcW w:w="1859" w:type="dxa"/>
            <w:tcBorders>
              <w:bottom w:val="double" w:sz="4" w:space="0" w:color="auto"/>
            </w:tcBorders>
          </w:tcPr>
          <w:p w:rsidR="00F926D2" w:rsidRPr="00466073" w:rsidRDefault="00F926D2" w:rsidP="006833F9">
            <w:pPr>
              <w:widowControl w:val="0"/>
              <w:autoSpaceDE w:val="0"/>
              <w:autoSpaceDN w:val="0"/>
              <w:adjustRightInd w:val="0"/>
              <w:spacing w:line="292" w:lineRule="exact"/>
              <w:jc w:val="center"/>
              <w:rPr>
                <w:rFonts w:asciiTheme="minorHAnsi" w:hAnsiTheme="minorHAnsi" w:cstheme="minorHAnsi"/>
                <w:lang w:val="el-GR"/>
              </w:rPr>
            </w:pPr>
            <w:r w:rsidRPr="00466073">
              <w:rPr>
                <w:rFonts w:asciiTheme="minorHAnsi" w:hAnsiTheme="minorHAnsi" w:cstheme="minorHAnsi"/>
                <w:lang w:val="el-GR"/>
              </w:rPr>
              <w:t xml:space="preserve">(σε </w:t>
            </w:r>
            <w:r w:rsidRPr="00466073">
              <w:rPr>
                <w:rFonts w:asciiTheme="minorHAnsi" w:eastAsia="MS Gothic" w:hAnsiTheme="minorHAnsi" w:cstheme="minorHAnsi"/>
                <w:lang w:val="el-GR"/>
              </w:rPr>
              <w:t>€</w:t>
            </w:r>
            <w:r w:rsidRPr="00466073">
              <w:rPr>
                <w:rFonts w:asciiTheme="minorHAnsi" w:hAnsiTheme="minorHAnsi" w:cstheme="minorHAnsi"/>
                <w:lang w:val="el-GR"/>
              </w:rPr>
              <w:t>)</w:t>
            </w:r>
          </w:p>
        </w:tc>
        <w:tc>
          <w:tcPr>
            <w:tcW w:w="1310" w:type="dxa"/>
            <w:tcBorders>
              <w:bottom w:val="double" w:sz="4" w:space="0" w:color="auto"/>
            </w:tcBorders>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2017</w:t>
            </w:r>
          </w:p>
        </w:tc>
        <w:tc>
          <w:tcPr>
            <w:tcW w:w="1311" w:type="dxa"/>
            <w:tcBorders>
              <w:bottom w:val="double" w:sz="4" w:space="0" w:color="auto"/>
            </w:tcBorders>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2018</w:t>
            </w:r>
          </w:p>
        </w:tc>
        <w:tc>
          <w:tcPr>
            <w:tcW w:w="1311" w:type="dxa"/>
            <w:tcBorders>
              <w:bottom w:val="double" w:sz="4" w:space="0" w:color="auto"/>
            </w:tcBorders>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2019</w:t>
            </w:r>
          </w:p>
        </w:tc>
        <w:tc>
          <w:tcPr>
            <w:tcW w:w="1311" w:type="dxa"/>
            <w:tcBorders>
              <w:bottom w:val="double" w:sz="4" w:space="0" w:color="auto"/>
            </w:tcBorders>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2020</w:t>
            </w:r>
          </w:p>
        </w:tc>
        <w:tc>
          <w:tcPr>
            <w:tcW w:w="1354" w:type="dxa"/>
          </w:tcPr>
          <w:p w:rsidR="00F926D2" w:rsidRPr="0095699B" w:rsidRDefault="00F926D2" w:rsidP="00BA1F80">
            <w:pPr>
              <w:widowControl w:val="0"/>
              <w:autoSpaceDE w:val="0"/>
              <w:autoSpaceDN w:val="0"/>
              <w:adjustRightInd w:val="0"/>
              <w:spacing w:line="292" w:lineRule="exact"/>
              <w:ind w:right="-40"/>
              <w:jc w:val="center"/>
              <w:rPr>
                <w:rFonts w:asciiTheme="minorHAnsi" w:hAnsiTheme="minorHAnsi" w:cstheme="minorHAnsi"/>
                <w:lang w:val="el-GR"/>
              </w:rPr>
            </w:pPr>
            <w:r w:rsidRPr="0095699B">
              <w:rPr>
                <w:rFonts w:asciiTheme="minorHAnsi" w:hAnsiTheme="minorHAnsi" w:cstheme="minorHAnsi"/>
                <w:sz w:val="22"/>
                <w:szCs w:val="22"/>
                <w:lang w:val="el-GR"/>
              </w:rPr>
              <w:t>2021</w:t>
            </w:r>
          </w:p>
        </w:tc>
        <w:tc>
          <w:tcPr>
            <w:tcW w:w="1351" w:type="dxa"/>
          </w:tcPr>
          <w:p w:rsidR="00F926D2" w:rsidRPr="0095699B" w:rsidRDefault="00F926D2" w:rsidP="00951BDB">
            <w:pPr>
              <w:widowControl w:val="0"/>
              <w:autoSpaceDE w:val="0"/>
              <w:autoSpaceDN w:val="0"/>
              <w:adjustRightInd w:val="0"/>
              <w:spacing w:line="292" w:lineRule="exact"/>
              <w:ind w:right="-40"/>
              <w:jc w:val="center"/>
              <w:rPr>
                <w:rFonts w:asciiTheme="minorHAnsi" w:hAnsiTheme="minorHAnsi" w:cstheme="minorHAnsi"/>
                <w:lang w:val="el-GR"/>
              </w:rPr>
            </w:pPr>
            <w:r w:rsidRPr="0095699B">
              <w:rPr>
                <w:rFonts w:asciiTheme="minorHAnsi" w:hAnsiTheme="minorHAnsi" w:cstheme="minorHAnsi"/>
                <w:sz w:val="22"/>
                <w:szCs w:val="22"/>
                <w:lang w:val="el-GR"/>
              </w:rPr>
              <w:t>2022</w:t>
            </w:r>
          </w:p>
        </w:tc>
      </w:tr>
      <w:tr w:rsidR="00F926D2" w:rsidRPr="00466073" w:rsidTr="002D2B5D">
        <w:trPr>
          <w:jc w:val="center"/>
        </w:trPr>
        <w:tc>
          <w:tcPr>
            <w:tcW w:w="1859" w:type="dxa"/>
            <w:tcBorders>
              <w:bottom w:val="double" w:sz="4" w:space="0" w:color="auto"/>
            </w:tcBorders>
            <w:shd w:val="clear" w:color="auto" w:fill="BFBFBF" w:themeFill="background1" w:themeFillShade="BF"/>
          </w:tcPr>
          <w:p w:rsidR="00F926D2" w:rsidRPr="00466073" w:rsidRDefault="00F926D2" w:rsidP="006833F9">
            <w:pPr>
              <w:widowControl w:val="0"/>
              <w:autoSpaceDE w:val="0"/>
              <w:autoSpaceDN w:val="0"/>
              <w:adjustRightInd w:val="0"/>
              <w:spacing w:line="292" w:lineRule="exact"/>
              <w:rPr>
                <w:rFonts w:asciiTheme="minorHAnsi" w:hAnsiTheme="minorHAnsi" w:cstheme="minorHAnsi"/>
                <w:lang w:val="el-GR"/>
              </w:rPr>
            </w:pPr>
            <w:proofErr w:type="spellStart"/>
            <w:r w:rsidRPr="00466073">
              <w:rPr>
                <w:rFonts w:asciiTheme="minorHAnsi" w:hAnsiTheme="minorHAnsi" w:cstheme="minorHAnsi"/>
                <w:b/>
              </w:rPr>
              <w:t>Εξαγωγές</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προς</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Ελλάδα</w:t>
            </w:r>
            <w:proofErr w:type="spellEnd"/>
          </w:p>
        </w:tc>
        <w:tc>
          <w:tcPr>
            <w:tcW w:w="1310" w:type="dxa"/>
            <w:tcBorders>
              <w:bottom w:val="double" w:sz="4" w:space="0" w:color="auto"/>
            </w:tcBorders>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382.279.220</w:t>
            </w:r>
          </w:p>
        </w:tc>
        <w:tc>
          <w:tcPr>
            <w:tcW w:w="1311" w:type="dxa"/>
            <w:tcBorders>
              <w:bottom w:val="double" w:sz="4" w:space="0" w:color="auto"/>
            </w:tcBorders>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448.781.456</w:t>
            </w:r>
          </w:p>
        </w:tc>
        <w:tc>
          <w:tcPr>
            <w:tcW w:w="1311" w:type="dxa"/>
            <w:tcBorders>
              <w:bottom w:val="double" w:sz="4" w:space="0" w:color="auto"/>
            </w:tcBorders>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rPr>
              <w:t>506.490.982</w:t>
            </w:r>
          </w:p>
        </w:tc>
        <w:tc>
          <w:tcPr>
            <w:tcW w:w="1311" w:type="dxa"/>
            <w:tcBorders>
              <w:bottom w:val="double" w:sz="4" w:space="0" w:color="auto"/>
            </w:tcBorders>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472.838.691</w:t>
            </w:r>
          </w:p>
        </w:tc>
        <w:tc>
          <w:tcPr>
            <w:tcW w:w="1354" w:type="dxa"/>
            <w:shd w:val="clear" w:color="auto" w:fill="BFBFBF" w:themeFill="background1" w:themeFillShade="BF"/>
            <w:vAlign w:val="center"/>
          </w:tcPr>
          <w:p w:rsidR="00F926D2" w:rsidRPr="0095699B" w:rsidRDefault="00F926D2" w:rsidP="009F3341">
            <w:pPr>
              <w:widowControl w:val="0"/>
              <w:autoSpaceDE w:val="0"/>
              <w:autoSpaceDN w:val="0"/>
              <w:adjustRightInd w:val="0"/>
              <w:spacing w:line="292" w:lineRule="exact"/>
              <w:ind w:right="-40"/>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lang w:val="el-GR"/>
              </w:rPr>
              <w:t>559</w:t>
            </w:r>
            <w:r w:rsidRPr="0095699B">
              <w:rPr>
                <w:rFonts w:asciiTheme="minorHAnsi" w:hAnsiTheme="minorHAnsi" w:cstheme="minorHAnsi"/>
                <w:color w:val="000000" w:themeColor="text1"/>
                <w:sz w:val="22"/>
                <w:szCs w:val="22"/>
              </w:rPr>
              <w:t>.</w:t>
            </w:r>
            <w:r w:rsidRPr="0095699B">
              <w:rPr>
                <w:rFonts w:asciiTheme="minorHAnsi" w:hAnsiTheme="minorHAnsi" w:cstheme="minorHAnsi"/>
                <w:color w:val="000000" w:themeColor="text1"/>
                <w:sz w:val="22"/>
                <w:szCs w:val="22"/>
                <w:lang w:val="el-GR"/>
              </w:rPr>
              <w:t>469</w:t>
            </w:r>
            <w:r w:rsidRPr="0095699B">
              <w:rPr>
                <w:rFonts w:asciiTheme="minorHAnsi" w:hAnsiTheme="minorHAnsi" w:cstheme="minorHAnsi"/>
                <w:color w:val="000000" w:themeColor="text1"/>
                <w:sz w:val="22"/>
                <w:szCs w:val="22"/>
              </w:rPr>
              <w:t>.</w:t>
            </w:r>
            <w:r w:rsidRPr="0095699B">
              <w:rPr>
                <w:rFonts w:asciiTheme="minorHAnsi" w:hAnsiTheme="minorHAnsi" w:cstheme="minorHAnsi"/>
                <w:color w:val="000000" w:themeColor="text1"/>
                <w:sz w:val="22"/>
                <w:szCs w:val="22"/>
                <w:lang w:val="el-GR"/>
              </w:rPr>
              <w:t>997</w:t>
            </w:r>
          </w:p>
        </w:tc>
        <w:tc>
          <w:tcPr>
            <w:tcW w:w="1351" w:type="dxa"/>
            <w:shd w:val="clear" w:color="auto" w:fill="BFBFBF" w:themeFill="background1" w:themeFillShade="BF"/>
            <w:vAlign w:val="center"/>
          </w:tcPr>
          <w:p w:rsidR="00F926D2" w:rsidRPr="0095699B" w:rsidRDefault="002D2B5D" w:rsidP="00951BDB">
            <w:pPr>
              <w:widowControl w:val="0"/>
              <w:autoSpaceDE w:val="0"/>
              <w:autoSpaceDN w:val="0"/>
              <w:adjustRightInd w:val="0"/>
              <w:spacing w:line="292" w:lineRule="exact"/>
              <w:ind w:right="-40"/>
              <w:jc w:val="center"/>
              <w:rPr>
                <w:rFonts w:asciiTheme="minorHAnsi" w:hAnsiTheme="minorHAnsi" w:cstheme="minorHAnsi"/>
                <w:b/>
                <w:color w:val="000000" w:themeColor="text1"/>
                <w:lang w:val="el-GR"/>
              </w:rPr>
            </w:pPr>
            <w:r w:rsidRPr="0095699B">
              <w:rPr>
                <w:rFonts w:asciiTheme="minorHAnsi" w:hAnsiTheme="minorHAnsi" w:cstheme="minorHAnsi"/>
                <w:b/>
                <w:color w:val="000000" w:themeColor="text1"/>
                <w:sz w:val="22"/>
                <w:szCs w:val="22"/>
                <w:highlight w:val="lightGray"/>
                <w:shd w:val="clear" w:color="auto" w:fill="FFFFFF"/>
              </w:rPr>
              <w:t>724</w:t>
            </w:r>
            <w:r w:rsidRPr="0095699B">
              <w:rPr>
                <w:rFonts w:asciiTheme="minorHAnsi" w:hAnsiTheme="minorHAnsi" w:cstheme="minorHAnsi"/>
                <w:b/>
                <w:color w:val="000000" w:themeColor="text1"/>
                <w:sz w:val="22"/>
                <w:szCs w:val="22"/>
                <w:highlight w:val="lightGray"/>
                <w:shd w:val="clear" w:color="auto" w:fill="FFFFFF"/>
                <w:lang w:val="el-GR"/>
              </w:rPr>
              <w:t>.</w:t>
            </w:r>
            <w:r w:rsidRPr="0095699B">
              <w:rPr>
                <w:rFonts w:asciiTheme="minorHAnsi" w:hAnsiTheme="minorHAnsi" w:cstheme="minorHAnsi"/>
                <w:b/>
                <w:color w:val="000000" w:themeColor="text1"/>
                <w:sz w:val="22"/>
                <w:szCs w:val="22"/>
                <w:highlight w:val="lightGray"/>
                <w:shd w:val="clear" w:color="auto" w:fill="FFFFFF"/>
              </w:rPr>
              <w:t>633</w:t>
            </w:r>
            <w:r w:rsidRPr="0095699B">
              <w:rPr>
                <w:rFonts w:asciiTheme="minorHAnsi" w:hAnsiTheme="minorHAnsi" w:cstheme="minorHAnsi"/>
                <w:b/>
                <w:color w:val="000000" w:themeColor="text1"/>
                <w:sz w:val="22"/>
                <w:szCs w:val="22"/>
                <w:highlight w:val="lightGray"/>
                <w:shd w:val="clear" w:color="auto" w:fill="FFFFFF"/>
                <w:lang w:val="el-GR"/>
              </w:rPr>
              <w:t>.</w:t>
            </w:r>
            <w:r w:rsidR="00F926D2" w:rsidRPr="0095699B">
              <w:rPr>
                <w:rFonts w:asciiTheme="minorHAnsi" w:hAnsiTheme="minorHAnsi" w:cstheme="minorHAnsi"/>
                <w:b/>
                <w:color w:val="000000" w:themeColor="text1"/>
                <w:sz w:val="22"/>
                <w:szCs w:val="22"/>
                <w:highlight w:val="lightGray"/>
                <w:shd w:val="clear" w:color="auto" w:fill="FFFFFF"/>
              </w:rPr>
              <w:t>874</w:t>
            </w:r>
          </w:p>
        </w:tc>
      </w:tr>
      <w:tr w:rsidR="00F926D2" w:rsidRPr="00466073" w:rsidTr="00AD3250">
        <w:trPr>
          <w:jc w:val="center"/>
        </w:trPr>
        <w:tc>
          <w:tcPr>
            <w:tcW w:w="1859" w:type="dxa"/>
            <w:tcBorders>
              <w:bottom w:val="double" w:sz="4" w:space="0" w:color="auto"/>
            </w:tcBorders>
          </w:tcPr>
          <w:p w:rsidR="00F926D2" w:rsidRPr="00466073" w:rsidRDefault="00F926D2" w:rsidP="00966832">
            <w:pPr>
              <w:widowControl w:val="0"/>
              <w:autoSpaceDE w:val="0"/>
              <w:autoSpaceDN w:val="0"/>
              <w:adjustRightInd w:val="0"/>
              <w:spacing w:line="292" w:lineRule="exact"/>
              <w:rPr>
                <w:rFonts w:asciiTheme="minorHAnsi" w:hAnsiTheme="minorHAnsi" w:cstheme="minorHAnsi"/>
                <w:b/>
                <w:lang w:val="el-GR"/>
              </w:rPr>
            </w:pPr>
            <w:r w:rsidRPr="00466073">
              <w:rPr>
                <w:rFonts w:asciiTheme="minorHAnsi" w:hAnsiTheme="minorHAnsi" w:cstheme="minorHAnsi"/>
                <w:lang w:val="el-GR"/>
              </w:rPr>
              <w:t>Εξαγωγές πετρελαιοειδών (Σ.Ο.27)</w:t>
            </w:r>
          </w:p>
        </w:tc>
        <w:tc>
          <w:tcPr>
            <w:tcW w:w="1310" w:type="dxa"/>
            <w:tcBorders>
              <w:bottom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3.193.875</w:t>
            </w:r>
          </w:p>
        </w:tc>
        <w:tc>
          <w:tcPr>
            <w:tcW w:w="1311" w:type="dxa"/>
            <w:tcBorders>
              <w:bottom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3.517.457</w:t>
            </w:r>
          </w:p>
        </w:tc>
        <w:tc>
          <w:tcPr>
            <w:tcW w:w="1311" w:type="dxa"/>
            <w:tcBorders>
              <w:bottom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3.360.620</w:t>
            </w:r>
          </w:p>
        </w:tc>
        <w:tc>
          <w:tcPr>
            <w:tcW w:w="1311" w:type="dxa"/>
            <w:tcBorders>
              <w:bottom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3.223.224</w:t>
            </w:r>
          </w:p>
        </w:tc>
        <w:tc>
          <w:tcPr>
            <w:tcW w:w="1354" w:type="dxa"/>
            <w:vAlign w:val="center"/>
          </w:tcPr>
          <w:p w:rsidR="00F926D2" w:rsidRPr="0095699B" w:rsidRDefault="00F926D2" w:rsidP="009F3341">
            <w:pPr>
              <w:widowControl w:val="0"/>
              <w:autoSpaceDE w:val="0"/>
              <w:autoSpaceDN w:val="0"/>
              <w:adjustRightInd w:val="0"/>
              <w:spacing w:line="292" w:lineRule="exact"/>
              <w:ind w:right="-40"/>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shd w:val="clear" w:color="auto" w:fill="FFFFFF"/>
              </w:rPr>
              <w:t>5.300.273</w:t>
            </w:r>
          </w:p>
        </w:tc>
        <w:tc>
          <w:tcPr>
            <w:tcW w:w="1351" w:type="dxa"/>
            <w:vAlign w:val="center"/>
          </w:tcPr>
          <w:p w:rsidR="00F926D2" w:rsidRPr="0095699B" w:rsidRDefault="00F926D2" w:rsidP="00951BDB">
            <w:pPr>
              <w:widowControl w:val="0"/>
              <w:autoSpaceDE w:val="0"/>
              <w:autoSpaceDN w:val="0"/>
              <w:adjustRightInd w:val="0"/>
              <w:spacing w:line="292" w:lineRule="exact"/>
              <w:ind w:right="-40"/>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lang w:val="el-GR"/>
              </w:rPr>
              <w:t>5.577.665</w:t>
            </w:r>
          </w:p>
        </w:tc>
      </w:tr>
      <w:tr w:rsidR="00F926D2" w:rsidRPr="00466073" w:rsidTr="00AD3250">
        <w:trPr>
          <w:jc w:val="center"/>
        </w:trPr>
        <w:tc>
          <w:tcPr>
            <w:tcW w:w="1859" w:type="dxa"/>
            <w:tcBorders>
              <w:bottom w:val="double" w:sz="4" w:space="0" w:color="auto"/>
            </w:tcBorders>
          </w:tcPr>
          <w:p w:rsidR="00F926D2" w:rsidRPr="00466073" w:rsidRDefault="00F926D2" w:rsidP="00BA1F80">
            <w:pPr>
              <w:widowControl w:val="0"/>
              <w:autoSpaceDE w:val="0"/>
              <w:autoSpaceDN w:val="0"/>
              <w:adjustRightInd w:val="0"/>
              <w:spacing w:line="292" w:lineRule="exact"/>
              <w:rPr>
                <w:rFonts w:asciiTheme="minorHAnsi" w:hAnsiTheme="minorHAnsi" w:cstheme="minorHAnsi"/>
                <w:b/>
                <w:lang w:val="el-GR"/>
              </w:rPr>
            </w:pPr>
            <w:r w:rsidRPr="00466073">
              <w:rPr>
                <w:rFonts w:asciiTheme="minorHAnsi" w:hAnsiTheme="minorHAnsi" w:cstheme="minorHAnsi"/>
                <w:lang w:val="el-GR"/>
              </w:rPr>
              <w:t>Εξαγωγές χωρίς</w:t>
            </w:r>
            <w:r w:rsidRPr="00466073">
              <w:rPr>
                <w:rFonts w:asciiTheme="minorHAnsi" w:hAnsiTheme="minorHAnsi" w:cstheme="minorHAnsi"/>
                <w:b/>
                <w:lang w:val="el-GR"/>
              </w:rPr>
              <w:t xml:space="preserve"> </w:t>
            </w:r>
            <w:r w:rsidRPr="00466073">
              <w:rPr>
                <w:rFonts w:asciiTheme="minorHAnsi" w:hAnsiTheme="minorHAnsi" w:cstheme="minorHAnsi"/>
                <w:lang w:val="el-GR"/>
              </w:rPr>
              <w:t>πετρελαιοειδή</w:t>
            </w:r>
          </w:p>
        </w:tc>
        <w:tc>
          <w:tcPr>
            <w:tcW w:w="1310" w:type="dxa"/>
            <w:tcBorders>
              <w:bottom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379.085.345</w:t>
            </w:r>
          </w:p>
        </w:tc>
        <w:tc>
          <w:tcPr>
            <w:tcW w:w="1311" w:type="dxa"/>
            <w:tcBorders>
              <w:bottom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445.263.999</w:t>
            </w:r>
          </w:p>
        </w:tc>
        <w:tc>
          <w:tcPr>
            <w:tcW w:w="1311" w:type="dxa"/>
            <w:tcBorders>
              <w:bottom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503.130.362</w:t>
            </w:r>
          </w:p>
        </w:tc>
        <w:tc>
          <w:tcPr>
            <w:tcW w:w="1311" w:type="dxa"/>
            <w:tcBorders>
              <w:bottom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469.615.467</w:t>
            </w:r>
          </w:p>
        </w:tc>
        <w:tc>
          <w:tcPr>
            <w:tcW w:w="1354" w:type="dxa"/>
            <w:vAlign w:val="center"/>
          </w:tcPr>
          <w:p w:rsidR="00F926D2" w:rsidRPr="0095699B" w:rsidRDefault="00F926D2" w:rsidP="009F3341">
            <w:pPr>
              <w:widowControl w:val="0"/>
              <w:autoSpaceDE w:val="0"/>
              <w:autoSpaceDN w:val="0"/>
              <w:adjustRightInd w:val="0"/>
              <w:spacing w:line="292" w:lineRule="exact"/>
              <w:ind w:right="-40"/>
              <w:jc w:val="center"/>
              <w:rPr>
                <w:rFonts w:asciiTheme="minorHAnsi" w:hAnsiTheme="minorHAnsi" w:cstheme="minorHAnsi"/>
                <w:color w:val="000000" w:themeColor="text1"/>
              </w:rPr>
            </w:pPr>
            <w:r w:rsidRPr="0095699B">
              <w:rPr>
                <w:rFonts w:asciiTheme="minorHAnsi" w:hAnsiTheme="minorHAnsi" w:cstheme="minorHAnsi"/>
                <w:color w:val="000000" w:themeColor="text1"/>
                <w:sz w:val="22"/>
                <w:szCs w:val="22"/>
              </w:rPr>
              <w:t>554.169.724</w:t>
            </w:r>
          </w:p>
        </w:tc>
        <w:tc>
          <w:tcPr>
            <w:tcW w:w="1351" w:type="dxa"/>
            <w:vAlign w:val="center"/>
          </w:tcPr>
          <w:p w:rsidR="00F926D2" w:rsidRPr="0095699B" w:rsidRDefault="00F926D2" w:rsidP="00951BDB">
            <w:pPr>
              <w:widowControl w:val="0"/>
              <w:autoSpaceDE w:val="0"/>
              <w:autoSpaceDN w:val="0"/>
              <w:adjustRightInd w:val="0"/>
              <w:spacing w:line="292" w:lineRule="exact"/>
              <w:ind w:right="-40"/>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lang w:val="el-GR"/>
              </w:rPr>
              <w:t>719</w:t>
            </w:r>
            <w:r w:rsidR="002D2B5D" w:rsidRPr="0095699B">
              <w:rPr>
                <w:rFonts w:asciiTheme="minorHAnsi" w:hAnsiTheme="minorHAnsi" w:cstheme="minorHAnsi"/>
                <w:color w:val="000000" w:themeColor="text1"/>
                <w:sz w:val="22"/>
                <w:szCs w:val="22"/>
                <w:lang w:val="el-GR"/>
              </w:rPr>
              <w:t>.</w:t>
            </w:r>
            <w:r w:rsidRPr="0095699B">
              <w:rPr>
                <w:rFonts w:asciiTheme="minorHAnsi" w:hAnsiTheme="minorHAnsi" w:cstheme="minorHAnsi"/>
                <w:color w:val="000000" w:themeColor="text1"/>
                <w:sz w:val="22"/>
                <w:szCs w:val="22"/>
                <w:lang w:val="el-GR"/>
              </w:rPr>
              <w:t>056.209</w:t>
            </w:r>
          </w:p>
        </w:tc>
      </w:tr>
      <w:tr w:rsidR="00F926D2" w:rsidRPr="00466073" w:rsidTr="002D2B5D">
        <w:trPr>
          <w:jc w:val="center"/>
        </w:trPr>
        <w:tc>
          <w:tcPr>
            <w:tcW w:w="1859" w:type="dxa"/>
            <w:tcBorders>
              <w:top w:val="double" w:sz="4" w:space="0" w:color="auto"/>
            </w:tcBorders>
            <w:shd w:val="clear" w:color="auto" w:fill="BFBFBF" w:themeFill="background1" w:themeFillShade="BF"/>
          </w:tcPr>
          <w:p w:rsidR="00F926D2" w:rsidRPr="00466073" w:rsidRDefault="00F926D2" w:rsidP="006833F9">
            <w:pPr>
              <w:widowControl w:val="0"/>
              <w:autoSpaceDE w:val="0"/>
              <w:autoSpaceDN w:val="0"/>
              <w:adjustRightInd w:val="0"/>
              <w:spacing w:line="292" w:lineRule="exact"/>
              <w:rPr>
                <w:rFonts w:asciiTheme="minorHAnsi" w:hAnsiTheme="minorHAnsi" w:cstheme="minorHAnsi"/>
                <w:lang w:val="el-GR"/>
              </w:rPr>
            </w:pPr>
            <w:proofErr w:type="spellStart"/>
            <w:r w:rsidRPr="00466073">
              <w:rPr>
                <w:rFonts w:asciiTheme="minorHAnsi" w:hAnsiTheme="minorHAnsi" w:cstheme="minorHAnsi"/>
                <w:b/>
              </w:rPr>
              <w:t>Εισαγωγές</w:t>
            </w:r>
            <w:proofErr w:type="spellEnd"/>
            <w:r w:rsidRPr="00466073">
              <w:rPr>
                <w:rFonts w:asciiTheme="minorHAnsi" w:hAnsiTheme="minorHAnsi" w:cstheme="minorHAnsi"/>
                <w:b/>
              </w:rPr>
              <w:t xml:space="preserve"> </w:t>
            </w:r>
            <w:proofErr w:type="spellStart"/>
            <w:r w:rsidRPr="00466073">
              <w:rPr>
                <w:rFonts w:asciiTheme="minorHAnsi" w:hAnsiTheme="minorHAnsi" w:cstheme="minorHAnsi"/>
              </w:rPr>
              <w:t>από</w:t>
            </w:r>
            <w:proofErr w:type="spellEnd"/>
            <w:r w:rsidRPr="00466073">
              <w:rPr>
                <w:rFonts w:asciiTheme="minorHAnsi" w:hAnsiTheme="minorHAnsi" w:cstheme="minorHAnsi"/>
              </w:rPr>
              <w:t xml:space="preserve"> </w:t>
            </w:r>
            <w:proofErr w:type="spellStart"/>
            <w:r w:rsidRPr="00466073">
              <w:rPr>
                <w:rFonts w:asciiTheme="minorHAnsi" w:hAnsiTheme="minorHAnsi" w:cstheme="minorHAnsi"/>
              </w:rPr>
              <w:t>Ελλάδα</w:t>
            </w:r>
            <w:proofErr w:type="spellEnd"/>
          </w:p>
        </w:tc>
        <w:tc>
          <w:tcPr>
            <w:tcW w:w="1310" w:type="dxa"/>
            <w:tcBorders>
              <w:top w:val="double" w:sz="4" w:space="0" w:color="auto"/>
            </w:tcBorders>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109.087.341</w:t>
            </w:r>
          </w:p>
        </w:tc>
        <w:tc>
          <w:tcPr>
            <w:tcW w:w="1311" w:type="dxa"/>
            <w:tcBorders>
              <w:top w:val="double" w:sz="4" w:space="0" w:color="auto"/>
            </w:tcBorders>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116.286.424</w:t>
            </w:r>
          </w:p>
        </w:tc>
        <w:tc>
          <w:tcPr>
            <w:tcW w:w="1311" w:type="dxa"/>
            <w:tcBorders>
              <w:top w:val="double" w:sz="4" w:space="0" w:color="auto"/>
            </w:tcBorders>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rPr>
              <w:t>119.343.421</w:t>
            </w:r>
          </w:p>
        </w:tc>
        <w:tc>
          <w:tcPr>
            <w:tcW w:w="1311" w:type="dxa"/>
            <w:tcBorders>
              <w:top w:val="double" w:sz="4" w:space="0" w:color="auto"/>
            </w:tcBorders>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142.640.785</w:t>
            </w:r>
          </w:p>
        </w:tc>
        <w:tc>
          <w:tcPr>
            <w:tcW w:w="1354" w:type="dxa"/>
            <w:shd w:val="clear" w:color="auto" w:fill="BFBFBF" w:themeFill="background1" w:themeFillShade="BF"/>
            <w:vAlign w:val="center"/>
          </w:tcPr>
          <w:p w:rsidR="00F926D2" w:rsidRPr="0095699B" w:rsidRDefault="00F926D2" w:rsidP="009F3341">
            <w:pPr>
              <w:widowControl w:val="0"/>
              <w:autoSpaceDE w:val="0"/>
              <w:autoSpaceDN w:val="0"/>
              <w:adjustRightInd w:val="0"/>
              <w:spacing w:line="292" w:lineRule="exact"/>
              <w:ind w:right="-40"/>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lang w:val="el-GR"/>
              </w:rPr>
              <w:t>185</w:t>
            </w:r>
            <w:r w:rsidRPr="0095699B">
              <w:rPr>
                <w:rFonts w:asciiTheme="minorHAnsi" w:hAnsiTheme="minorHAnsi" w:cstheme="minorHAnsi"/>
                <w:color w:val="000000" w:themeColor="text1"/>
                <w:sz w:val="22"/>
                <w:szCs w:val="22"/>
              </w:rPr>
              <w:t>.</w:t>
            </w:r>
            <w:r w:rsidRPr="0095699B">
              <w:rPr>
                <w:rFonts w:asciiTheme="minorHAnsi" w:hAnsiTheme="minorHAnsi" w:cstheme="minorHAnsi"/>
                <w:color w:val="000000" w:themeColor="text1"/>
                <w:sz w:val="22"/>
                <w:szCs w:val="22"/>
                <w:lang w:val="el-GR"/>
              </w:rPr>
              <w:t>616</w:t>
            </w:r>
            <w:r w:rsidRPr="0095699B">
              <w:rPr>
                <w:rFonts w:asciiTheme="minorHAnsi" w:hAnsiTheme="minorHAnsi" w:cstheme="minorHAnsi"/>
                <w:color w:val="000000" w:themeColor="text1"/>
                <w:sz w:val="22"/>
                <w:szCs w:val="22"/>
              </w:rPr>
              <w:t>.</w:t>
            </w:r>
            <w:r w:rsidRPr="0095699B">
              <w:rPr>
                <w:rFonts w:asciiTheme="minorHAnsi" w:hAnsiTheme="minorHAnsi" w:cstheme="minorHAnsi"/>
                <w:color w:val="000000" w:themeColor="text1"/>
                <w:sz w:val="22"/>
                <w:szCs w:val="22"/>
                <w:lang w:val="el-GR"/>
              </w:rPr>
              <w:t>901</w:t>
            </w:r>
          </w:p>
        </w:tc>
        <w:tc>
          <w:tcPr>
            <w:tcW w:w="1351" w:type="dxa"/>
            <w:shd w:val="clear" w:color="auto" w:fill="BFBFBF" w:themeFill="background1" w:themeFillShade="BF"/>
            <w:vAlign w:val="center"/>
          </w:tcPr>
          <w:p w:rsidR="00F926D2" w:rsidRPr="0095699B" w:rsidRDefault="002D2B5D" w:rsidP="00F926D2">
            <w:pPr>
              <w:jc w:val="center"/>
              <w:rPr>
                <w:rFonts w:asciiTheme="minorHAnsi" w:hAnsiTheme="minorHAnsi" w:cstheme="minorHAnsi"/>
                <w:b/>
                <w:color w:val="000000" w:themeColor="text1"/>
                <w:lang w:val="el-GR"/>
              </w:rPr>
            </w:pPr>
            <w:r w:rsidRPr="0095699B">
              <w:rPr>
                <w:rFonts w:asciiTheme="minorHAnsi" w:hAnsiTheme="minorHAnsi" w:cstheme="minorHAnsi"/>
                <w:b/>
                <w:color w:val="000000" w:themeColor="text1"/>
                <w:sz w:val="22"/>
                <w:szCs w:val="22"/>
              </w:rPr>
              <w:t>215</w:t>
            </w:r>
            <w:r w:rsidRPr="0095699B">
              <w:rPr>
                <w:rFonts w:asciiTheme="minorHAnsi" w:hAnsiTheme="minorHAnsi" w:cstheme="minorHAnsi"/>
                <w:b/>
                <w:color w:val="000000" w:themeColor="text1"/>
                <w:sz w:val="22"/>
                <w:szCs w:val="22"/>
                <w:lang w:val="el-GR"/>
              </w:rPr>
              <w:t>.</w:t>
            </w:r>
            <w:r w:rsidRPr="0095699B">
              <w:rPr>
                <w:rFonts w:asciiTheme="minorHAnsi" w:hAnsiTheme="minorHAnsi" w:cstheme="minorHAnsi"/>
                <w:b/>
                <w:color w:val="000000" w:themeColor="text1"/>
                <w:sz w:val="22"/>
                <w:szCs w:val="22"/>
              </w:rPr>
              <w:t>767</w:t>
            </w:r>
            <w:r w:rsidRPr="0095699B">
              <w:rPr>
                <w:rFonts w:asciiTheme="minorHAnsi" w:hAnsiTheme="minorHAnsi" w:cstheme="minorHAnsi"/>
                <w:b/>
                <w:color w:val="000000" w:themeColor="text1"/>
                <w:sz w:val="22"/>
                <w:szCs w:val="22"/>
                <w:lang w:val="el-GR"/>
              </w:rPr>
              <w:t>.</w:t>
            </w:r>
            <w:r w:rsidR="00F926D2" w:rsidRPr="0095699B">
              <w:rPr>
                <w:rFonts w:asciiTheme="minorHAnsi" w:hAnsiTheme="minorHAnsi" w:cstheme="minorHAnsi"/>
                <w:b/>
                <w:color w:val="000000" w:themeColor="text1"/>
                <w:sz w:val="22"/>
                <w:szCs w:val="22"/>
              </w:rPr>
              <w:t>830</w:t>
            </w:r>
          </w:p>
        </w:tc>
      </w:tr>
      <w:tr w:rsidR="00F926D2" w:rsidRPr="00466073" w:rsidTr="00AD3250">
        <w:trPr>
          <w:jc w:val="center"/>
        </w:trPr>
        <w:tc>
          <w:tcPr>
            <w:tcW w:w="1859" w:type="dxa"/>
            <w:tcBorders>
              <w:top w:val="double" w:sz="4" w:space="0" w:color="auto"/>
            </w:tcBorders>
          </w:tcPr>
          <w:p w:rsidR="00F926D2" w:rsidRPr="00466073" w:rsidRDefault="00F926D2" w:rsidP="006833F9">
            <w:pPr>
              <w:widowControl w:val="0"/>
              <w:autoSpaceDE w:val="0"/>
              <w:autoSpaceDN w:val="0"/>
              <w:adjustRightInd w:val="0"/>
              <w:spacing w:line="292" w:lineRule="exact"/>
              <w:rPr>
                <w:rFonts w:asciiTheme="minorHAnsi" w:hAnsiTheme="minorHAnsi" w:cstheme="minorHAnsi"/>
                <w:b/>
              </w:rPr>
            </w:pPr>
            <w:r w:rsidRPr="00466073">
              <w:rPr>
                <w:rFonts w:asciiTheme="minorHAnsi" w:hAnsiTheme="minorHAnsi" w:cstheme="minorHAnsi"/>
                <w:lang w:val="el-GR"/>
              </w:rPr>
              <w:t>Εισαγωγές πετρελαιοειδών (Σ.Ο.27)</w:t>
            </w:r>
          </w:p>
        </w:tc>
        <w:tc>
          <w:tcPr>
            <w:tcW w:w="1310" w:type="dxa"/>
            <w:tcBorders>
              <w:top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296.610</w:t>
            </w:r>
          </w:p>
        </w:tc>
        <w:tc>
          <w:tcPr>
            <w:tcW w:w="1311" w:type="dxa"/>
            <w:tcBorders>
              <w:top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213.431</w:t>
            </w:r>
          </w:p>
        </w:tc>
        <w:tc>
          <w:tcPr>
            <w:tcW w:w="1311" w:type="dxa"/>
            <w:tcBorders>
              <w:top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2.221.196</w:t>
            </w:r>
          </w:p>
        </w:tc>
        <w:tc>
          <w:tcPr>
            <w:tcW w:w="1311" w:type="dxa"/>
            <w:tcBorders>
              <w:top w:val="doub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900.043</w:t>
            </w:r>
          </w:p>
        </w:tc>
        <w:tc>
          <w:tcPr>
            <w:tcW w:w="1354" w:type="dxa"/>
            <w:vAlign w:val="center"/>
          </w:tcPr>
          <w:p w:rsidR="00F926D2" w:rsidRPr="0095699B" w:rsidRDefault="00F926D2" w:rsidP="009F3341">
            <w:pPr>
              <w:widowControl w:val="0"/>
              <w:autoSpaceDE w:val="0"/>
              <w:autoSpaceDN w:val="0"/>
              <w:adjustRightInd w:val="0"/>
              <w:spacing w:line="292" w:lineRule="exact"/>
              <w:ind w:right="-40"/>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shd w:val="clear" w:color="auto" w:fill="FFFFFF"/>
              </w:rPr>
              <w:t>1.560.441</w:t>
            </w:r>
          </w:p>
        </w:tc>
        <w:tc>
          <w:tcPr>
            <w:tcW w:w="1351" w:type="dxa"/>
            <w:vAlign w:val="center"/>
          </w:tcPr>
          <w:p w:rsidR="00F926D2" w:rsidRPr="0095699B" w:rsidRDefault="00F926D2" w:rsidP="00951BDB">
            <w:pPr>
              <w:widowControl w:val="0"/>
              <w:autoSpaceDE w:val="0"/>
              <w:autoSpaceDN w:val="0"/>
              <w:adjustRightInd w:val="0"/>
              <w:spacing w:line="292" w:lineRule="exact"/>
              <w:ind w:right="-40"/>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shd w:val="clear" w:color="auto" w:fill="FFFFFF"/>
                <w:lang w:val="el-GR"/>
              </w:rPr>
              <w:t>3.742.085</w:t>
            </w:r>
          </w:p>
        </w:tc>
      </w:tr>
      <w:tr w:rsidR="00F926D2" w:rsidRPr="00466073" w:rsidTr="00AD3250">
        <w:trPr>
          <w:jc w:val="center"/>
        </w:trPr>
        <w:tc>
          <w:tcPr>
            <w:tcW w:w="1859" w:type="dxa"/>
            <w:tcBorders>
              <w:top w:val="single" w:sz="4" w:space="0" w:color="auto"/>
            </w:tcBorders>
          </w:tcPr>
          <w:p w:rsidR="00F926D2" w:rsidRPr="00466073" w:rsidRDefault="00F926D2" w:rsidP="00BA1F80">
            <w:pPr>
              <w:widowControl w:val="0"/>
              <w:autoSpaceDE w:val="0"/>
              <w:autoSpaceDN w:val="0"/>
              <w:adjustRightInd w:val="0"/>
              <w:spacing w:line="292" w:lineRule="exact"/>
              <w:rPr>
                <w:rFonts w:asciiTheme="minorHAnsi" w:hAnsiTheme="minorHAnsi" w:cstheme="minorHAnsi"/>
                <w:lang w:val="el-GR"/>
              </w:rPr>
            </w:pPr>
            <w:r w:rsidRPr="00466073">
              <w:rPr>
                <w:rFonts w:asciiTheme="minorHAnsi" w:hAnsiTheme="minorHAnsi" w:cstheme="minorHAnsi"/>
                <w:lang w:val="el-GR"/>
              </w:rPr>
              <w:t xml:space="preserve">Εισαγωγές χωρίς πετρελαιοειδή </w:t>
            </w:r>
          </w:p>
        </w:tc>
        <w:tc>
          <w:tcPr>
            <w:tcW w:w="1310" w:type="dxa"/>
            <w:tcBorders>
              <w:top w:val="sing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108.790.731</w:t>
            </w:r>
          </w:p>
        </w:tc>
        <w:tc>
          <w:tcPr>
            <w:tcW w:w="1311" w:type="dxa"/>
            <w:tcBorders>
              <w:top w:val="sing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116.072.993</w:t>
            </w:r>
          </w:p>
        </w:tc>
        <w:tc>
          <w:tcPr>
            <w:tcW w:w="1311" w:type="dxa"/>
            <w:tcBorders>
              <w:top w:val="sing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117.122.225</w:t>
            </w:r>
          </w:p>
        </w:tc>
        <w:tc>
          <w:tcPr>
            <w:tcW w:w="1311" w:type="dxa"/>
            <w:tcBorders>
              <w:top w:val="single" w:sz="4" w:space="0" w:color="auto"/>
            </w:tcBorders>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141.740.742</w:t>
            </w:r>
          </w:p>
        </w:tc>
        <w:tc>
          <w:tcPr>
            <w:tcW w:w="1354" w:type="dxa"/>
            <w:vAlign w:val="center"/>
          </w:tcPr>
          <w:p w:rsidR="00F926D2" w:rsidRPr="0095699B" w:rsidRDefault="00F926D2" w:rsidP="009F3341">
            <w:pPr>
              <w:widowControl w:val="0"/>
              <w:autoSpaceDE w:val="0"/>
              <w:autoSpaceDN w:val="0"/>
              <w:adjustRightInd w:val="0"/>
              <w:spacing w:line="292" w:lineRule="exact"/>
              <w:ind w:right="-40"/>
              <w:jc w:val="center"/>
              <w:rPr>
                <w:rFonts w:asciiTheme="minorHAnsi" w:hAnsiTheme="minorHAnsi" w:cstheme="minorHAnsi"/>
                <w:color w:val="000000" w:themeColor="text1"/>
              </w:rPr>
            </w:pPr>
            <w:r w:rsidRPr="0095699B">
              <w:rPr>
                <w:rFonts w:asciiTheme="minorHAnsi" w:hAnsiTheme="minorHAnsi" w:cstheme="minorHAnsi"/>
                <w:color w:val="000000" w:themeColor="text1"/>
                <w:sz w:val="22"/>
                <w:szCs w:val="22"/>
                <w:lang w:val="el-GR"/>
              </w:rPr>
              <w:t>1</w:t>
            </w:r>
            <w:r w:rsidRPr="0095699B">
              <w:rPr>
                <w:rFonts w:asciiTheme="minorHAnsi" w:hAnsiTheme="minorHAnsi" w:cstheme="minorHAnsi"/>
                <w:color w:val="000000" w:themeColor="text1"/>
                <w:sz w:val="22"/>
                <w:szCs w:val="22"/>
              </w:rPr>
              <w:t>84</w:t>
            </w:r>
            <w:r w:rsidRPr="0095699B">
              <w:rPr>
                <w:rFonts w:asciiTheme="minorHAnsi" w:hAnsiTheme="minorHAnsi" w:cstheme="minorHAnsi"/>
                <w:color w:val="000000" w:themeColor="text1"/>
                <w:sz w:val="22"/>
                <w:szCs w:val="22"/>
                <w:lang w:val="el-GR"/>
              </w:rPr>
              <w:t>.</w:t>
            </w:r>
            <w:r w:rsidRPr="0095699B">
              <w:rPr>
                <w:rFonts w:asciiTheme="minorHAnsi" w:hAnsiTheme="minorHAnsi" w:cstheme="minorHAnsi"/>
                <w:color w:val="000000" w:themeColor="text1"/>
                <w:sz w:val="22"/>
                <w:szCs w:val="22"/>
              </w:rPr>
              <w:t>056</w:t>
            </w:r>
            <w:r w:rsidRPr="0095699B">
              <w:rPr>
                <w:rFonts w:asciiTheme="minorHAnsi" w:hAnsiTheme="minorHAnsi" w:cstheme="minorHAnsi"/>
                <w:color w:val="000000" w:themeColor="text1"/>
                <w:sz w:val="22"/>
                <w:szCs w:val="22"/>
                <w:lang w:val="el-GR"/>
              </w:rPr>
              <w:t>.</w:t>
            </w:r>
            <w:r w:rsidRPr="0095699B">
              <w:rPr>
                <w:rFonts w:asciiTheme="minorHAnsi" w:hAnsiTheme="minorHAnsi" w:cstheme="minorHAnsi"/>
                <w:color w:val="000000" w:themeColor="text1"/>
                <w:sz w:val="22"/>
                <w:szCs w:val="22"/>
              </w:rPr>
              <w:t>490</w:t>
            </w:r>
          </w:p>
        </w:tc>
        <w:tc>
          <w:tcPr>
            <w:tcW w:w="1351" w:type="dxa"/>
            <w:vAlign w:val="center"/>
          </w:tcPr>
          <w:p w:rsidR="00F926D2" w:rsidRPr="0095699B" w:rsidRDefault="00F926D2" w:rsidP="00951BDB">
            <w:pPr>
              <w:widowControl w:val="0"/>
              <w:autoSpaceDE w:val="0"/>
              <w:autoSpaceDN w:val="0"/>
              <w:adjustRightInd w:val="0"/>
              <w:spacing w:line="292" w:lineRule="exact"/>
              <w:ind w:right="-40"/>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lang w:val="el-GR"/>
              </w:rPr>
              <w:t>212.025.745</w:t>
            </w:r>
          </w:p>
        </w:tc>
      </w:tr>
      <w:tr w:rsidR="00F926D2" w:rsidRPr="00466073" w:rsidTr="00AD3250">
        <w:trPr>
          <w:jc w:val="center"/>
        </w:trPr>
        <w:tc>
          <w:tcPr>
            <w:tcW w:w="1859" w:type="dxa"/>
          </w:tcPr>
          <w:p w:rsidR="00F926D2" w:rsidRPr="00466073" w:rsidRDefault="00F926D2" w:rsidP="006833F9">
            <w:pPr>
              <w:widowControl w:val="0"/>
              <w:autoSpaceDE w:val="0"/>
              <w:autoSpaceDN w:val="0"/>
              <w:adjustRightInd w:val="0"/>
              <w:spacing w:line="292" w:lineRule="exact"/>
              <w:rPr>
                <w:rFonts w:asciiTheme="minorHAnsi" w:hAnsiTheme="minorHAnsi" w:cstheme="minorHAnsi"/>
                <w:lang w:val="el-GR"/>
              </w:rPr>
            </w:pPr>
            <w:r w:rsidRPr="00466073">
              <w:rPr>
                <w:rFonts w:asciiTheme="minorHAnsi" w:hAnsiTheme="minorHAnsi" w:cstheme="minorHAnsi"/>
                <w:b/>
                <w:lang w:val="el-GR"/>
              </w:rPr>
              <w:t>Όγκος Εμπορίου</w:t>
            </w:r>
          </w:p>
        </w:tc>
        <w:tc>
          <w:tcPr>
            <w:tcW w:w="1310" w:type="dxa"/>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491.366.561</w:t>
            </w:r>
          </w:p>
        </w:tc>
        <w:tc>
          <w:tcPr>
            <w:tcW w:w="1311" w:type="dxa"/>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565.067.880</w:t>
            </w:r>
          </w:p>
        </w:tc>
        <w:tc>
          <w:tcPr>
            <w:tcW w:w="1311" w:type="dxa"/>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rPr>
              <w:t>625.834.403</w:t>
            </w:r>
          </w:p>
        </w:tc>
        <w:tc>
          <w:tcPr>
            <w:tcW w:w="1311" w:type="dxa"/>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rPr>
            </w:pPr>
            <w:r w:rsidRPr="0095699B">
              <w:rPr>
                <w:rFonts w:asciiTheme="minorHAnsi" w:hAnsiTheme="minorHAnsi" w:cstheme="minorHAnsi"/>
                <w:sz w:val="22"/>
                <w:szCs w:val="22"/>
              </w:rPr>
              <w:t>615.579.433</w:t>
            </w:r>
          </w:p>
        </w:tc>
        <w:tc>
          <w:tcPr>
            <w:tcW w:w="1354" w:type="dxa"/>
            <w:vAlign w:val="center"/>
          </w:tcPr>
          <w:p w:rsidR="00F926D2" w:rsidRPr="0095699B" w:rsidRDefault="00F926D2" w:rsidP="009F3341">
            <w:pPr>
              <w:widowControl w:val="0"/>
              <w:autoSpaceDE w:val="0"/>
              <w:autoSpaceDN w:val="0"/>
              <w:adjustRightInd w:val="0"/>
              <w:spacing w:line="292" w:lineRule="exact"/>
              <w:jc w:val="center"/>
              <w:rPr>
                <w:rFonts w:asciiTheme="minorHAnsi" w:hAnsiTheme="minorHAnsi" w:cstheme="minorHAnsi"/>
                <w:color w:val="000000" w:themeColor="text1"/>
              </w:rPr>
            </w:pPr>
            <w:r w:rsidRPr="0095699B">
              <w:rPr>
                <w:rFonts w:asciiTheme="minorHAnsi" w:hAnsiTheme="minorHAnsi" w:cstheme="minorHAnsi"/>
                <w:color w:val="000000" w:themeColor="text1"/>
                <w:sz w:val="22"/>
                <w:szCs w:val="22"/>
              </w:rPr>
              <w:t>745.086.898</w:t>
            </w:r>
          </w:p>
        </w:tc>
        <w:tc>
          <w:tcPr>
            <w:tcW w:w="1353" w:type="dxa"/>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lang w:val="el-GR"/>
              </w:rPr>
              <w:t>940.401.704</w:t>
            </w:r>
          </w:p>
        </w:tc>
      </w:tr>
      <w:tr w:rsidR="00AD3250" w:rsidRPr="00466073" w:rsidTr="00AD3250">
        <w:trPr>
          <w:jc w:val="center"/>
        </w:trPr>
        <w:tc>
          <w:tcPr>
            <w:tcW w:w="1859" w:type="dxa"/>
            <w:shd w:val="clear" w:color="auto" w:fill="BFBFBF" w:themeFill="background1" w:themeFillShade="BF"/>
          </w:tcPr>
          <w:p w:rsidR="00F926D2" w:rsidRPr="00466073" w:rsidRDefault="00F926D2" w:rsidP="006833F9">
            <w:pPr>
              <w:widowControl w:val="0"/>
              <w:autoSpaceDE w:val="0"/>
              <w:autoSpaceDN w:val="0"/>
              <w:adjustRightInd w:val="0"/>
              <w:spacing w:line="292" w:lineRule="exact"/>
              <w:rPr>
                <w:rFonts w:asciiTheme="minorHAnsi" w:hAnsiTheme="minorHAnsi" w:cstheme="minorHAnsi"/>
                <w:lang w:val="el-GR"/>
              </w:rPr>
            </w:pPr>
            <w:r w:rsidRPr="00466073">
              <w:rPr>
                <w:rFonts w:asciiTheme="minorHAnsi" w:hAnsiTheme="minorHAnsi" w:cstheme="minorHAnsi"/>
                <w:b/>
                <w:lang w:val="el-GR"/>
              </w:rPr>
              <w:t>ΙΣΟΖΥΓΙΟ</w:t>
            </w:r>
          </w:p>
        </w:tc>
        <w:tc>
          <w:tcPr>
            <w:tcW w:w="1310" w:type="dxa"/>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b/>
                <w:lang w:val="el-GR"/>
              </w:rPr>
            </w:pPr>
            <w:r w:rsidRPr="0095699B">
              <w:rPr>
                <w:rFonts w:asciiTheme="minorHAnsi" w:hAnsiTheme="minorHAnsi" w:cstheme="minorHAnsi"/>
                <w:b/>
                <w:sz w:val="22"/>
                <w:szCs w:val="22"/>
                <w:lang w:val="el-GR"/>
              </w:rPr>
              <w:t>-</w:t>
            </w:r>
            <w:r w:rsidRPr="0095699B">
              <w:rPr>
                <w:rFonts w:asciiTheme="minorHAnsi" w:hAnsiTheme="minorHAnsi" w:cstheme="minorHAnsi"/>
                <w:sz w:val="22"/>
                <w:szCs w:val="22"/>
                <w:lang w:val="el-GR"/>
              </w:rPr>
              <w:t>273.191.879</w:t>
            </w:r>
          </w:p>
        </w:tc>
        <w:tc>
          <w:tcPr>
            <w:tcW w:w="1311" w:type="dxa"/>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-332.495.032</w:t>
            </w:r>
          </w:p>
        </w:tc>
        <w:tc>
          <w:tcPr>
            <w:tcW w:w="1311" w:type="dxa"/>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rPr>
              <w:t>-387.147.561</w:t>
            </w:r>
          </w:p>
        </w:tc>
        <w:tc>
          <w:tcPr>
            <w:tcW w:w="1311" w:type="dxa"/>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lang w:val="el-GR"/>
              </w:rPr>
            </w:pPr>
            <w:r w:rsidRPr="0095699B">
              <w:rPr>
                <w:rFonts w:asciiTheme="minorHAnsi" w:hAnsiTheme="minorHAnsi" w:cstheme="minorHAnsi"/>
                <w:sz w:val="22"/>
                <w:szCs w:val="22"/>
                <w:lang w:val="el-GR"/>
              </w:rPr>
              <w:t>-330.197.906</w:t>
            </w:r>
          </w:p>
        </w:tc>
        <w:tc>
          <w:tcPr>
            <w:tcW w:w="1354" w:type="dxa"/>
            <w:shd w:val="clear" w:color="auto" w:fill="BFBFBF" w:themeFill="background1" w:themeFillShade="BF"/>
            <w:vAlign w:val="center"/>
          </w:tcPr>
          <w:p w:rsidR="00F926D2" w:rsidRPr="0095699B" w:rsidRDefault="00F926D2" w:rsidP="009F3341">
            <w:pPr>
              <w:widowControl w:val="0"/>
              <w:autoSpaceDE w:val="0"/>
              <w:autoSpaceDN w:val="0"/>
              <w:adjustRightInd w:val="0"/>
              <w:spacing w:line="292" w:lineRule="exact"/>
              <w:jc w:val="center"/>
              <w:rPr>
                <w:rFonts w:asciiTheme="minorHAnsi" w:hAnsiTheme="minorHAnsi" w:cstheme="minorHAnsi"/>
                <w:color w:val="000000" w:themeColor="text1"/>
              </w:rPr>
            </w:pPr>
            <w:r w:rsidRPr="0095699B">
              <w:rPr>
                <w:rFonts w:asciiTheme="minorHAnsi" w:hAnsiTheme="minorHAnsi" w:cstheme="minorHAnsi"/>
                <w:color w:val="000000" w:themeColor="text1"/>
                <w:sz w:val="22"/>
                <w:szCs w:val="22"/>
                <w:lang w:val="el-GR"/>
              </w:rPr>
              <w:t>-3</w:t>
            </w:r>
            <w:r w:rsidRPr="0095699B">
              <w:rPr>
                <w:rFonts w:asciiTheme="minorHAnsi" w:hAnsiTheme="minorHAnsi" w:cstheme="minorHAnsi"/>
                <w:color w:val="000000" w:themeColor="text1"/>
                <w:sz w:val="22"/>
                <w:szCs w:val="22"/>
              </w:rPr>
              <w:t>73</w:t>
            </w:r>
            <w:r w:rsidRPr="0095699B">
              <w:rPr>
                <w:rFonts w:asciiTheme="minorHAnsi" w:hAnsiTheme="minorHAnsi" w:cstheme="minorHAnsi"/>
                <w:color w:val="000000" w:themeColor="text1"/>
                <w:sz w:val="22"/>
                <w:szCs w:val="22"/>
                <w:lang w:val="el-GR"/>
              </w:rPr>
              <w:t>.</w:t>
            </w:r>
            <w:r w:rsidRPr="0095699B">
              <w:rPr>
                <w:rFonts w:asciiTheme="minorHAnsi" w:hAnsiTheme="minorHAnsi" w:cstheme="minorHAnsi"/>
                <w:color w:val="000000" w:themeColor="text1"/>
                <w:sz w:val="22"/>
                <w:szCs w:val="22"/>
              </w:rPr>
              <w:t>853</w:t>
            </w:r>
            <w:r w:rsidRPr="0095699B">
              <w:rPr>
                <w:rFonts w:asciiTheme="minorHAnsi" w:hAnsiTheme="minorHAnsi" w:cstheme="minorHAnsi"/>
                <w:color w:val="000000" w:themeColor="text1"/>
                <w:sz w:val="22"/>
                <w:szCs w:val="22"/>
                <w:lang w:val="el-GR"/>
              </w:rPr>
              <w:t>.</w:t>
            </w:r>
            <w:r w:rsidRPr="0095699B">
              <w:rPr>
                <w:rFonts w:asciiTheme="minorHAnsi" w:hAnsiTheme="minorHAnsi" w:cstheme="minorHAnsi"/>
                <w:color w:val="000000" w:themeColor="text1"/>
                <w:sz w:val="22"/>
                <w:szCs w:val="22"/>
              </w:rPr>
              <w:t>096</w:t>
            </w:r>
          </w:p>
        </w:tc>
        <w:tc>
          <w:tcPr>
            <w:tcW w:w="1353" w:type="dxa"/>
            <w:shd w:val="clear" w:color="auto" w:fill="BFBFBF" w:themeFill="background1" w:themeFillShade="BF"/>
            <w:vAlign w:val="center"/>
          </w:tcPr>
          <w:p w:rsidR="00F926D2" w:rsidRPr="0095699B" w:rsidRDefault="00F926D2" w:rsidP="00951BDB">
            <w:pPr>
              <w:widowControl w:val="0"/>
              <w:autoSpaceDE w:val="0"/>
              <w:autoSpaceDN w:val="0"/>
              <w:adjustRightInd w:val="0"/>
              <w:spacing w:line="292" w:lineRule="exact"/>
              <w:jc w:val="center"/>
              <w:rPr>
                <w:rFonts w:asciiTheme="minorHAnsi" w:hAnsiTheme="minorHAnsi" w:cstheme="minorHAnsi"/>
                <w:color w:val="000000" w:themeColor="text1"/>
                <w:lang w:val="el-GR"/>
              </w:rPr>
            </w:pPr>
            <w:r w:rsidRPr="0095699B">
              <w:rPr>
                <w:rFonts w:asciiTheme="minorHAnsi" w:hAnsiTheme="minorHAnsi" w:cstheme="minorHAnsi"/>
                <w:color w:val="000000" w:themeColor="text1"/>
                <w:sz w:val="22"/>
                <w:szCs w:val="22"/>
                <w:lang w:val="el-GR"/>
              </w:rPr>
              <w:t>-</w:t>
            </w:r>
            <w:r w:rsidR="00AD3250" w:rsidRPr="0095699B">
              <w:rPr>
                <w:rFonts w:asciiTheme="minorHAnsi" w:hAnsiTheme="minorHAnsi" w:cstheme="minorHAnsi"/>
                <w:color w:val="000000" w:themeColor="text1"/>
                <w:sz w:val="22"/>
                <w:szCs w:val="22"/>
                <w:lang w:val="el-GR"/>
              </w:rPr>
              <w:t>508.866.044</w:t>
            </w:r>
          </w:p>
        </w:tc>
      </w:tr>
    </w:tbl>
    <w:p w:rsidR="004B4EF3" w:rsidRPr="00466073" w:rsidRDefault="004B4EF3" w:rsidP="003D45B4">
      <w:pPr>
        <w:widowControl w:val="0"/>
        <w:autoSpaceDE w:val="0"/>
        <w:autoSpaceDN w:val="0"/>
        <w:adjustRightInd w:val="0"/>
        <w:spacing w:line="233" w:lineRule="auto"/>
        <w:rPr>
          <w:rFonts w:asciiTheme="minorHAnsi" w:hAnsiTheme="minorHAnsi" w:cstheme="minorHAnsi"/>
          <w:bCs/>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ab/>
        <w:t>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r w:rsidRPr="00466073">
        <w:rPr>
          <w:rFonts w:asciiTheme="minorHAnsi" w:hAnsiTheme="minorHAnsi" w:cstheme="minorHAnsi"/>
          <w:bCs/>
          <w:lang w:val="el-GR"/>
        </w:rPr>
        <w:t xml:space="preserve">. </w:t>
      </w:r>
    </w:p>
    <w:p w:rsidR="00FD6187" w:rsidRPr="00466073" w:rsidRDefault="00FD6187" w:rsidP="000726F3">
      <w:pPr>
        <w:jc w:val="both"/>
        <w:rPr>
          <w:rFonts w:asciiTheme="minorHAnsi" w:hAnsiTheme="minorHAnsi" w:cstheme="minorHAnsi"/>
          <w:lang w:val="el-GR"/>
        </w:rPr>
      </w:pPr>
    </w:p>
    <w:p w:rsidR="00680D81" w:rsidRPr="00466073" w:rsidRDefault="00680D81" w:rsidP="00281A69">
      <w:pPr>
        <w:jc w:val="both"/>
        <w:rPr>
          <w:rFonts w:asciiTheme="minorHAnsi" w:hAnsiTheme="minorHAnsi" w:cstheme="minorHAnsi"/>
          <w:lang w:val="el-GR"/>
        </w:rPr>
      </w:pPr>
    </w:p>
    <w:p w:rsidR="00606755" w:rsidRPr="00466073" w:rsidRDefault="00C047B4" w:rsidP="00281A69">
      <w:pPr>
        <w:jc w:val="both"/>
        <w:rPr>
          <w:rFonts w:asciiTheme="minorHAnsi" w:hAnsiTheme="minorHAnsi" w:cstheme="minorHAnsi"/>
          <w:lang w:val="el-GR"/>
        </w:rPr>
      </w:pPr>
      <w:r w:rsidRPr="00466073">
        <w:rPr>
          <w:rFonts w:asciiTheme="minorHAnsi" w:hAnsiTheme="minorHAnsi" w:cstheme="minorHAnsi"/>
          <w:lang w:val="el-GR"/>
        </w:rPr>
        <w:t xml:space="preserve">Το </w:t>
      </w:r>
      <w:r w:rsidRPr="00466073">
        <w:rPr>
          <w:rFonts w:asciiTheme="minorHAnsi" w:hAnsiTheme="minorHAnsi" w:cstheme="minorHAnsi"/>
          <w:b/>
          <w:lang w:val="el-GR"/>
        </w:rPr>
        <w:t>202</w:t>
      </w:r>
      <w:r w:rsidR="00AD3250" w:rsidRPr="00466073">
        <w:rPr>
          <w:rFonts w:asciiTheme="minorHAnsi" w:hAnsiTheme="minorHAnsi" w:cstheme="minorHAnsi"/>
          <w:b/>
          <w:lang w:val="el-GR"/>
        </w:rPr>
        <w:t>2</w:t>
      </w:r>
      <w:r w:rsidRPr="00466073">
        <w:rPr>
          <w:rFonts w:asciiTheme="minorHAnsi" w:hAnsiTheme="minorHAnsi" w:cstheme="minorHAnsi"/>
          <w:lang w:val="el-GR"/>
        </w:rPr>
        <w:t>, η</w:t>
      </w:r>
      <w:r w:rsidR="002B5B27" w:rsidRPr="00466073">
        <w:rPr>
          <w:rFonts w:asciiTheme="minorHAnsi" w:hAnsiTheme="minorHAnsi" w:cstheme="minorHAnsi"/>
          <w:lang w:val="el-GR"/>
        </w:rPr>
        <w:t xml:space="preserve"> αξία του όγκου των διμερώ</w:t>
      </w:r>
      <w:r w:rsidR="009F3341" w:rsidRPr="00466073">
        <w:rPr>
          <w:rFonts w:asciiTheme="minorHAnsi" w:hAnsiTheme="minorHAnsi" w:cstheme="minorHAnsi"/>
          <w:lang w:val="el-GR"/>
        </w:rPr>
        <w:t>ν εμπορικών συναλλαγών σημείωσε α</w:t>
      </w:r>
      <w:r w:rsidR="00AD3250" w:rsidRPr="00466073">
        <w:rPr>
          <w:rFonts w:asciiTheme="minorHAnsi" w:hAnsiTheme="minorHAnsi" w:cstheme="minorHAnsi"/>
          <w:lang w:val="el-GR"/>
        </w:rPr>
        <w:t>λματώδη αύξηση  της τάξης του 26,2</w:t>
      </w:r>
      <w:r w:rsidR="009F3341" w:rsidRPr="00466073">
        <w:rPr>
          <w:rFonts w:asciiTheme="minorHAnsi" w:hAnsiTheme="minorHAnsi" w:cstheme="minorHAnsi"/>
          <w:lang w:val="el-GR"/>
        </w:rPr>
        <w:t>% σε σχέση με το 20</w:t>
      </w:r>
      <w:r w:rsidR="00AD3250" w:rsidRPr="00466073">
        <w:rPr>
          <w:rFonts w:asciiTheme="minorHAnsi" w:hAnsiTheme="minorHAnsi" w:cstheme="minorHAnsi"/>
          <w:lang w:val="el-GR"/>
        </w:rPr>
        <w:t>21</w:t>
      </w:r>
      <w:r w:rsidR="009F3341" w:rsidRPr="00466073">
        <w:rPr>
          <w:rFonts w:asciiTheme="minorHAnsi" w:hAnsiTheme="minorHAnsi" w:cstheme="minorHAnsi"/>
          <w:lang w:val="el-GR"/>
        </w:rPr>
        <w:t xml:space="preserve">. </w:t>
      </w:r>
      <w:r w:rsidR="009F3341" w:rsidRPr="00057AB0">
        <w:rPr>
          <w:rFonts w:asciiTheme="minorHAnsi" w:hAnsiTheme="minorHAnsi" w:cstheme="minorHAnsi"/>
          <w:b/>
          <w:lang w:val="el-GR"/>
        </w:rPr>
        <w:t xml:space="preserve">Η αύξηση </w:t>
      </w:r>
      <w:r w:rsidRPr="00057AB0">
        <w:rPr>
          <w:rFonts w:asciiTheme="minorHAnsi" w:hAnsiTheme="minorHAnsi" w:cstheme="minorHAnsi"/>
          <w:b/>
          <w:lang w:val="el-GR"/>
        </w:rPr>
        <w:t xml:space="preserve">οφείλεται </w:t>
      </w:r>
      <w:r w:rsidR="009F3341" w:rsidRPr="00057AB0">
        <w:rPr>
          <w:rFonts w:asciiTheme="minorHAnsi" w:hAnsiTheme="minorHAnsi" w:cstheme="minorHAnsi"/>
          <w:b/>
          <w:lang w:val="el-GR"/>
        </w:rPr>
        <w:t>κυρίως στον εν μέρει τερματισμό της πανδημίας</w:t>
      </w:r>
      <w:r w:rsidR="009F3341" w:rsidRPr="00466073">
        <w:rPr>
          <w:rFonts w:asciiTheme="minorHAnsi" w:hAnsiTheme="minorHAnsi" w:cstheme="minorHAnsi"/>
          <w:lang w:val="el-GR"/>
        </w:rPr>
        <w:t xml:space="preserve"> και την αισιοδοξία που επικράτησε</w:t>
      </w:r>
      <w:r w:rsidRPr="00466073">
        <w:rPr>
          <w:rFonts w:asciiTheme="minorHAnsi" w:hAnsiTheme="minorHAnsi" w:cstheme="minorHAnsi"/>
          <w:lang w:val="el-GR"/>
        </w:rPr>
        <w:t xml:space="preserve"> στο διεθνές εμπόριο</w:t>
      </w:r>
      <w:r w:rsidR="009F3341" w:rsidRPr="00466073">
        <w:rPr>
          <w:rFonts w:asciiTheme="minorHAnsi" w:hAnsiTheme="minorHAnsi" w:cstheme="minorHAnsi"/>
          <w:lang w:val="el-GR"/>
        </w:rPr>
        <w:t xml:space="preserve"> γενικότερα</w:t>
      </w:r>
      <w:r w:rsidR="00AD3250" w:rsidRPr="00466073">
        <w:rPr>
          <w:rFonts w:asciiTheme="minorHAnsi" w:hAnsiTheme="minorHAnsi" w:cstheme="minorHAnsi"/>
          <w:lang w:val="el-GR"/>
        </w:rPr>
        <w:t>, ενώ η έναρξη του πολέμου οδήγησε σε υψηλότερες παραγγελίες εκατέρωθεν, εξαιτίας της αβεβαιότητας για την χρονική διάρκειά του και τις μελλοντικές επιπτώσεις του. Το 2022</w:t>
      </w:r>
      <w:r w:rsidRPr="00466073">
        <w:rPr>
          <w:rFonts w:asciiTheme="minorHAnsi" w:hAnsiTheme="minorHAnsi" w:cstheme="minorHAnsi"/>
          <w:lang w:val="el-GR"/>
        </w:rPr>
        <w:t xml:space="preserve">, πρέπει να επισημανθεί η κατά </w:t>
      </w:r>
      <w:r w:rsidR="002D2B5D" w:rsidRPr="00466073">
        <w:rPr>
          <w:rFonts w:asciiTheme="minorHAnsi" w:hAnsiTheme="minorHAnsi" w:cstheme="minorHAnsi"/>
          <w:b/>
          <w:u w:val="single"/>
          <w:lang w:val="el-GR"/>
        </w:rPr>
        <w:t>16,2</w:t>
      </w:r>
      <w:r w:rsidRPr="00466073">
        <w:rPr>
          <w:rFonts w:asciiTheme="minorHAnsi" w:hAnsiTheme="minorHAnsi" w:cstheme="minorHAnsi"/>
          <w:b/>
          <w:u w:val="single"/>
          <w:lang w:val="el-GR"/>
        </w:rPr>
        <w:t>% αύξηση των ελληνικών εξαγωγών</w:t>
      </w:r>
      <w:r w:rsidRPr="00466073">
        <w:rPr>
          <w:rFonts w:asciiTheme="minorHAnsi" w:hAnsiTheme="minorHAnsi" w:cstheme="minorHAnsi"/>
          <w:lang w:val="el-GR"/>
        </w:rPr>
        <w:t xml:space="preserve"> στην Ουγγαρία</w:t>
      </w:r>
      <w:r w:rsidR="00D72263" w:rsidRPr="00466073">
        <w:rPr>
          <w:rFonts w:asciiTheme="minorHAnsi" w:hAnsiTheme="minorHAnsi" w:cstheme="minorHAnsi"/>
          <w:lang w:val="el-GR"/>
        </w:rPr>
        <w:t xml:space="preserve"> </w:t>
      </w:r>
      <w:r w:rsidR="002D2B5D" w:rsidRPr="00466073">
        <w:rPr>
          <w:rFonts w:asciiTheme="minorHAnsi" w:hAnsiTheme="minorHAnsi" w:cstheme="minorHAnsi"/>
          <w:lang w:val="el-GR"/>
        </w:rPr>
        <w:t>(15,2</w:t>
      </w:r>
      <w:r w:rsidR="00D72263" w:rsidRPr="00466073">
        <w:rPr>
          <w:rFonts w:asciiTheme="minorHAnsi" w:hAnsiTheme="minorHAnsi" w:cstheme="minorHAnsi"/>
          <w:lang w:val="el-GR"/>
        </w:rPr>
        <w:t xml:space="preserve">% αύξηση </w:t>
      </w:r>
      <w:r w:rsidR="00606755" w:rsidRPr="00466073">
        <w:rPr>
          <w:rFonts w:asciiTheme="minorHAnsi" w:hAnsiTheme="minorHAnsi" w:cstheme="minorHAnsi"/>
          <w:lang w:val="el-GR"/>
        </w:rPr>
        <w:t xml:space="preserve">χωρίς </w:t>
      </w:r>
      <w:r w:rsidR="00D72263" w:rsidRPr="00466073">
        <w:rPr>
          <w:rFonts w:asciiTheme="minorHAnsi" w:hAnsiTheme="minorHAnsi" w:cstheme="minorHAnsi"/>
          <w:lang w:val="el-GR"/>
        </w:rPr>
        <w:t>τα πετρελαιοειδή)</w:t>
      </w:r>
      <w:r w:rsidRPr="00466073">
        <w:rPr>
          <w:rFonts w:asciiTheme="minorHAnsi" w:hAnsiTheme="minorHAnsi" w:cstheme="minorHAnsi"/>
          <w:lang w:val="el-GR"/>
        </w:rPr>
        <w:t xml:space="preserve"> και η </w:t>
      </w:r>
      <w:r w:rsidR="002D2B5D" w:rsidRPr="00466073">
        <w:rPr>
          <w:rFonts w:asciiTheme="minorHAnsi" w:hAnsiTheme="minorHAnsi" w:cstheme="minorHAnsi"/>
          <w:b/>
          <w:lang w:val="el-GR"/>
        </w:rPr>
        <w:t xml:space="preserve">αλματώδης αύξηση </w:t>
      </w:r>
      <w:r w:rsidRPr="00466073">
        <w:rPr>
          <w:rFonts w:asciiTheme="minorHAnsi" w:hAnsiTheme="minorHAnsi" w:cstheme="minorHAnsi"/>
          <w:lang w:val="el-GR"/>
        </w:rPr>
        <w:t xml:space="preserve">κατά </w:t>
      </w:r>
      <w:r w:rsidR="002D2B5D" w:rsidRPr="00466073">
        <w:rPr>
          <w:rFonts w:asciiTheme="minorHAnsi" w:hAnsiTheme="minorHAnsi" w:cstheme="minorHAnsi"/>
          <w:b/>
          <w:lang w:val="el-GR"/>
        </w:rPr>
        <w:t>29,5</w:t>
      </w:r>
      <w:r w:rsidRPr="00466073">
        <w:rPr>
          <w:rFonts w:asciiTheme="minorHAnsi" w:hAnsiTheme="minorHAnsi" w:cstheme="minorHAnsi"/>
          <w:b/>
          <w:lang w:val="el-GR"/>
        </w:rPr>
        <w:t>%</w:t>
      </w:r>
      <w:r w:rsidR="0085050A" w:rsidRPr="00466073">
        <w:rPr>
          <w:rFonts w:asciiTheme="minorHAnsi" w:hAnsiTheme="minorHAnsi" w:cstheme="minorHAnsi"/>
          <w:b/>
          <w:lang w:val="el-GR"/>
        </w:rPr>
        <w:t xml:space="preserve"> </w:t>
      </w:r>
      <w:r w:rsidRPr="00466073">
        <w:rPr>
          <w:rFonts w:asciiTheme="minorHAnsi" w:hAnsiTheme="minorHAnsi" w:cstheme="minorHAnsi"/>
          <w:b/>
          <w:lang w:val="el-GR"/>
        </w:rPr>
        <w:t>των ελληνικών εισαγωγών</w:t>
      </w:r>
      <w:r w:rsidR="002D2B5D" w:rsidRPr="00466073">
        <w:rPr>
          <w:rFonts w:asciiTheme="minorHAnsi" w:hAnsiTheme="minorHAnsi" w:cstheme="minorHAnsi"/>
          <w:lang w:val="el-GR"/>
        </w:rPr>
        <w:t xml:space="preserve"> από την Ουγγαρία, που πλέον των προαναφερθέντων αιτιών, σημαντικό ρόλο διαδραμάτισε και </w:t>
      </w:r>
      <w:r w:rsidR="002D2B5D" w:rsidRPr="00887E9E">
        <w:rPr>
          <w:rFonts w:asciiTheme="minorHAnsi" w:hAnsiTheme="minorHAnsi" w:cstheme="minorHAnsi"/>
          <w:b/>
          <w:lang w:val="el-GR"/>
        </w:rPr>
        <w:t>η ισχυρή υποτίμηση του ουγγρικού νομίσματος (</w:t>
      </w:r>
      <w:r w:rsidR="002D2B5D" w:rsidRPr="00887E9E">
        <w:rPr>
          <w:rFonts w:asciiTheme="minorHAnsi" w:hAnsiTheme="minorHAnsi" w:cstheme="minorHAnsi"/>
          <w:b/>
        </w:rPr>
        <w:t>HUF</w:t>
      </w:r>
      <w:r w:rsidR="002D2B5D" w:rsidRPr="00887E9E">
        <w:rPr>
          <w:rFonts w:asciiTheme="minorHAnsi" w:hAnsiTheme="minorHAnsi" w:cstheme="minorHAnsi"/>
          <w:b/>
          <w:lang w:val="el-GR"/>
        </w:rPr>
        <w:t xml:space="preserve">) έναντι του ευρώ το περασμένο έτος. </w:t>
      </w:r>
      <w:r w:rsidR="00AD2E64" w:rsidRPr="00466073">
        <w:rPr>
          <w:rFonts w:asciiTheme="minorHAnsi" w:hAnsiTheme="minorHAnsi" w:cstheme="minorHAnsi"/>
          <w:lang w:val="el-GR"/>
        </w:rPr>
        <w:t xml:space="preserve">Η συγκεκριμένη συνδυαστική δυναμική οδήγησε στην </w:t>
      </w:r>
      <w:r w:rsidR="0085050A" w:rsidRPr="00466073">
        <w:rPr>
          <w:rFonts w:asciiTheme="minorHAnsi" w:hAnsiTheme="minorHAnsi" w:cstheme="minorHAnsi"/>
          <w:lang w:val="el-GR"/>
        </w:rPr>
        <w:t xml:space="preserve">αύξηση </w:t>
      </w:r>
      <w:r w:rsidR="00AD2E64" w:rsidRPr="00466073">
        <w:rPr>
          <w:rFonts w:asciiTheme="minorHAnsi" w:hAnsiTheme="minorHAnsi" w:cstheme="minorHAnsi"/>
          <w:u w:val="single"/>
          <w:lang w:val="el-GR"/>
        </w:rPr>
        <w:t>του εμπορικού μας ελλείμματος</w:t>
      </w:r>
      <w:r w:rsidR="002D2B5D" w:rsidRPr="00466073">
        <w:rPr>
          <w:rFonts w:asciiTheme="minorHAnsi" w:hAnsiTheme="minorHAnsi" w:cstheme="minorHAnsi"/>
          <w:u w:val="single"/>
          <w:lang w:val="el-GR"/>
        </w:rPr>
        <w:t xml:space="preserve"> κατά 36,1</w:t>
      </w:r>
      <w:r w:rsidR="0085050A" w:rsidRPr="00466073">
        <w:rPr>
          <w:rFonts w:asciiTheme="minorHAnsi" w:hAnsiTheme="minorHAnsi" w:cstheme="minorHAnsi"/>
          <w:u w:val="single"/>
          <w:lang w:val="el-GR"/>
        </w:rPr>
        <w:t xml:space="preserve">% </w:t>
      </w:r>
      <w:r w:rsidR="00AD2E64" w:rsidRPr="00466073">
        <w:rPr>
          <w:rFonts w:asciiTheme="minorHAnsi" w:hAnsiTheme="minorHAnsi" w:cstheme="minorHAnsi"/>
          <w:lang w:val="el-GR"/>
        </w:rPr>
        <w:t xml:space="preserve"> με την Ουγγαρία. </w:t>
      </w:r>
    </w:p>
    <w:p w:rsidR="00742A88" w:rsidRPr="00466073" w:rsidRDefault="00742A88" w:rsidP="00281A69">
      <w:pPr>
        <w:jc w:val="both"/>
        <w:rPr>
          <w:rFonts w:asciiTheme="minorHAnsi" w:hAnsiTheme="minorHAnsi" w:cstheme="minorHAnsi"/>
          <w:u w:val="single"/>
          <w:lang w:val="el-GR"/>
        </w:rPr>
      </w:pPr>
    </w:p>
    <w:p w:rsidR="00305741" w:rsidRPr="00466073" w:rsidRDefault="00281A69" w:rsidP="000726F3">
      <w:pPr>
        <w:jc w:val="both"/>
        <w:rPr>
          <w:rFonts w:asciiTheme="minorHAnsi" w:hAnsiTheme="minorHAnsi" w:cstheme="minorHAnsi"/>
          <w:lang w:val="el-GR"/>
        </w:rPr>
      </w:pPr>
      <w:r w:rsidRPr="00466073">
        <w:rPr>
          <w:rFonts w:asciiTheme="minorHAnsi" w:hAnsiTheme="minorHAnsi" w:cstheme="minorHAnsi"/>
          <w:lang w:val="el-GR"/>
        </w:rPr>
        <w:t>Τα εισαγόμενα ουγγρικά προϊόντα στην Ελλάδα ενσωματώνουν υψηλό</w:t>
      </w:r>
      <w:r w:rsidR="00B94D09" w:rsidRPr="00466073">
        <w:rPr>
          <w:rFonts w:asciiTheme="minorHAnsi" w:hAnsiTheme="minorHAnsi" w:cstheme="minorHAnsi"/>
          <w:lang w:val="el-GR"/>
        </w:rPr>
        <w:t>τερο</w:t>
      </w:r>
      <w:r w:rsidRPr="00466073">
        <w:rPr>
          <w:rFonts w:asciiTheme="minorHAnsi" w:hAnsiTheme="minorHAnsi" w:cstheme="minorHAnsi"/>
          <w:lang w:val="el-GR"/>
        </w:rPr>
        <w:t xml:space="preserve"> βαθμό προστιθέμενης αξίας</w:t>
      </w:r>
      <w:r w:rsidR="00B94D09" w:rsidRPr="00466073">
        <w:rPr>
          <w:rFonts w:asciiTheme="minorHAnsi" w:hAnsiTheme="minorHAnsi" w:cstheme="minorHAnsi"/>
          <w:lang w:val="el-GR"/>
        </w:rPr>
        <w:t xml:space="preserve"> σε σχέση με τα ελληνικά εξαγόμενα στην Ουγγαρία</w:t>
      </w:r>
      <w:r w:rsidRPr="00466073">
        <w:rPr>
          <w:rFonts w:asciiTheme="minorHAnsi" w:hAnsiTheme="minorHAnsi" w:cstheme="minorHAnsi"/>
          <w:lang w:val="el-GR"/>
        </w:rPr>
        <w:t xml:space="preserve">, </w:t>
      </w:r>
      <w:r w:rsidR="00B94D09" w:rsidRPr="00466073">
        <w:rPr>
          <w:rFonts w:asciiTheme="minorHAnsi" w:hAnsiTheme="minorHAnsi" w:cstheme="minorHAnsi"/>
          <w:lang w:val="el-GR"/>
        </w:rPr>
        <w:t xml:space="preserve">γεγονός που επιδεινώνει το εις βάρος μας </w:t>
      </w:r>
      <w:r w:rsidRPr="00466073">
        <w:rPr>
          <w:rFonts w:asciiTheme="minorHAnsi" w:hAnsiTheme="minorHAnsi" w:cstheme="minorHAnsi"/>
          <w:lang w:val="el-GR"/>
        </w:rPr>
        <w:t>εμπορικ</w:t>
      </w:r>
      <w:r w:rsidR="00B94D09" w:rsidRPr="00466073">
        <w:rPr>
          <w:rFonts w:asciiTheme="minorHAnsi" w:hAnsiTheme="minorHAnsi" w:cstheme="minorHAnsi"/>
          <w:lang w:val="el-GR"/>
        </w:rPr>
        <w:t>ό ισοζύγιο</w:t>
      </w:r>
      <w:r w:rsidRPr="00466073">
        <w:rPr>
          <w:rFonts w:asciiTheme="minorHAnsi" w:hAnsiTheme="minorHAnsi" w:cstheme="minorHAnsi"/>
          <w:lang w:val="el-GR"/>
        </w:rPr>
        <w:t>. Οι εισαγωγές που πραγματοποιεί η Ελλάδα από την Ουγγαρία, αφορούν κυρίως σε προϊόντα υψηλής τεχνολογίας (επιβατικά οχήματα, οικιακές ηλεκτρικές συσκευές, οπτικοακουστικές συσκευές, ηλεκτρονικές συσκευές).</w:t>
      </w:r>
      <w:r w:rsidR="00E320E8" w:rsidRPr="00466073">
        <w:rPr>
          <w:rFonts w:asciiTheme="minorHAnsi" w:hAnsiTheme="minorHAnsi" w:cstheme="minorHAnsi"/>
          <w:lang w:val="el-GR"/>
        </w:rPr>
        <w:t xml:space="preserve"> Η βελτίωση των οικονομικών της Ελλάδος και της αύξησης της καταναλωτικής δαπάνης οδήγησε προφανώς στην αύξηση των εισαγωγών από την Ουγγαρία. Επίσης, </w:t>
      </w:r>
      <w:r w:rsidR="00A14AB6" w:rsidRPr="00466073">
        <w:rPr>
          <w:rFonts w:asciiTheme="minorHAnsi" w:hAnsiTheme="minorHAnsi" w:cstheme="minorHAnsi"/>
          <w:lang w:val="el-GR"/>
        </w:rPr>
        <w:t xml:space="preserve">προς την ίδια κατεύθυνση οδήγησε και </w:t>
      </w:r>
      <w:r w:rsidR="00E320E8" w:rsidRPr="00466073">
        <w:rPr>
          <w:rFonts w:asciiTheme="minorHAnsi" w:hAnsiTheme="minorHAnsi" w:cstheme="minorHAnsi"/>
          <w:lang w:val="el-GR"/>
        </w:rPr>
        <w:t>η συναλλαγματική ισοτιμία ΕΥΡΩ/</w:t>
      </w:r>
      <w:r w:rsidR="00E320E8" w:rsidRPr="00466073">
        <w:rPr>
          <w:rFonts w:asciiTheme="minorHAnsi" w:hAnsiTheme="minorHAnsi" w:cstheme="minorHAnsi"/>
          <w:lang w:val="hu-HU"/>
        </w:rPr>
        <w:t>HUF</w:t>
      </w:r>
      <w:r w:rsidR="00A14AB6" w:rsidRPr="00466073">
        <w:rPr>
          <w:rFonts w:asciiTheme="minorHAnsi" w:hAnsiTheme="minorHAnsi" w:cstheme="minorHAnsi"/>
          <w:lang w:val="el-GR"/>
        </w:rPr>
        <w:t xml:space="preserve">. Σημειώνουμε ότι το 2017 η μέση ετήσια συναλλαγματική ισοτιμία </w:t>
      </w:r>
      <w:r w:rsidR="00B94D09" w:rsidRPr="00466073">
        <w:rPr>
          <w:rFonts w:asciiTheme="minorHAnsi" w:hAnsiTheme="minorHAnsi" w:cstheme="minorHAnsi"/>
          <w:lang w:val="el-GR"/>
        </w:rPr>
        <w:t xml:space="preserve">ήταν </w:t>
      </w:r>
      <w:r w:rsidR="00A14AB6" w:rsidRPr="00466073">
        <w:rPr>
          <w:rFonts w:asciiTheme="minorHAnsi" w:hAnsiTheme="minorHAnsi" w:cstheme="minorHAnsi"/>
          <w:lang w:val="el-GR"/>
        </w:rPr>
        <w:t>€1=309,27</w:t>
      </w:r>
      <w:r w:rsidR="00F378CD" w:rsidRPr="00466073">
        <w:rPr>
          <w:rFonts w:asciiTheme="minorHAnsi" w:hAnsiTheme="minorHAnsi" w:cstheme="minorHAnsi"/>
          <w:lang w:val="el-GR"/>
        </w:rPr>
        <w:t xml:space="preserve"> </w:t>
      </w:r>
      <w:r w:rsidR="00A14AB6" w:rsidRPr="00466073">
        <w:rPr>
          <w:rFonts w:asciiTheme="minorHAnsi" w:hAnsiTheme="minorHAnsi" w:cstheme="minorHAnsi"/>
          <w:lang w:val="el-GR"/>
        </w:rPr>
        <w:t>HUF</w:t>
      </w:r>
      <w:r w:rsidR="00742A88" w:rsidRPr="00466073">
        <w:rPr>
          <w:rFonts w:asciiTheme="minorHAnsi" w:hAnsiTheme="minorHAnsi" w:cstheme="minorHAnsi"/>
          <w:lang w:val="el-GR"/>
        </w:rPr>
        <w:t>,</w:t>
      </w:r>
      <w:r w:rsidR="00B94D09" w:rsidRPr="00466073">
        <w:rPr>
          <w:rFonts w:asciiTheme="minorHAnsi" w:hAnsiTheme="minorHAnsi" w:cstheme="minorHAnsi"/>
          <w:lang w:val="el-GR"/>
        </w:rPr>
        <w:t xml:space="preserve"> </w:t>
      </w:r>
      <w:r w:rsidR="00A14AB6" w:rsidRPr="00466073">
        <w:rPr>
          <w:rFonts w:asciiTheme="minorHAnsi" w:hAnsiTheme="minorHAnsi" w:cstheme="minorHAnsi"/>
          <w:lang w:val="el-GR"/>
        </w:rPr>
        <w:t xml:space="preserve">το 2018 </w:t>
      </w:r>
      <w:r w:rsidR="00B94D09" w:rsidRPr="00466073">
        <w:rPr>
          <w:rFonts w:asciiTheme="minorHAnsi" w:hAnsiTheme="minorHAnsi" w:cstheme="minorHAnsi"/>
          <w:lang w:val="el-GR"/>
        </w:rPr>
        <w:t xml:space="preserve">ήταν </w:t>
      </w:r>
      <w:r w:rsidR="00A14AB6" w:rsidRPr="00466073">
        <w:rPr>
          <w:rFonts w:asciiTheme="minorHAnsi" w:hAnsiTheme="minorHAnsi" w:cstheme="minorHAnsi"/>
          <w:lang w:val="el-GR"/>
        </w:rPr>
        <w:t>€1=318,87</w:t>
      </w:r>
      <w:r w:rsidR="00F378CD" w:rsidRPr="00466073">
        <w:rPr>
          <w:rFonts w:asciiTheme="minorHAnsi" w:hAnsiTheme="minorHAnsi" w:cstheme="minorHAnsi"/>
          <w:lang w:val="el-GR"/>
        </w:rPr>
        <w:t xml:space="preserve"> </w:t>
      </w:r>
      <w:r w:rsidR="0085050A" w:rsidRPr="00466073">
        <w:rPr>
          <w:rFonts w:asciiTheme="minorHAnsi" w:hAnsiTheme="minorHAnsi" w:cstheme="minorHAnsi"/>
          <w:lang w:val="el-GR"/>
        </w:rPr>
        <w:t>HU</w:t>
      </w:r>
      <w:r w:rsidR="0085050A" w:rsidRPr="00466073">
        <w:rPr>
          <w:rFonts w:asciiTheme="minorHAnsi" w:hAnsiTheme="minorHAnsi" w:cstheme="minorHAnsi"/>
        </w:rPr>
        <w:t>F</w:t>
      </w:r>
      <w:r w:rsidR="0085050A" w:rsidRPr="00466073">
        <w:rPr>
          <w:rFonts w:asciiTheme="minorHAnsi" w:hAnsiTheme="minorHAnsi" w:cstheme="minorHAnsi"/>
          <w:lang w:val="el-GR"/>
        </w:rPr>
        <w:t xml:space="preserve">, </w:t>
      </w:r>
      <w:r w:rsidR="00742A88" w:rsidRPr="00466073">
        <w:rPr>
          <w:rFonts w:asciiTheme="minorHAnsi" w:hAnsiTheme="minorHAnsi" w:cstheme="minorHAnsi"/>
          <w:lang w:val="el-GR"/>
        </w:rPr>
        <w:t>το</w:t>
      </w:r>
      <w:r w:rsidR="00B94D09" w:rsidRPr="00466073">
        <w:rPr>
          <w:rFonts w:asciiTheme="minorHAnsi" w:hAnsiTheme="minorHAnsi" w:cstheme="minorHAnsi"/>
          <w:lang w:val="el-GR"/>
        </w:rPr>
        <w:t xml:space="preserve"> 2019 €1=325,35</w:t>
      </w:r>
      <w:r w:rsidR="00F378CD" w:rsidRPr="00466073">
        <w:rPr>
          <w:rFonts w:asciiTheme="minorHAnsi" w:hAnsiTheme="minorHAnsi" w:cstheme="minorHAnsi"/>
          <w:lang w:val="el-GR"/>
        </w:rPr>
        <w:t xml:space="preserve"> </w:t>
      </w:r>
      <w:r w:rsidR="00B94D09" w:rsidRPr="00466073">
        <w:rPr>
          <w:rFonts w:asciiTheme="minorHAnsi" w:hAnsiTheme="minorHAnsi" w:cstheme="minorHAnsi"/>
          <w:lang w:val="el-GR"/>
        </w:rPr>
        <w:t>HUF</w:t>
      </w:r>
      <w:r w:rsidR="007B7BFC" w:rsidRPr="00466073">
        <w:rPr>
          <w:rFonts w:asciiTheme="minorHAnsi" w:hAnsiTheme="minorHAnsi" w:cstheme="minorHAnsi"/>
          <w:lang w:val="el-GR"/>
        </w:rPr>
        <w:t xml:space="preserve">, </w:t>
      </w:r>
      <w:r w:rsidR="0085050A" w:rsidRPr="00466073">
        <w:rPr>
          <w:rFonts w:asciiTheme="minorHAnsi" w:hAnsiTheme="minorHAnsi" w:cstheme="minorHAnsi"/>
          <w:lang w:val="el-GR"/>
        </w:rPr>
        <w:t>το 2020 €1=351,17 HUF</w:t>
      </w:r>
      <w:r w:rsidR="007B7BFC" w:rsidRPr="00466073">
        <w:rPr>
          <w:rFonts w:asciiTheme="minorHAnsi" w:hAnsiTheme="minorHAnsi" w:cstheme="minorHAnsi"/>
          <w:lang w:val="el-GR"/>
        </w:rPr>
        <w:t xml:space="preserve"> και το 2021 €1=358,52 HUF.</w:t>
      </w:r>
      <w:r w:rsidR="0085050A" w:rsidRPr="00466073">
        <w:rPr>
          <w:rFonts w:asciiTheme="minorHAnsi" w:hAnsiTheme="minorHAnsi" w:cstheme="minorHAnsi"/>
          <w:lang w:val="el-GR"/>
        </w:rPr>
        <w:t xml:space="preserve"> </w:t>
      </w:r>
      <w:r w:rsidR="00B94D09" w:rsidRPr="00466073">
        <w:rPr>
          <w:rFonts w:asciiTheme="minorHAnsi" w:hAnsiTheme="minorHAnsi" w:cstheme="minorHAnsi"/>
          <w:lang w:val="el-GR"/>
        </w:rPr>
        <w:t xml:space="preserve"> </w:t>
      </w:r>
      <w:r w:rsidR="00742A88" w:rsidRPr="00466073">
        <w:rPr>
          <w:rFonts w:asciiTheme="minorHAnsi" w:hAnsiTheme="minorHAnsi" w:cstheme="minorHAnsi"/>
          <w:lang w:val="el-GR"/>
        </w:rPr>
        <w:t>Η πτωτική πορεία του εθνικού νομίσματος Ο</w:t>
      </w:r>
      <w:r w:rsidR="007B7BFC" w:rsidRPr="00466073">
        <w:rPr>
          <w:rFonts w:asciiTheme="minorHAnsi" w:hAnsiTheme="minorHAnsi" w:cstheme="minorHAnsi"/>
          <w:lang w:val="el-GR"/>
        </w:rPr>
        <w:t xml:space="preserve">υγγαρίας συνεχίστηκε και </w:t>
      </w:r>
      <w:r w:rsidR="007B7BFC" w:rsidRPr="00466073">
        <w:rPr>
          <w:rFonts w:asciiTheme="minorHAnsi" w:hAnsiTheme="minorHAnsi" w:cstheme="minorHAnsi"/>
          <w:b/>
          <w:lang w:val="el-GR"/>
        </w:rPr>
        <w:t>το 2022</w:t>
      </w:r>
      <w:r w:rsidR="00742A88" w:rsidRPr="00466073">
        <w:rPr>
          <w:rFonts w:asciiTheme="minorHAnsi" w:hAnsiTheme="minorHAnsi" w:cstheme="minorHAnsi"/>
          <w:lang w:val="el-GR"/>
        </w:rPr>
        <w:t xml:space="preserve"> με την μέση ετήσια </w:t>
      </w:r>
      <w:r w:rsidR="00742A88" w:rsidRPr="00466073">
        <w:rPr>
          <w:rFonts w:asciiTheme="minorHAnsi" w:hAnsiTheme="minorHAnsi" w:cstheme="minorHAnsi"/>
          <w:lang w:val="el-GR"/>
        </w:rPr>
        <w:lastRenderedPageBreak/>
        <w:t>ισοτιμία να ισορροπεί στο</w:t>
      </w:r>
      <w:r w:rsidR="007B7BFC" w:rsidRPr="00466073">
        <w:rPr>
          <w:rFonts w:asciiTheme="minorHAnsi" w:hAnsiTheme="minorHAnsi" w:cstheme="minorHAnsi"/>
          <w:lang w:val="el-GR"/>
        </w:rPr>
        <w:t xml:space="preserve"> </w:t>
      </w:r>
      <w:r w:rsidR="007B7BFC" w:rsidRPr="00466073">
        <w:rPr>
          <w:rFonts w:asciiTheme="minorHAnsi" w:hAnsiTheme="minorHAnsi" w:cstheme="minorHAnsi"/>
          <w:b/>
          <w:lang w:val="el-GR"/>
        </w:rPr>
        <w:t xml:space="preserve">391,33 </w:t>
      </w:r>
      <w:r w:rsidR="007B7BFC" w:rsidRPr="00466073">
        <w:rPr>
          <w:rFonts w:asciiTheme="minorHAnsi" w:hAnsiTheme="minorHAnsi" w:cstheme="minorHAnsi"/>
          <w:b/>
          <w:lang w:val="hu-HU"/>
        </w:rPr>
        <w:t xml:space="preserve">HUF. </w:t>
      </w:r>
      <w:r w:rsidR="00742A88" w:rsidRPr="00466073">
        <w:rPr>
          <w:rFonts w:asciiTheme="minorHAnsi" w:hAnsiTheme="minorHAnsi" w:cstheme="minorHAnsi"/>
          <w:lang w:val="el-GR"/>
        </w:rPr>
        <w:t xml:space="preserve">Η διολίσθηση του φιορινιού </w:t>
      </w:r>
      <w:r w:rsidR="006C55D4" w:rsidRPr="00466073">
        <w:rPr>
          <w:rFonts w:asciiTheme="minorHAnsi" w:hAnsiTheme="minorHAnsi" w:cstheme="minorHAnsi"/>
          <w:lang w:val="el-GR"/>
        </w:rPr>
        <w:t>και γι</w:t>
      </w:r>
      <w:r w:rsidR="007B7BFC" w:rsidRPr="00466073">
        <w:rPr>
          <w:rFonts w:asciiTheme="minorHAnsi" w:hAnsiTheme="minorHAnsi" w:cstheme="minorHAnsi"/>
          <w:lang w:val="el-GR"/>
        </w:rPr>
        <w:t>α το 202</w:t>
      </w:r>
      <w:r w:rsidR="007B7BFC" w:rsidRPr="00466073">
        <w:rPr>
          <w:rFonts w:asciiTheme="minorHAnsi" w:hAnsiTheme="minorHAnsi" w:cstheme="minorHAnsi"/>
          <w:lang w:val="hu-HU"/>
        </w:rPr>
        <w:t>2</w:t>
      </w:r>
      <w:r w:rsidR="006C55D4" w:rsidRPr="00466073">
        <w:rPr>
          <w:rFonts w:asciiTheme="minorHAnsi" w:hAnsiTheme="minorHAnsi" w:cstheme="minorHAnsi"/>
          <w:lang w:val="el-GR"/>
        </w:rPr>
        <w:t xml:space="preserve"> </w:t>
      </w:r>
      <w:r w:rsidR="00742A88" w:rsidRPr="00466073">
        <w:rPr>
          <w:rFonts w:asciiTheme="minorHAnsi" w:hAnsiTheme="minorHAnsi" w:cstheme="minorHAnsi"/>
          <w:lang w:val="el-GR"/>
        </w:rPr>
        <w:t xml:space="preserve">είχε προβλεφθεί από </w:t>
      </w:r>
      <w:r w:rsidR="006C55D4" w:rsidRPr="00466073">
        <w:rPr>
          <w:rFonts w:asciiTheme="minorHAnsi" w:hAnsiTheme="minorHAnsi" w:cstheme="minorHAnsi"/>
          <w:lang w:val="el-GR"/>
        </w:rPr>
        <w:t xml:space="preserve">πολλούς </w:t>
      </w:r>
      <w:r w:rsidR="00742A88" w:rsidRPr="00466073">
        <w:rPr>
          <w:rFonts w:asciiTheme="minorHAnsi" w:hAnsiTheme="minorHAnsi" w:cstheme="minorHAnsi"/>
          <w:lang w:val="el-GR"/>
        </w:rPr>
        <w:t>οικονομικούς αναλυτές</w:t>
      </w:r>
      <w:r w:rsidR="006C55D4" w:rsidRPr="00466073">
        <w:rPr>
          <w:rFonts w:asciiTheme="minorHAnsi" w:hAnsiTheme="minorHAnsi" w:cstheme="minorHAnsi"/>
          <w:lang w:val="el-GR"/>
        </w:rPr>
        <w:t>. Η αγορά</w:t>
      </w:r>
      <w:r w:rsidR="00742A88" w:rsidRPr="00466073">
        <w:rPr>
          <w:rFonts w:asciiTheme="minorHAnsi" w:hAnsiTheme="minorHAnsi" w:cstheme="minorHAnsi"/>
          <w:lang w:val="el-GR"/>
        </w:rPr>
        <w:t>,</w:t>
      </w:r>
      <w:r w:rsidR="006C55D4" w:rsidRPr="00466073">
        <w:rPr>
          <w:rFonts w:asciiTheme="minorHAnsi" w:hAnsiTheme="minorHAnsi" w:cstheme="minorHAnsi"/>
          <w:lang w:val="el-GR"/>
        </w:rPr>
        <w:t xml:space="preserve"> ανέμενε παρέμβαση της Κεντρικής Τράπεζας</w:t>
      </w:r>
      <w:r w:rsidR="00C80256" w:rsidRPr="00466073">
        <w:rPr>
          <w:rFonts w:asciiTheme="minorHAnsi" w:hAnsiTheme="minorHAnsi" w:cstheme="minorHAnsi"/>
          <w:lang w:val="el-GR"/>
        </w:rPr>
        <w:t xml:space="preserve"> (ΜΝΒ)</w:t>
      </w:r>
      <w:r w:rsidR="006C55D4" w:rsidRPr="00466073">
        <w:rPr>
          <w:rFonts w:asciiTheme="minorHAnsi" w:hAnsiTheme="minorHAnsi" w:cstheme="minorHAnsi"/>
          <w:lang w:val="el-GR"/>
        </w:rPr>
        <w:t xml:space="preserve"> και υλοποίηση σφιχτής νομισματικής πολιτικής προκειμένου ανακοπεί η πτωτική τάση. </w:t>
      </w:r>
      <w:r w:rsidR="007B7BFC" w:rsidRPr="00466073">
        <w:rPr>
          <w:rFonts w:asciiTheme="minorHAnsi" w:hAnsiTheme="minorHAnsi" w:cstheme="minorHAnsi"/>
          <w:lang w:val="hu-HU"/>
        </w:rPr>
        <w:t>A</w:t>
      </w:r>
      <w:proofErr w:type="spellStart"/>
      <w:r w:rsidR="007B7BFC" w:rsidRPr="00466073">
        <w:rPr>
          <w:rFonts w:asciiTheme="minorHAnsi" w:hAnsiTheme="minorHAnsi" w:cstheme="minorHAnsi"/>
          <w:lang w:val="el-GR"/>
        </w:rPr>
        <w:t>πό</w:t>
      </w:r>
      <w:proofErr w:type="spellEnd"/>
      <w:r w:rsidR="007B7BFC" w:rsidRPr="00466073">
        <w:rPr>
          <w:rFonts w:asciiTheme="minorHAnsi" w:hAnsiTheme="minorHAnsi" w:cstheme="minorHAnsi"/>
          <w:lang w:val="el-GR"/>
        </w:rPr>
        <w:t xml:space="preserve"> την μία πλευρά, η</w:t>
      </w:r>
      <w:r w:rsidR="006C55D4" w:rsidRPr="00466073">
        <w:rPr>
          <w:rFonts w:asciiTheme="minorHAnsi" w:hAnsiTheme="minorHAnsi" w:cstheme="minorHAnsi"/>
          <w:lang w:val="el-GR"/>
        </w:rPr>
        <w:t xml:space="preserve"> εξάπλωση της πανδημίας </w:t>
      </w:r>
      <w:r w:rsidR="006C55D4" w:rsidRPr="00466073">
        <w:rPr>
          <w:rFonts w:asciiTheme="minorHAnsi" w:hAnsiTheme="minorHAnsi" w:cstheme="minorHAnsi"/>
        </w:rPr>
        <w:t>COVID</w:t>
      </w:r>
      <w:r w:rsidR="006C55D4" w:rsidRPr="00466073">
        <w:rPr>
          <w:rFonts w:asciiTheme="minorHAnsi" w:hAnsiTheme="minorHAnsi" w:cstheme="minorHAnsi"/>
          <w:lang w:val="el-GR"/>
        </w:rPr>
        <w:t>-19</w:t>
      </w:r>
      <w:r w:rsidR="007B7BFC" w:rsidRPr="00466073">
        <w:rPr>
          <w:rFonts w:asciiTheme="minorHAnsi" w:hAnsiTheme="minorHAnsi" w:cstheme="minorHAnsi"/>
          <w:lang w:val="el-GR"/>
        </w:rPr>
        <w:t xml:space="preserve"> και στη συνέχεια η </w:t>
      </w:r>
      <w:proofErr w:type="spellStart"/>
      <w:r w:rsidR="007B7BFC" w:rsidRPr="00466073">
        <w:rPr>
          <w:rFonts w:asciiTheme="minorHAnsi" w:hAnsiTheme="minorHAnsi" w:cstheme="minorHAnsi"/>
          <w:lang w:val="el-GR"/>
        </w:rPr>
        <w:t>ρωσο</w:t>
      </w:r>
      <w:proofErr w:type="spellEnd"/>
      <w:r w:rsidR="007B7BFC" w:rsidRPr="00466073">
        <w:rPr>
          <w:rFonts w:asciiTheme="minorHAnsi" w:hAnsiTheme="minorHAnsi" w:cstheme="minorHAnsi"/>
          <w:lang w:val="el-GR"/>
        </w:rPr>
        <w:t>/ουκρανική σύρραξη,</w:t>
      </w:r>
      <w:r w:rsidR="006C55D4" w:rsidRPr="00466073">
        <w:rPr>
          <w:rFonts w:asciiTheme="minorHAnsi" w:hAnsiTheme="minorHAnsi" w:cstheme="minorHAnsi"/>
          <w:lang w:val="el-GR"/>
        </w:rPr>
        <w:t xml:space="preserve"> επιδείνωσε την κατάσταση, </w:t>
      </w:r>
      <w:r w:rsidR="007B7BFC" w:rsidRPr="00466073">
        <w:rPr>
          <w:rFonts w:asciiTheme="minorHAnsi" w:hAnsiTheme="minorHAnsi" w:cstheme="minorHAnsi"/>
          <w:lang w:val="el-GR"/>
        </w:rPr>
        <w:t xml:space="preserve">με αποτέλεσμα </w:t>
      </w:r>
      <w:r w:rsidR="006C55D4" w:rsidRPr="00466073">
        <w:rPr>
          <w:rFonts w:asciiTheme="minorHAnsi" w:hAnsiTheme="minorHAnsi" w:cstheme="minorHAnsi"/>
          <w:lang w:val="el-GR"/>
        </w:rPr>
        <w:t xml:space="preserve">η οικονομία της χώρας </w:t>
      </w:r>
      <w:r w:rsidR="007B7BFC" w:rsidRPr="00466073">
        <w:rPr>
          <w:rFonts w:asciiTheme="minorHAnsi" w:hAnsiTheme="minorHAnsi" w:cstheme="minorHAnsi"/>
          <w:lang w:val="el-GR"/>
        </w:rPr>
        <w:t>να περιέλθει</w:t>
      </w:r>
      <w:r w:rsidR="006C55D4" w:rsidRPr="00466073">
        <w:rPr>
          <w:rFonts w:asciiTheme="minorHAnsi" w:hAnsiTheme="minorHAnsi" w:cstheme="minorHAnsi"/>
          <w:lang w:val="el-GR"/>
        </w:rPr>
        <w:t xml:space="preserve"> σε σχετικούς </w:t>
      </w:r>
      <w:proofErr w:type="spellStart"/>
      <w:r w:rsidR="006C55D4" w:rsidRPr="00466073">
        <w:rPr>
          <w:rFonts w:asciiTheme="minorHAnsi" w:hAnsiTheme="minorHAnsi" w:cstheme="minorHAnsi"/>
          <w:lang w:val="el-GR"/>
        </w:rPr>
        <w:t>υφεσιακούς</w:t>
      </w:r>
      <w:proofErr w:type="spellEnd"/>
      <w:r w:rsidR="006C55D4" w:rsidRPr="00466073">
        <w:rPr>
          <w:rFonts w:asciiTheme="minorHAnsi" w:hAnsiTheme="minorHAnsi" w:cstheme="minorHAnsi"/>
          <w:lang w:val="el-GR"/>
        </w:rPr>
        <w:t xml:space="preserve"> ρυθμούς. </w:t>
      </w:r>
    </w:p>
    <w:p w:rsidR="00305741" w:rsidRPr="00466073" w:rsidRDefault="00305741" w:rsidP="000726F3">
      <w:pPr>
        <w:jc w:val="both"/>
        <w:rPr>
          <w:rFonts w:asciiTheme="minorHAnsi" w:hAnsiTheme="minorHAnsi" w:cstheme="minorHAnsi"/>
          <w:lang w:val="el-GR"/>
        </w:rPr>
      </w:pPr>
    </w:p>
    <w:p w:rsidR="007E4963" w:rsidRPr="00466073" w:rsidRDefault="006C55D4" w:rsidP="000726F3">
      <w:pPr>
        <w:jc w:val="both"/>
        <w:rPr>
          <w:rFonts w:asciiTheme="minorHAnsi" w:hAnsiTheme="minorHAnsi" w:cstheme="minorHAnsi"/>
          <w:lang w:val="hu-HU"/>
        </w:rPr>
      </w:pPr>
      <w:r w:rsidRPr="00466073">
        <w:rPr>
          <w:rFonts w:asciiTheme="minorHAnsi" w:hAnsiTheme="minorHAnsi" w:cstheme="minorHAnsi"/>
          <w:lang w:val="el-GR"/>
        </w:rPr>
        <w:t>Οι ανακοινώσεις της κυβέρνησης για λήψη μέτρων ενίσχυσης της οικονομίας</w:t>
      </w:r>
      <w:r w:rsidR="007B7BFC" w:rsidRPr="00466073">
        <w:rPr>
          <w:rFonts w:asciiTheme="minorHAnsi" w:hAnsiTheme="minorHAnsi" w:cstheme="minorHAnsi"/>
          <w:lang w:val="el-GR"/>
        </w:rPr>
        <w:t xml:space="preserve"> </w:t>
      </w:r>
      <w:r w:rsidR="006C48E2" w:rsidRPr="00466073">
        <w:rPr>
          <w:rFonts w:asciiTheme="minorHAnsi" w:hAnsiTheme="minorHAnsi" w:cstheme="minorHAnsi"/>
          <w:lang w:val="el-GR"/>
        </w:rPr>
        <w:t>οδήγησαν σε ακόμη μεγαλύτερη πίεση το εθνικ</w:t>
      </w:r>
      <w:r w:rsidR="0085050A" w:rsidRPr="00466073">
        <w:rPr>
          <w:rFonts w:asciiTheme="minorHAnsi" w:hAnsiTheme="minorHAnsi" w:cstheme="minorHAnsi"/>
          <w:lang w:val="el-GR"/>
        </w:rPr>
        <w:t xml:space="preserve">ό νόμισμα, το οποίο, τον </w:t>
      </w:r>
      <w:r w:rsidR="007B7BFC" w:rsidRPr="00466073">
        <w:rPr>
          <w:rFonts w:asciiTheme="minorHAnsi" w:hAnsiTheme="minorHAnsi" w:cstheme="minorHAnsi"/>
          <w:lang w:val="el-GR"/>
        </w:rPr>
        <w:t xml:space="preserve">Σεπτέμβριο του 2022 υποχώρησε ακόμη και στα 421,41 HUF/€ και τον τελευταίο μήνα του έτους στα 400,25 HUF/€.  </w:t>
      </w:r>
      <w:r w:rsidR="006C48E2" w:rsidRPr="00466073">
        <w:rPr>
          <w:rFonts w:asciiTheme="minorHAnsi" w:hAnsiTheme="minorHAnsi" w:cstheme="minorHAnsi"/>
          <w:lang w:val="el-GR"/>
        </w:rPr>
        <w:t>Η διολίσθηση του φιορινιού και η παράλληλη αύξηση του πληθωρισμού, ανάγκασαν την Κεντρική Τράπεζα να παρέμβει</w:t>
      </w:r>
      <w:r w:rsidR="00C80256" w:rsidRPr="00466073">
        <w:rPr>
          <w:rFonts w:asciiTheme="minorHAnsi" w:hAnsiTheme="minorHAnsi" w:cstheme="minorHAnsi"/>
          <w:lang w:val="el-GR"/>
        </w:rPr>
        <w:t xml:space="preserve">, αρχικά </w:t>
      </w:r>
      <w:r w:rsidR="006C48E2" w:rsidRPr="00466073">
        <w:rPr>
          <w:rFonts w:asciiTheme="minorHAnsi" w:hAnsiTheme="minorHAnsi" w:cstheme="minorHAnsi"/>
          <w:lang w:val="el-GR"/>
        </w:rPr>
        <w:t xml:space="preserve">μειώνοντας την ρευστότητα στην αγορά μέσω ακύρωσης της διάθεσης </w:t>
      </w:r>
      <w:proofErr w:type="spellStart"/>
      <w:r w:rsidR="006C48E2" w:rsidRPr="00466073">
        <w:rPr>
          <w:rFonts w:asciiTheme="minorHAnsi" w:hAnsiTheme="minorHAnsi" w:cstheme="minorHAnsi"/>
          <w:lang w:val="el-GR"/>
        </w:rPr>
        <w:t>swaps</w:t>
      </w:r>
      <w:proofErr w:type="spellEnd"/>
      <w:r w:rsidR="00C80256" w:rsidRPr="00466073">
        <w:rPr>
          <w:rFonts w:asciiTheme="minorHAnsi" w:hAnsiTheme="minorHAnsi" w:cstheme="minorHAnsi"/>
          <w:lang w:val="el-GR"/>
        </w:rPr>
        <w:t xml:space="preserve"> και στη συνέχεια αυξάνοντας τα  βραχυπρόθεσμα επιτόκια. Οι </w:t>
      </w:r>
      <w:r w:rsidR="007E4963" w:rsidRPr="00466073">
        <w:rPr>
          <w:rFonts w:asciiTheme="minorHAnsi" w:hAnsiTheme="minorHAnsi" w:cstheme="minorHAnsi"/>
          <w:lang w:val="el-GR"/>
        </w:rPr>
        <w:t xml:space="preserve">διορθωτικές παρεμβάσεις της ΜΝΒ, σε αυστηρότερη νομισματική πολιτική, </w:t>
      </w:r>
      <w:r w:rsidR="00C80256" w:rsidRPr="00466073">
        <w:rPr>
          <w:rFonts w:asciiTheme="minorHAnsi" w:hAnsiTheme="minorHAnsi" w:cstheme="minorHAnsi"/>
          <w:lang w:val="el-GR"/>
        </w:rPr>
        <w:t>σηματοδότησαν το τέλος της εξαιρετικά χαλαρής νομισματικής πολιτικής που ακολουθούσε τα τελευταία χρόνια η Τράπεζα</w:t>
      </w:r>
      <w:r w:rsidR="00E22BDD" w:rsidRPr="00466073">
        <w:rPr>
          <w:rFonts w:asciiTheme="minorHAnsi" w:hAnsiTheme="minorHAnsi" w:cstheme="minorHAnsi"/>
          <w:lang w:val="el-GR"/>
        </w:rPr>
        <w:t xml:space="preserve">. </w:t>
      </w:r>
      <w:r w:rsidR="007B7BFC" w:rsidRPr="00466073">
        <w:rPr>
          <w:rFonts w:asciiTheme="minorHAnsi" w:hAnsiTheme="minorHAnsi" w:cstheme="minorHAnsi"/>
          <w:lang w:val="el-GR"/>
        </w:rPr>
        <w:t xml:space="preserve">Καθαυτό τον τρόπο λοιπόν, </w:t>
      </w:r>
      <w:r w:rsidR="00C80256" w:rsidRPr="00466073">
        <w:rPr>
          <w:rFonts w:asciiTheme="minorHAnsi" w:hAnsiTheme="minorHAnsi" w:cstheme="minorHAnsi"/>
          <w:lang w:val="el-GR"/>
        </w:rPr>
        <w:t xml:space="preserve">η συνεχιζόμενη, τα τελευταία χρόνια, </w:t>
      </w:r>
      <w:r w:rsidR="00B94D09" w:rsidRPr="00466073">
        <w:rPr>
          <w:rFonts w:asciiTheme="minorHAnsi" w:hAnsiTheme="minorHAnsi" w:cstheme="minorHAnsi"/>
          <w:lang w:val="el-GR"/>
        </w:rPr>
        <w:t xml:space="preserve">διολίσθηση του εθνικού νομίσματος της Ουγγαρίας </w:t>
      </w:r>
      <w:r w:rsidR="005B4F5E" w:rsidRPr="00466073">
        <w:rPr>
          <w:rFonts w:asciiTheme="minorHAnsi" w:hAnsiTheme="minorHAnsi" w:cstheme="minorHAnsi"/>
          <w:lang w:val="el-GR"/>
        </w:rPr>
        <w:t xml:space="preserve">έναντι του </w:t>
      </w:r>
      <w:r w:rsidR="00B94D09" w:rsidRPr="00466073">
        <w:rPr>
          <w:rFonts w:asciiTheme="minorHAnsi" w:hAnsiTheme="minorHAnsi" w:cstheme="minorHAnsi"/>
          <w:lang w:val="el-GR"/>
        </w:rPr>
        <w:t>ευρώ</w:t>
      </w:r>
      <w:r w:rsidR="00F378CD" w:rsidRPr="00466073">
        <w:rPr>
          <w:rFonts w:asciiTheme="minorHAnsi" w:hAnsiTheme="minorHAnsi" w:cstheme="minorHAnsi"/>
          <w:lang w:val="el-GR"/>
        </w:rPr>
        <w:t>,</w:t>
      </w:r>
      <w:r w:rsidR="00B94D09" w:rsidRPr="00466073">
        <w:rPr>
          <w:rFonts w:asciiTheme="minorHAnsi" w:hAnsiTheme="minorHAnsi" w:cstheme="minorHAnsi"/>
          <w:lang w:val="el-GR"/>
        </w:rPr>
        <w:t xml:space="preserve"> </w:t>
      </w:r>
      <w:r w:rsidR="00C80256" w:rsidRPr="00466073">
        <w:rPr>
          <w:rFonts w:asciiTheme="minorHAnsi" w:hAnsiTheme="minorHAnsi" w:cstheme="minorHAnsi"/>
          <w:lang w:val="el-GR"/>
        </w:rPr>
        <w:t xml:space="preserve">καθιστά όλο και </w:t>
      </w:r>
      <w:r w:rsidR="00A14AB6" w:rsidRPr="00466073">
        <w:rPr>
          <w:rFonts w:asciiTheme="minorHAnsi" w:hAnsiTheme="minorHAnsi" w:cstheme="minorHAnsi"/>
          <w:lang w:val="el-GR"/>
        </w:rPr>
        <w:t>πιο ελκυστικά τα ουγγρικά προϊόντα</w:t>
      </w:r>
      <w:r w:rsidR="005E0B20" w:rsidRPr="00466073">
        <w:rPr>
          <w:rFonts w:asciiTheme="minorHAnsi" w:hAnsiTheme="minorHAnsi" w:cstheme="minorHAnsi"/>
          <w:lang w:val="el-GR"/>
        </w:rPr>
        <w:t xml:space="preserve">, </w:t>
      </w:r>
      <w:r w:rsidR="00A14AB6" w:rsidRPr="00466073">
        <w:rPr>
          <w:rFonts w:asciiTheme="minorHAnsi" w:hAnsiTheme="minorHAnsi" w:cstheme="minorHAnsi"/>
          <w:lang w:val="el-GR"/>
        </w:rPr>
        <w:t xml:space="preserve"> </w:t>
      </w:r>
      <w:r w:rsidR="005E0B20" w:rsidRPr="00466073">
        <w:rPr>
          <w:rFonts w:asciiTheme="minorHAnsi" w:hAnsiTheme="minorHAnsi" w:cstheme="minorHAnsi"/>
          <w:lang w:val="el-GR"/>
        </w:rPr>
        <w:t xml:space="preserve">όχι μόνο </w:t>
      </w:r>
      <w:r w:rsidR="00A14AB6" w:rsidRPr="00466073">
        <w:rPr>
          <w:rFonts w:asciiTheme="minorHAnsi" w:hAnsiTheme="minorHAnsi" w:cstheme="minorHAnsi"/>
          <w:lang w:val="el-GR"/>
        </w:rPr>
        <w:t xml:space="preserve">στην ελληνική αγορά. </w:t>
      </w:r>
    </w:p>
    <w:p w:rsidR="00576514" w:rsidRPr="00466073" w:rsidRDefault="00576514" w:rsidP="000726F3">
      <w:pPr>
        <w:jc w:val="both"/>
        <w:rPr>
          <w:rFonts w:asciiTheme="minorHAnsi" w:hAnsiTheme="minorHAnsi" w:cstheme="minorHAnsi"/>
          <w:lang w:val="hu-HU"/>
        </w:rPr>
      </w:pPr>
    </w:p>
    <w:p w:rsidR="00576514" w:rsidRPr="00466073" w:rsidRDefault="00576514" w:rsidP="000726F3">
      <w:pPr>
        <w:jc w:val="both"/>
        <w:rPr>
          <w:rFonts w:asciiTheme="minorHAnsi" w:hAnsiTheme="minorHAnsi" w:cstheme="minorHAnsi"/>
          <w:lang w:val="hu-HU"/>
        </w:rPr>
      </w:pPr>
    </w:p>
    <w:p w:rsidR="00576514" w:rsidRPr="00466073" w:rsidRDefault="00F331B5" w:rsidP="000726F3">
      <w:pPr>
        <w:jc w:val="both"/>
        <w:rPr>
          <w:rFonts w:asciiTheme="minorHAnsi" w:hAnsiTheme="minorHAnsi" w:cstheme="minorHAnsi"/>
          <w:lang w:val="hu-HU"/>
        </w:rPr>
      </w:pPr>
      <w:r w:rsidRPr="00466073">
        <w:rPr>
          <w:rFonts w:asciiTheme="minorHAnsi" w:hAnsiTheme="minorHAnsi" w:cstheme="minorHAnsi"/>
          <w:noProof/>
        </w:rPr>
        <w:drawing>
          <wp:inline distT="0" distB="0" distL="0" distR="0">
            <wp:extent cx="5898671" cy="2449902"/>
            <wp:effectExtent l="19050" t="0" r="25879" b="7548"/>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E4963" w:rsidRPr="00466073" w:rsidRDefault="007E4963" w:rsidP="000726F3">
      <w:pPr>
        <w:jc w:val="both"/>
        <w:rPr>
          <w:rFonts w:asciiTheme="minorHAnsi" w:hAnsiTheme="minorHAnsi" w:cstheme="minorHAnsi"/>
          <w:lang w:val="el-GR"/>
        </w:rPr>
      </w:pPr>
    </w:p>
    <w:p w:rsidR="00F120E9" w:rsidRPr="00466073" w:rsidRDefault="00305741" w:rsidP="007E4963">
      <w:pPr>
        <w:widowControl w:val="0"/>
        <w:autoSpaceDE w:val="0"/>
        <w:autoSpaceDN w:val="0"/>
        <w:adjustRightInd w:val="0"/>
        <w:spacing w:line="233" w:lineRule="auto"/>
        <w:ind w:left="-270"/>
        <w:rPr>
          <w:rFonts w:asciiTheme="minorHAnsi" w:hAnsiTheme="minorHAnsi" w:cstheme="minorHAnsi"/>
          <w:bCs/>
          <w:lang w:val="el-GR"/>
        </w:rPr>
      </w:pPr>
      <w:r w:rsidRPr="00466073">
        <w:rPr>
          <w:rFonts w:asciiTheme="minorHAnsi" w:hAnsiTheme="minorHAnsi" w:cstheme="minorHAnsi"/>
          <w:lang w:val="el-GR"/>
        </w:rPr>
        <w:t xml:space="preserve">     </w:t>
      </w:r>
      <w:r w:rsidR="002A1036" w:rsidRPr="00466073">
        <w:rPr>
          <w:rFonts w:asciiTheme="minorHAnsi" w:hAnsiTheme="minorHAnsi" w:cstheme="minorHAnsi"/>
          <w:u w:val="single"/>
          <w:lang w:val="el-GR"/>
        </w:rPr>
        <w:t>Πηγή:</w:t>
      </w:r>
      <w:r w:rsidR="002A1036" w:rsidRPr="00466073">
        <w:rPr>
          <w:rFonts w:asciiTheme="minorHAnsi" w:hAnsiTheme="minorHAnsi" w:cstheme="minorHAnsi"/>
          <w:lang w:val="el-GR"/>
        </w:rPr>
        <w:t xml:space="preserve"> </w:t>
      </w:r>
      <w:r w:rsidR="00F120E9" w:rsidRPr="00466073">
        <w:rPr>
          <w:rFonts w:asciiTheme="minorHAnsi" w:hAnsiTheme="minorHAnsi" w:cstheme="minorHAnsi"/>
          <w:lang w:val="el-GR"/>
        </w:rPr>
        <w:t>Στατιστική Υπηρεσία Ουγγαρίας (</w:t>
      </w:r>
      <w:r w:rsidR="00F120E9" w:rsidRPr="00466073">
        <w:rPr>
          <w:rFonts w:asciiTheme="minorHAnsi" w:hAnsiTheme="minorHAnsi" w:cstheme="minorHAnsi"/>
        </w:rPr>
        <w:t>KSH</w:t>
      </w:r>
      <w:r w:rsidR="00F120E9" w:rsidRPr="00466073">
        <w:rPr>
          <w:rFonts w:asciiTheme="minorHAnsi" w:hAnsiTheme="minorHAnsi" w:cstheme="minorHAnsi"/>
          <w:lang w:val="el-GR"/>
        </w:rPr>
        <w:t>)</w:t>
      </w:r>
      <w:r w:rsidR="00F120E9" w:rsidRPr="00466073">
        <w:rPr>
          <w:rFonts w:asciiTheme="minorHAnsi" w:hAnsiTheme="minorHAnsi" w:cstheme="minorHAnsi"/>
          <w:bCs/>
          <w:lang w:val="el-GR"/>
        </w:rPr>
        <w:t>.</w:t>
      </w:r>
    </w:p>
    <w:p w:rsidR="000243F2" w:rsidRPr="00466073" w:rsidRDefault="000243F2">
      <w:pPr>
        <w:widowControl w:val="0"/>
        <w:autoSpaceDE w:val="0"/>
        <w:autoSpaceDN w:val="0"/>
        <w:adjustRightInd w:val="0"/>
        <w:spacing w:line="345" w:lineRule="exact"/>
        <w:rPr>
          <w:rFonts w:asciiTheme="minorHAnsi" w:hAnsiTheme="minorHAnsi" w:cstheme="minorHAnsi"/>
          <w:lang w:val="el-GR"/>
        </w:rPr>
      </w:pPr>
    </w:p>
    <w:p w:rsidR="00354952" w:rsidRPr="00466073" w:rsidRDefault="00354952" w:rsidP="000726F3">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u w:val="single"/>
          <w:lang w:val="el-GR"/>
        </w:rPr>
      </w:pPr>
      <w:r w:rsidRPr="00466073">
        <w:rPr>
          <w:rFonts w:asciiTheme="minorHAnsi" w:hAnsiTheme="minorHAnsi" w:cstheme="minorHAnsi"/>
          <w:u w:val="single"/>
          <w:lang w:val="el-GR"/>
        </w:rPr>
        <w:t>Ελληνικά προϊόντα στην ουγγρική αγορά</w:t>
      </w:r>
    </w:p>
    <w:p w:rsidR="003D45B4" w:rsidRPr="00466073" w:rsidRDefault="003D45B4" w:rsidP="009B24AA">
      <w:pPr>
        <w:jc w:val="both"/>
        <w:rPr>
          <w:rFonts w:asciiTheme="minorHAnsi" w:hAnsiTheme="minorHAnsi" w:cstheme="minorHAnsi"/>
          <w:lang w:val="el-GR"/>
        </w:rPr>
      </w:pPr>
    </w:p>
    <w:p w:rsidR="009B24AA" w:rsidRPr="00466073" w:rsidRDefault="009B24AA" w:rsidP="009B24AA">
      <w:pPr>
        <w:jc w:val="both"/>
        <w:rPr>
          <w:rFonts w:asciiTheme="minorHAnsi" w:hAnsiTheme="minorHAnsi" w:cstheme="minorHAnsi"/>
          <w:lang w:val="el-GR"/>
        </w:rPr>
      </w:pPr>
      <w:r w:rsidRPr="00466073">
        <w:rPr>
          <w:rFonts w:asciiTheme="minorHAnsi" w:hAnsiTheme="minorHAnsi" w:cstheme="minorHAnsi"/>
          <w:lang w:val="el-GR"/>
        </w:rPr>
        <w:t>Η σύνθεση των ελληνικών εξαγωγών στην Ουγγαρία περιλαμβάνει προϊόντ</w:t>
      </w:r>
      <w:r w:rsidR="000726F3" w:rsidRPr="00466073">
        <w:rPr>
          <w:rFonts w:asciiTheme="minorHAnsi" w:hAnsiTheme="minorHAnsi" w:cstheme="minorHAnsi"/>
          <w:lang w:val="el-GR"/>
        </w:rPr>
        <w:t>α</w:t>
      </w:r>
      <w:r w:rsidRPr="00466073">
        <w:rPr>
          <w:rFonts w:asciiTheme="minorHAnsi" w:hAnsiTheme="minorHAnsi" w:cstheme="minorHAnsi"/>
          <w:lang w:val="el-GR"/>
        </w:rPr>
        <w:t xml:space="preserve"> αλουμινίου (ράβδοι, πλάκες και φύλλα</w:t>
      </w:r>
      <w:r w:rsidR="00836971" w:rsidRPr="00466073">
        <w:rPr>
          <w:rFonts w:asciiTheme="minorHAnsi" w:hAnsiTheme="minorHAnsi" w:cstheme="minorHAnsi"/>
          <w:lang w:val="el-GR"/>
        </w:rPr>
        <w:t>),</w:t>
      </w:r>
      <w:r w:rsidRPr="00466073">
        <w:rPr>
          <w:rFonts w:asciiTheme="minorHAnsi" w:hAnsiTheme="minorHAnsi" w:cstheme="minorHAnsi"/>
          <w:lang w:val="el-GR"/>
        </w:rPr>
        <w:t xml:space="preserve"> φαρμακευτικά προϊόντα, </w:t>
      </w:r>
      <w:r w:rsidR="00836971" w:rsidRPr="00466073">
        <w:rPr>
          <w:rFonts w:asciiTheme="minorHAnsi" w:hAnsiTheme="minorHAnsi" w:cstheme="minorHAnsi"/>
          <w:lang w:val="el-GR"/>
        </w:rPr>
        <w:t xml:space="preserve">αγροτικά προϊόντα τροφίμων, </w:t>
      </w:r>
      <w:r w:rsidRPr="00466073">
        <w:rPr>
          <w:rFonts w:asciiTheme="minorHAnsi" w:hAnsiTheme="minorHAnsi" w:cstheme="minorHAnsi"/>
          <w:lang w:val="el-GR"/>
        </w:rPr>
        <w:t>τηλεφωνικές συσκευές, προϊόντα από πλαστικό, λιπάσματα, εντομοκτόνα, συσκευές ψύξης, κ.ά.</w:t>
      </w:r>
    </w:p>
    <w:p w:rsidR="009B24AA" w:rsidRDefault="003D45B4" w:rsidP="001667C0">
      <w:pPr>
        <w:jc w:val="both"/>
        <w:rPr>
          <w:rFonts w:asciiTheme="minorHAnsi" w:hAnsiTheme="minorHAnsi" w:cstheme="minorHAnsi"/>
          <w:lang w:val="el-GR"/>
        </w:rPr>
      </w:pPr>
      <w:r w:rsidRPr="00466073">
        <w:rPr>
          <w:rFonts w:asciiTheme="minorHAnsi" w:hAnsiTheme="minorHAnsi" w:cstheme="minorHAnsi"/>
          <w:lang w:val="el-GR"/>
        </w:rPr>
        <w:t>Στον παρακάτω πίνακα απεικονίζονται τα κυριότερα εξαγόμενα στην Ουγγαρία ελληνικά προϊόντα κατά την τελευταία πενταετία</w:t>
      </w:r>
      <w:r w:rsidR="001667C0" w:rsidRPr="00466073">
        <w:rPr>
          <w:rFonts w:asciiTheme="minorHAnsi" w:hAnsiTheme="minorHAnsi" w:cstheme="minorHAnsi"/>
          <w:lang w:val="el-GR"/>
        </w:rPr>
        <w:t xml:space="preserve"> </w:t>
      </w:r>
      <w:r w:rsidR="00836971" w:rsidRPr="00466073">
        <w:rPr>
          <w:rFonts w:asciiTheme="minorHAnsi" w:hAnsiTheme="minorHAnsi" w:cstheme="minorHAnsi"/>
          <w:lang w:val="el-GR"/>
        </w:rPr>
        <w:t>(</w:t>
      </w:r>
      <w:r w:rsidR="001667C0" w:rsidRPr="00466073">
        <w:rPr>
          <w:rFonts w:asciiTheme="minorHAnsi" w:hAnsiTheme="minorHAnsi" w:cstheme="minorHAnsi"/>
          <w:lang w:val="el-GR"/>
        </w:rPr>
        <w:t xml:space="preserve">κατά </w:t>
      </w:r>
      <w:r w:rsidR="00836971" w:rsidRPr="00466073">
        <w:rPr>
          <w:rFonts w:asciiTheme="minorHAnsi" w:hAnsiTheme="minorHAnsi" w:cstheme="minorHAnsi"/>
          <w:lang w:val="el-GR"/>
        </w:rPr>
        <w:t xml:space="preserve">φθίνουσα </w:t>
      </w:r>
      <w:r w:rsidR="001667C0" w:rsidRPr="00466073">
        <w:rPr>
          <w:rFonts w:asciiTheme="minorHAnsi" w:hAnsiTheme="minorHAnsi" w:cstheme="minorHAnsi"/>
          <w:lang w:val="el-GR"/>
        </w:rPr>
        <w:t>σειρά αξίας</w:t>
      </w:r>
      <w:r w:rsidR="00836971" w:rsidRPr="00466073">
        <w:rPr>
          <w:rFonts w:asciiTheme="minorHAnsi" w:hAnsiTheme="minorHAnsi" w:cstheme="minorHAnsi"/>
          <w:lang w:val="el-GR"/>
        </w:rPr>
        <w:t xml:space="preserve"> στο έτος αναφοράς)</w:t>
      </w:r>
      <w:r w:rsidR="001667C0" w:rsidRPr="00466073">
        <w:rPr>
          <w:rFonts w:asciiTheme="minorHAnsi" w:hAnsiTheme="minorHAnsi" w:cstheme="minorHAnsi"/>
          <w:lang w:val="el-GR"/>
        </w:rPr>
        <w:t xml:space="preserve">. </w:t>
      </w:r>
    </w:p>
    <w:p w:rsidR="002E7491" w:rsidRDefault="002E7491" w:rsidP="001667C0">
      <w:pPr>
        <w:jc w:val="both"/>
        <w:rPr>
          <w:rFonts w:asciiTheme="minorHAnsi" w:hAnsiTheme="minorHAnsi" w:cstheme="minorHAnsi"/>
          <w:lang w:val="el-GR"/>
        </w:rPr>
      </w:pPr>
    </w:p>
    <w:p w:rsidR="002E7491" w:rsidRDefault="002E7491" w:rsidP="001667C0">
      <w:pPr>
        <w:jc w:val="both"/>
        <w:rPr>
          <w:rFonts w:asciiTheme="minorHAnsi" w:hAnsiTheme="minorHAnsi" w:cstheme="minorHAnsi"/>
          <w:lang w:val="el-GR"/>
        </w:rPr>
      </w:pPr>
    </w:p>
    <w:p w:rsidR="002E7491" w:rsidRDefault="002E7491" w:rsidP="001667C0">
      <w:pPr>
        <w:jc w:val="both"/>
        <w:rPr>
          <w:rFonts w:asciiTheme="minorHAnsi" w:hAnsiTheme="minorHAnsi" w:cstheme="minorHAnsi"/>
          <w:lang w:val="el-GR"/>
        </w:rPr>
      </w:pPr>
    </w:p>
    <w:p w:rsidR="002E7491" w:rsidRPr="00466073" w:rsidRDefault="002E7491" w:rsidP="001667C0">
      <w:pPr>
        <w:jc w:val="both"/>
        <w:rPr>
          <w:rFonts w:asciiTheme="minorHAnsi" w:hAnsiTheme="minorHAnsi" w:cstheme="minorHAnsi"/>
          <w:lang w:val="el-GR"/>
        </w:rPr>
      </w:pPr>
    </w:p>
    <w:p w:rsidR="006578D2" w:rsidRPr="00466073" w:rsidRDefault="006578D2" w:rsidP="006578D2">
      <w:pPr>
        <w:jc w:val="center"/>
        <w:rPr>
          <w:rFonts w:asciiTheme="minorHAnsi" w:hAnsiTheme="minorHAnsi" w:cstheme="minorHAnsi"/>
          <w:b/>
          <w:lang w:val="el-GR"/>
        </w:rPr>
      </w:pPr>
    </w:p>
    <w:p w:rsidR="006578D2" w:rsidRPr="00466073" w:rsidRDefault="006578D2" w:rsidP="006578D2">
      <w:pPr>
        <w:jc w:val="center"/>
        <w:rPr>
          <w:rFonts w:asciiTheme="minorHAnsi" w:hAnsiTheme="minorHAnsi" w:cstheme="minorHAnsi"/>
          <w:b/>
          <w:lang w:val="el-GR"/>
        </w:rPr>
      </w:pPr>
      <w:r w:rsidRPr="00466073">
        <w:rPr>
          <w:rFonts w:asciiTheme="minorHAnsi" w:hAnsiTheme="minorHAnsi" w:cstheme="minorHAnsi"/>
          <w:b/>
          <w:lang w:val="el-GR"/>
        </w:rPr>
        <w:t>ΤΑ 1</w:t>
      </w:r>
      <w:r w:rsidR="00776D6F" w:rsidRPr="00466073">
        <w:rPr>
          <w:rFonts w:asciiTheme="minorHAnsi" w:hAnsiTheme="minorHAnsi" w:cstheme="minorHAnsi"/>
          <w:b/>
          <w:lang w:val="el-GR"/>
        </w:rPr>
        <w:t>0</w:t>
      </w:r>
      <w:r w:rsidRPr="00466073">
        <w:rPr>
          <w:rFonts w:asciiTheme="minorHAnsi" w:hAnsiTheme="minorHAnsi" w:cstheme="minorHAnsi"/>
          <w:b/>
          <w:lang w:val="el-GR"/>
        </w:rPr>
        <w:t xml:space="preserve"> ΚΥΡΙΟΤΕΡΑ ΕΞΑΓΟΜΕΝΑ ΣΤΗΝ ΟΥΓΓΑΡΙΑ ΕΛΛΗΝΙΚΑ ΠΡΟΪΟΝΤΑ (</w:t>
      </w:r>
      <w:r w:rsidRPr="00466073">
        <w:rPr>
          <w:rFonts w:asciiTheme="minorHAnsi" w:hAnsiTheme="minorHAnsi" w:cstheme="minorHAnsi"/>
          <w:b/>
        </w:rPr>
        <w:t>CN</w:t>
      </w:r>
      <w:r w:rsidRPr="00466073">
        <w:rPr>
          <w:rFonts w:asciiTheme="minorHAnsi" w:hAnsiTheme="minorHAnsi" w:cstheme="minorHAnsi"/>
          <w:b/>
          <w:lang w:val="el-GR"/>
        </w:rPr>
        <w:t>4)</w:t>
      </w:r>
    </w:p>
    <w:tbl>
      <w:tblPr>
        <w:tblStyle w:val="TableGrid"/>
        <w:tblW w:w="11223" w:type="dxa"/>
        <w:jc w:val="center"/>
        <w:tblInd w:w="-2222" w:type="dxa"/>
        <w:tblLook w:val="04A0"/>
      </w:tblPr>
      <w:tblGrid>
        <w:gridCol w:w="1503"/>
        <w:gridCol w:w="1620"/>
        <w:gridCol w:w="1620"/>
        <w:gridCol w:w="1620"/>
        <w:gridCol w:w="1620"/>
        <w:gridCol w:w="1620"/>
        <w:gridCol w:w="1620"/>
      </w:tblGrid>
      <w:tr w:rsidR="00951BDB" w:rsidRPr="00466073" w:rsidTr="00951BDB">
        <w:trPr>
          <w:jc w:val="center"/>
        </w:trPr>
        <w:tc>
          <w:tcPr>
            <w:tcW w:w="1503" w:type="dxa"/>
            <w:shd w:val="clear" w:color="auto" w:fill="D9D9D9" w:themeFill="background1" w:themeFillShade="D9"/>
          </w:tcPr>
          <w:p w:rsidR="00951BDB" w:rsidRPr="00466073" w:rsidRDefault="00951BDB" w:rsidP="00AF4F9B">
            <w:pPr>
              <w:jc w:val="center"/>
              <w:rPr>
                <w:rFonts w:asciiTheme="minorHAnsi" w:hAnsiTheme="minorHAnsi" w:cstheme="minorHAnsi"/>
              </w:rPr>
            </w:pPr>
            <w:r w:rsidRPr="00466073">
              <w:rPr>
                <w:rFonts w:asciiTheme="minorHAnsi" w:hAnsiTheme="minorHAnsi" w:cstheme="minorHAnsi"/>
              </w:rPr>
              <w:t>(</w:t>
            </w:r>
            <w:proofErr w:type="spellStart"/>
            <w:r w:rsidRPr="00466073">
              <w:rPr>
                <w:rFonts w:asciiTheme="minorHAnsi" w:hAnsiTheme="minorHAnsi" w:cstheme="minorHAnsi"/>
              </w:rPr>
              <w:t>σε</w:t>
            </w:r>
            <w:proofErr w:type="spellEnd"/>
            <w:r w:rsidRPr="00466073">
              <w:rPr>
                <w:rFonts w:asciiTheme="minorHAnsi" w:hAnsiTheme="minorHAnsi" w:cstheme="minorHAnsi"/>
              </w:rPr>
              <w:t xml:space="preserve"> </w:t>
            </w:r>
            <w:r w:rsidRPr="00466073">
              <w:rPr>
                <w:rFonts w:asciiTheme="minorHAnsi" w:hAnsiTheme="minorHAnsi" w:cstheme="minorHAnsi"/>
                <w:b/>
                <w:bCs/>
                <w:lang w:eastAsia="el-GR"/>
              </w:rPr>
              <w:t>€</w:t>
            </w:r>
            <w:r w:rsidRPr="00466073">
              <w:rPr>
                <w:rFonts w:asciiTheme="minorHAnsi" w:hAnsiTheme="minorHAnsi" w:cstheme="minorHAnsi"/>
                <w:bCs/>
                <w:lang w:eastAsia="el-GR"/>
              </w:rPr>
              <w:t>)</w:t>
            </w:r>
          </w:p>
        </w:tc>
        <w:tc>
          <w:tcPr>
            <w:tcW w:w="1620" w:type="dxa"/>
            <w:shd w:val="clear" w:color="auto" w:fill="D9D9D9" w:themeFill="background1" w:themeFillShade="D9"/>
          </w:tcPr>
          <w:p w:rsidR="00951BDB" w:rsidRPr="00466073" w:rsidRDefault="00951BDB" w:rsidP="00951BDB">
            <w:pPr>
              <w:jc w:val="center"/>
              <w:rPr>
                <w:rFonts w:asciiTheme="minorHAnsi" w:hAnsiTheme="minorHAnsi" w:cstheme="minorHAnsi"/>
                <w:b/>
                <w:lang w:val="el-GR"/>
              </w:rPr>
            </w:pPr>
            <w:r w:rsidRPr="00466073">
              <w:rPr>
                <w:rFonts w:asciiTheme="minorHAnsi" w:hAnsiTheme="minorHAnsi" w:cstheme="minorHAnsi"/>
                <w:b/>
                <w:lang w:val="el-GR"/>
              </w:rPr>
              <w:t>2017</w:t>
            </w:r>
          </w:p>
        </w:tc>
        <w:tc>
          <w:tcPr>
            <w:tcW w:w="1620" w:type="dxa"/>
            <w:shd w:val="clear" w:color="auto" w:fill="D9D9D9" w:themeFill="background1" w:themeFillShade="D9"/>
          </w:tcPr>
          <w:p w:rsidR="00951BDB" w:rsidRPr="00466073" w:rsidRDefault="00951BDB" w:rsidP="00951BDB">
            <w:pPr>
              <w:jc w:val="center"/>
              <w:rPr>
                <w:rFonts w:asciiTheme="minorHAnsi" w:hAnsiTheme="minorHAnsi" w:cstheme="minorHAnsi"/>
                <w:b/>
                <w:lang w:val="el-GR"/>
              </w:rPr>
            </w:pPr>
            <w:r w:rsidRPr="00466073">
              <w:rPr>
                <w:rFonts w:asciiTheme="minorHAnsi" w:hAnsiTheme="minorHAnsi" w:cstheme="minorHAnsi"/>
                <w:b/>
                <w:lang w:val="el-GR"/>
              </w:rPr>
              <w:t>2018</w:t>
            </w:r>
          </w:p>
        </w:tc>
        <w:tc>
          <w:tcPr>
            <w:tcW w:w="1620" w:type="dxa"/>
            <w:shd w:val="clear" w:color="auto" w:fill="D9D9D9" w:themeFill="background1" w:themeFillShade="D9"/>
          </w:tcPr>
          <w:p w:rsidR="00951BDB" w:rsidRPr="00466073" w:rsidRDefault="00951BDB" w:rsidP="00951BDB">
            <w:pPr>
              <w:jc w:val="center"/>
              <w:rPr>
                <w:rFonts w:asciiTheme="minorHAnsi" w:hAnsiTheme="minorHAnsi" w:cstheme="minorHAnsi"/>
                <w:b/>
              </w:rPr>
            </w:pPr>
            <w:r w:rsidRPr="00466073">
              <w:rPr>
                <w:rFonts w:asciiTheme="minorHAnsi" w:hAnsiTheme="minorHAnsi" w:cstheme="minorHAnsi"/>
                <w:b/>
              </w:rPr>
              <w:t>2019</w:t>
            </w:r>
          </w:p>
        </w:tc>
        <w:tc>
          <w:tcPr>
            <w:tcW w:w="1620" w:type="dxa"/>
            <w:shd w:val="clear" w:color="auto" w:fill="D9D9D9" w:themeFill="background1" w:themeFillShade="D9"/>
          </w:tcPr>
          <w:p w:rsidR="00951BDB" w:rsidRPr="00466073" w:rsidRDefault="00951BDB" w:rsidP="00951BDB">
            <w:pPr>
              <w:jc w:val="center"/>
              <w:rPr>
                <w:rFonts w:asciiTheme="minorHAnsi" w:hAnsiTheme="minorHAnsi" w:cstheme="minorHAnsi"/>
                <w:b/>
                <w:lang w:val="el-GR"/>
              </w:rPr>
            </w:pPr>
            <w:r w:rsidRPr="00466073">
              <w:rPr>
                <w:rFonts w:asciiTheme="minorHAnsi" w:hAnsiTheme="minorHAnsi" w:cstheme="minorHAnsi"/>
                <w:b/>
                <w:lang w:val="el-GR"/>
              </w:rPr>
              <w:t>2020</w:t>
            </w:r>
          </w:p>
        </w:tc>
        <w:tc>
          <w:tcPr>
            <w:tcW w:w="1620" w:type="dxa"/>
            <w:shd w:val="clear" w:color="auto" w:fill="D9D9D9" w:themeFill="background1" w:themeFillShade="D9"/>
          </w:tcPr>
          <w:p w:rsidR="00951BDB" w:rsidRPr="00466073" w:rsidRDefault="00951BDB" w:rsidP="00951BDB">
            <w:pPr>
              <w:jc w:val="center"/>
              <w:rPr>
                <w:rFonts w:asciiTheme="minorHAnsi" w:hAnsiTheme="minorHAnsi" w:cstheme="minorHAnsi"/>
                <w:b/>
              </w:rPr>
            </w:pPr>
            <w:r w:rsidRPr="00466073">
              <w:rPr>
                <w:rFonts w:asciiTheme="minorHAnsi" w:hAnsiTheme="minorHAnsi" w:cstheme="minorHAnsi"/>
                <w:b/>
                <w:lang w:val="el-GR"/>
              </w:rPr>
              <w:t>202</w:t>
            </w:r>
            <w:r w:rsidRPr="00466073">
              <w:rPr>
                <w:rFonts w:asciiTheme="minorHAnsi" w:hAnsiTheme="minorHAnsi" w:cstheme="minorHAnsi"/>
                <w:b/>
              </w:rPr>
              <w:t>1</w:t>
            </w:r>
          </w:p>
        </w:tc>
        <w:tc>
          <w:tcPr>
            <w:tcW w:w="1620" w:type="dxa"/>
            <w:shd w:val="clear" w:color="auto" w:fill="D9D9D9" w:themeFill="background1" w:themeFillShade="D9"/>
          </w:tcPr>
          <w:p w:rsidR="00951BDB" w:rsidRPr="00466073" w:rsidRDefault="00951BDB" w:rsidP="00AF4F9B">
            <w:pPr>
              <w:jc w:val="center"/>
              <w:rPr>
                <w:rFonts w:asciiTheme="minorHAnsi" w:hAnsiTheme="minorHAnsi" w:cstheme="minorHAnsi"/>
                <w:b/>
                <w:lang w:val="hu-HU"/>
              </w:rPr>
            </w:pPr>
            <w:r w:rsidRPr="00466073">
              <w:rPr>
                <w:rFonts w:asciiTheme="minorHAnsi" w:hAnsiTheme="minorHAnsi" w:cstheme="minorHAnsi"/>
                <w:b/>
                <w:lang w:val="el-GR"/>
              </w:rPr>
              <w:t>202</w:t>
            </w:r>
            <w:r w:rsidRPr="00466073">
              <w:rPr>
                <w:rFonts w:asciiTheme="minorHAnsi" w:hAnsiTheme="minorHAnsi" w:cstheme="minorHAnsi"/>
                <w:b/>
                <w:lang w:val="hu-HU"/>
              </w:rPr>
              <w:t>2</w:t>
            </w:r>
          </w:p>
        </w:tc>
      </w:tr>
      <w:tr w:rsidR="00951BDB" w:rsidRPr="00466073" w:rsidTr="00951BDB">
        <w:trPr>
          <w:trHeight w:val="556"/>
          <w:jc w:val="center"/>
        </w:trPr>
        <w:tc>
          <w:tcPr>
            <w:tcW w:w="1503" w:type="dxa"/>
            <w:shd w:val="clear" w:color="auto" w:fill="D9D9D9" w:themeFill="background1" w:themeFillShade="D9"/>
          </w:tcPr>
          <w:p w:rsidR="00951BDB" w:rsidRPr="00466073" w:rsidRDefault="00951BDB" w:rsidP="005E4473">
            <w:pPr>
              <w:jc w:val="center"/>
              <w:rPr>
                <w:rFonts w:asciiTheme="minorHAnsi" w:hAnsiTheme="minorHAnsi" w:cstheme="minorHAnsi"/>
                <w:b/>
                <w:lang w:val="el-GR"/>
              </w:rPr>
            </w:pPr>
            <w:r w:rsidRPr="00466073">
              <w:rPr>
                <w:rFonts w:asciiTheme="minorHAnsi" w:hAnsiTheme="minorHAnsi" w:cstheme="minorHAnsi"/>
                <w:b/>
                <w:lang w:val="el-GR"/>
              </w:rPr>
              <w:t>Κυριότερα εξαγόμενα προϊόντα (βάσει 4ψήφιας ανάλυσης Σ.Ο.)</w:t>
            </w:r>
          </w:p>
        </w:tc>
        <w:tc>
          <w:tcPr>
            <w:tcW w:w="1620" w:type="dxa"/>
          </w:tcPr>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3004-: 8</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100</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318</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7606-: 7</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609</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814</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8517-:</w:t>
            </w:r>
            <w:r w:rsidRPr="0095699B">
              <w:rPr>
                <w:rFonts w:asciiTheme="minorHAnsi" w:hAnsiTheme="minorHAnsi" w:cstheme="minorHAnsi"/>
                <w:sz w:val="18"/>
                <w:szCs w:val="18"/>
                <w:lang w:val="el-GR"/>
              </w:rPr>
              <w:t xml:space="preserve"> 7.424.838</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2402-: 6.401.534</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8471-: 3.963.394</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 xml:space="preserve">2008-: </w:t>
            </w:r>
            <w:r w:rsidRPr="0095699B">
              <w:rPr>
                <w:rFonts w:asciiTheme="minorHAnsi" w:hAnsiTheme="minorHAnsi" w:cstheme="minorHAnsi"/>
                <w:sz w:val="18"/>
                <w:szCs w:val="18"/>
                <w:lang w:val="el-GR"/>
              </w:rPr>
              <w:t>3.600.755</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 xml:space="preserve">0805-: </w:t>
            </w:r>
            <w:r w:rsidRPr="0095699B">
              <w:rPr>
                <w:rFonts w:asciiTheme="minorHAnsi" w:hAnsiTheme="minorHAnsi" w:cstheme="minorHAnsi"/>
                <w:sz w:val="18"/>
                <w:szCs w:val="18"/>
                <w:lang w:val="el-GR"/>
              </w:rPr>
              <w:t>3.228.837</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8542-: 2.867.412</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7604-: 2.741.562</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1006-: 2.615.695</w:t>
            </w:r>
          </w:p>
          <w:p w:rsidR="00951BDB" w:rsidRPr="0095699B" w:rsidRDefault="00951BDB" w:rsidP="00951BDB">
            <w:pPr>
              <w:rPr>
                <w:rFonts w:asciiTheme="minorHAnsi" w:hAnsiTheme="minorHAnsi" w:cstheme="minorHAnsi"/>
                <w:sz w:val="18"/>
                <w:szCs w:val="18"/>
                <w:lang w:val="el-GR"/>
              </w:rPr>
            </w:pPr>
          </w:p>
        </w:tc>
        <w:tc>
          <w:tcPr>
            <w:tcW w:w="1620" w:type="dxa"/>
          </w:tcPr>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7606-:</w:t>
            </w:r>
            <w:r w:rsidRPr="0095699B">
              <w:rPr>
                <w:rFonts w:asciiTheme="minorHAnsi" w:hAnsiTheme="minorHAnsi" w:cstheme="minorHAnsi"/>
                <w:sz w:val="18"/>
                <w:szCs w:val="18"/>
                <w:lang w:val="el-GR"/>
              </w:rPr>
              <w:t xml:space="preserve"> 8.666.044</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3907-: 7.237.500</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 xml:space="preserve">3004-: </w:t>
            </w:r>
            <w:r w:rsidRPr="0095699B">
              <w:rPr>
                <w:rFonts w:asciiTheme="minorHAnsi" w:hAnsiTheme="minorHAnsi" w:cstheme="minorHAnsi"/>
                <w:sz w:val="18"/>
                <w:szCs w:val="18"/>
                <w:lang w:val="el-GR"/>
              </w:rPr>
              <w:t>6.518.9</w:t>
            </w:r>
            <w:r w:rsidRPr="0095699B">
              <w:rPr>
                <w:rFonts w:asciiTheme="minorHAnsi" w:hAnsiTheme="minorHAnsi" w:cstheme="minorHAnsi"/>
                <w:sz w:val="18"/>
                <w:szCs w:val="18"/>
              </w:rPr>
              <w:t>3</w:t>
            </w:r>
            <w:r w:rsidRPr="0095699B">
              <w:rPr>
                <w:rFonts w:asciiTheme="minorHAnsi" w:hAnsiTheme="minorHAnsi" w:cstheme="minorHAnsi"/>
                <w:sz w:val="18"/>
                <w:szCs w:val="18"/>
                <w:lang w:val="el-GR"/>
              </w:rPr>
              <w:t>9</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8517-:</w:t>
            </w:r>
            <w:r w:rsidRPr="0095699B">
              <w:rPr>
                <w:rFonts w:asciiTheme="minorHAnsi" w:hAnsiTheme="minorHAnsi" w:cstheme="minorHAnsi"/>
                <w:sz w:val="18"/>
                <w:szCs w:val="18"/>
                <w:lang w:val="el-GR"/>
              </w:rPr>
              <w:t xml:space="preserve"> 5.440.371</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7604-: 4.824.749</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8471-: 4.797.341</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2008-:</w:t>
            </w:r>
            <w:r w:rsidRPr="0095699B">
              <w:rPr>
                <w:rFonts w:asciiTheme="minorHAnsi" w:hAnsiTheme="minorHAnsi" w:cstheme="minorHAnsi"/>
                <w:sz w:val="18"/>
                <w:szCs w:val="18"/>
                <w:lang w:val="el-GR"/>
              </w:rPr>
              <w:t xml:space="preserve"> 3.782.100</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0805-:</w:t>
            </w:r>
            <w:r w:rsidRPr="0095699B">
              <w:rPr>
                <w:rFonts w:asciiTheme="minorHAnsi" w:hAnsiTheme="minorHAnsi" w:cstheme="minorHAnsi"/>
                <w:sz w:val="18"/>
                <w:szCs w:val="18"/>
                <w:lang w:val="el-GR"/>
              </w:rPr>
              <w:t xml:space="preserve"> 2.642.374</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3808-:  2.163.695</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0803-: 1.835.789</w:t>
            </w:r>
          </w:p>
          <w:p w:rsidR="00951BDB" w:rsidRPr="0095699B" w:rsidRDefault="00951BDB" w:rsidP="00951BDB">
            <w:pPr>
              <w:rPr>
                <w:rFonts w:asciiTheme="minorHAnsi" w:hAnsiTheme="minorHAnsi" w:cstheme="minorHAnsi"/>
                <w:sz w:val="18"/>
                <w:szCs w:val="18"/>
                <w:lang w:val="el-GR"/>
              </w:rPr>
            </w:pPr>
          </w:p>
        </w:tc>
        <w:tc>
          <w:tcPr>
            <w:tcW w:w="1620" w:type="dxa"/>
          </w:tcPr>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 xml:space="preserve">8518-: </w:t>
            </w:r>
            <w:r w:rsidRPr="0095699B">
              <w:rPr>
                <w:rFonts w:asciiTheme="minorHAnsi" w:hAnsiTheme="minorHAnsi" w:cstheme="minorHAnsi"/>
                <w:sz w:val="18"/>
                <w:szCs w:val="18"/>
                <w:lang w:val="el-GR"/>
              </w:rPr>
              <w:t>8</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299</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834</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7604</w:t>
            </w:r>
            <w:r w:rsidRPr="0095699B">
              <w:rPr>
                <w:rFonts w:asciiTheme="minorHAnsi" w:hAnsiTheme="minorHAnsi" w:cstheme="minorHAnsi"/>
                <w:sz w:val="18"/>
                <w:szCs w:val="18"/>
                <w:lang w:val="el-GR"/>
              </w:rPr>
              <w:t>-: 7</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276</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895</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lang w:val="el-GR"/>
              </w:rPr>
              <w:t>3004-: 7</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108</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351</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2008</w:t>
            </w:r>
            <w:r w:rsidRPr="0095699B">
              <w:rPr>
                <w:rFonts w:asciiTheme="minorHAnsi" w:hAnsiTheme="minorHAnsi" w:cstheme="minorHAnsi"/>
                <w:sz w:val="18"/>
                <w:szCs w:val="18"/>
                <w:lang w:val="el-GR"/>
              </w:rPr>
              <w:t>-: 6</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912</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685</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 xml:space="preserve">7606-: </w:t>
            </w:r>
            <w:r w:rsidRPr="0095699B">
              <w:rPr>
                <w:rFonts w:asciiTheme="minorHAnsi" w:hAnsiTheme="minorHAnsi" w:cstheme="minorHAnsi"/>
                <w:sz w:val="18"/>
                <w:szCs w:val="18"/>
                <w:lang w:val="el-GR"/>
              </w:rPr>
              <w:t>6</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198</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293</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lang w:val="el-GR"/>
              </w:rPr>
              <w:t>8471-: 5</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645</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035</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lang w:val="el-GR"/>
              </w:rPr>
              <w:t>0805-: 4</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099</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864</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3808-: 3.657.534</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8415-: 3.336.536</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rPr>
              <w:t>9001-: 2.774.185</w:t>
            </w:r>
          </w:p>
        </w:tc>
        <w:tc>
          <w:tcPr>
            <w:tcW w:w="1620" w:type="dxa"/>
          </w:tcPr>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 xml:space="preserve">8518-: </w:t>
            </w:r>
            <w:r w:rsidRPr="0095699B">
              <w:rPr>
                <w:rFonts w:asciiTheme="minorHAnsi" w:hAnsiTheme="minorHAnsi" w:cstheme="minorHAnsi"/>
                <w:sz w:val="18"/>
                <w:szCs w:val="18"/>
                <w:lang w:val="el-GR"/>
              </w:rPr>
              <w:t>16 704 898</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0805-:  8 089 534</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3004-:  8 040 799</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7606-:  7 874 542</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7604-:  6 937 096</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2008-:  6 004 408</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8471-:  3 655 444</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0809-:  3 217 570</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3003-:  3 179 965</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8415-:  3 076 430</w:t>
            </w:r>
          </w:p>
        </w:tc>
        <w:tc>
          <w:tcPr>
            <w:tcW w:w="1620" w:type="dxa"/>
          </w:tcPr>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8518-: 26.158.949</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lang w:val="el-GR"/>
              </w:rPr>
              <w:t>7606-:  11</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528</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775</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7604-:  10</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762</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324</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lang w:val="el-GR"/>
              </w:rPr>
              <w:t>0805-:  7</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898</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432</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3004-:  7</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809</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200</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2008-:  6</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511</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381</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3003-:  6</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077</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001</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lang w:val="el-GR"/>
              </w:rPr>
              <w:t>3901</w:t>
            </w:r>
            <w:r w:rsidRPr="0095699B">
              <w:rPr>
                <w:rFonts w:asciiTheme="minorHAnsi" w:hAnsiTheme="minorHAnsi" w:cstheme="minorHAnsi"/>
                <w:sz w:val="18"/>
                <w:szCs w:val="18"/>
              </w:rPr>
              <w:t xml:space="preserve">-:  </w:t>
            </w:r>
            <w:r w:rsidRPr="0095699B">
              <w:rPr>
                <w:rFonts w:asciiTheme="minorHAnsi" w:hAnsiTheme="minorHAnsi" w:cstheme="minorHAnsi"/>
                <w:color w:val="000000"/>
                <w:sz w:val="18"/>
                <w:szCs w:val="18"/>
              </w:rPr>
              <w:t>3.380.719</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080</w:t>
            </w:r>
            <w:r w:rsidRPr="0095699B">
              <w:rPr>
                <w:rFonts w:asciiTheme="minorHAnsi" w:hAnsiTheme="minorHAnsi" w:cstheme="minorHAnsi"/>
                <w:sz w:val="18"/>
                <w:szCs w:val="18"/>
              </w:rPr>
              <w:t>7-</w:t>
            </w:r>
            <w:r w:rsidRPr="0095699B">
              <w:rPr>
                <w:rFonts w:asciiTheme="minorHAnsi" w:hAnsiTheme="minorHAnsi" w:cstheme="minorHAnsi"/>
                <w:sz w:val="18"/>
                <w:szCs w:val="18"/>
                <w:lang w:val="el-GR"/>
              </w:rPr>
              <w:t>:  3</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322</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041</w:t>
            </w:r>
          </w:p>
          <w:p w:rsidR="00951BDB" w:rsidRPr="0095699B" w:rsidRDefault="00951BDB" w:rsidP="00951BDB">
            <w:pPr>
              <w:rPr>
                <w:rFonts w:asciiTheme="minorHAnsi" w:hAnsiTheme="minorHAnsi" w:cstheme="minorHAnsi"/>
                <w:sz w:val="18"/>
                <w:szCs w:val="18"/>
              </w:rPr>
            </w:pPr>
            <w:r w:rsidRPr="0095699B">
              <w:rPr>
                <w:rFonts w:asciiTheme="minorHAnsi" w:hAnsiTheme="minorHAnsi" w:cstheme="minorHAnsi"/>
                <w:sz w:val="18"/>
                <w:szCs w:val="18"/>
                <w:lang w:val="el-GR"/>
              </w:rPr>
              <w:t>390</w:t>
            </w:r>
            <w:r w:rsidRPr="0095699B">
              <w:rPr>
                <w:rFonts w:asciiTheme="minorHAnsi" w:hAnsiTheme="minorHAnsi" w:cstheme="minorHAnsi"/>
                <w:sz w:val="18"/>
                <w:szCs w:val="18"/>
              </w:rPr>
              <w:t xml:space="preserve">3-:  </w:t>
            </w:r>
            <w:r w:rsidRPr="0095699B">
              <w:rPr>
                <w:rFonts w:asciiTheme="minorHAnsi" w:hAnsiTheme="minorHAnsi" w:cstheme="minorHAnsi"/>
                <w:color w:val="000000"/>
                <w:sz w:val="18"/>
                <w:szCs w:val="18"/>
              </w:rPr>
              <w:t>3.157.442</w:t>
            </w:r>
          </w:p>
          <w:p w:rsidR="00951BDB" w:rsidRPr="0095699B" w:rsidRDefault="00951BDB" w:rsidP="00951BDB">
            <w:pPr>
              <w:rPr>
                <w:rFonts w:asciiTheme="minorHAnsi" w:hAnsiTheme="minorHAnsi" w:cstheme="minorHAnsi"/>
                <w:sz w:val="18"/>
                <w:szCs w:val="18"/>
                <w:lang w:val="el-GR"/>
              </w:rPr>
            </w:pPr>
          </w:p>
        </w:tc>
        <w:tc>
          <w:tcPr>
            <w:tcW w:w="1620" w:type="dxa"/>
          </w:tcPr>
          <w:p w:rsidR="00951BDB" w:rsidRPr="0095699B" w:rsidRDefault="00951BDB" w:rsidP="00951BDB">
            <w:pPr>
              <w:rPr>
                <w:rFonts w:asciiTheme="minorHAnsi" w:hAnsiTheme="minorHAnsi" w:cstheme="minorHAnsi"/>
                <w:sz w:val="18"/>
                <w:szCs w:val="18"/>
                <w:lang w:val="hu-HU"/>
              </w:rPr>
            </w:pPr>
            <w:r w:rsidRPr="0095699B">
              <w:rPr>
                <w:rFonts w:asciiTheme="minorHAnsi" w:hAnsiTheme="minorHAnsi" w:cstheme="minorHAnsi"/>
                <w:sz w:val="18"/>
                <w:szCs w:val="18"/>
                <w:lang w:val="el-GR"/>
              </w:rPr>
              <w:t>7606-:  17</w:t>
            </w:r>
            <w:r w:rsidRPr="0095699B">
              <w:rPr>
                <w:rFonts w:asciiTheme="minorHAnsi" w:hAnsiTheme="minorHAnsi" w:cstheme="minorHAnsi"/>
                <w:sz w:val="18"/>
                <w:szCs w:val="18"/>
                <w:lang w:val="hu-HU"/>
              </w:rPr>
              <w:t>.</w:t>
            </w:r>
            <w:r w:rsidRPr="0095699B">
              <w:rPr>
                <w:rFonts w:asciiTheme="minorHAnsi" w:hAnsiTheme="minorHAnsi" w:cstheme="minorHAnsi"/>
                <w:sz w:val="18"/>
                <w:szCs w:val="18"/>
                <w:lang w:val="el-GR"/>
              </w:rPr>
              <w:t>794</w:t>
            </w:r>
            <w:r w:rsidRPr="0095699B">
              <w:rPr>
                <w:rFonts w:asciiTheme="minorHAnsi" w:hAnsiTheme="minorHAnsi" w:cstheme="minorHAnsi"/>
                <w:sz w:val="18"/>
                <w:szCs w:val="18"/>
                <w:lang w:val="hu-HU"/>
              </w:rPr>
              <w:t>.</w:t>
            </w:r>
            <w:r w:rsidRPr="0095699B">
              <w:rPr>
                <w:rFonts w:asciiTheme="minorHAnsi" w:hAnsiTheme="minorHAnsi" w:cstheme="minorHAnsi"/>
                <w:sz w:val="18"/>
                <w:szCs w:val="18"/>
                <w:lang w:val="el-GR"/>
              </w:rPr>
              <w:t>905</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lang w:val="el-GR"/>
              </w:rPr>
              <w:t>7604-:  15</w:t>
            </w:r>
            <w:r w:rsidRPr="0095699B">
              <w:rPr>
                <w:rFonts w:asciiTheme="minorHAnsi" w:hAnsiTheme="minorHAnsi" w:cstheme="minorHAnsi"/>
                <w:sz w:val="18"/>
                <w:szCs w:val="18"/>
                <w:lang w:val="hu-HU"/>
              </w:rPr>
              <w:t>.</w:t>
            </w:r>
            <w:r w:rsidRPr="0095699B">
              <w:rPr>
                <w:rFonts w:asciiTheme="minorHAnsi" w:hAnsiTheme="minorHAnsi" w:cstheme="minorHAnsi"/>
                <w:sz w:val="18"/>
                <w:szCs w:val="18"/>
                <w:lang w:val="el-GR"/>
              </w:rPr>
              <w:t>053</w:t>
            </w:r>
            <w:r w:rsidRPr="0095699B">
              <w:rPr>
                <w:rFonts w:asciiTheme="minorHAnsi" w:hAnsiTheme="minorHAnsi" w:cstheme="minorHAnsi"/>
                <w:sz w:val="18"/>
                <w:szCs w:val="18"/>
                <w:lang w:val="hu-HU"/>
              </w:rPr>
              <w:t>.</w:t>
            </w:r>
            <w:r w:rsidRPr="0095699B">
              <w:rPr>
                <w:rFonts w:asciiTheme="minorHAnsi" w:hAnsiTheme="minorHAnsi" w:cstheme="minorHAnsi"/>
                <w:sz w:val="18"/>
                <w:szCs w:val="18"/>
                <w:lang w:val="el-GR"/>
              </w:rPr>
              <w:t>164</w:t>
            </w:r>
          </w:p>
          <w:p w:rsidR="00951BDB" w:rsidRPr="0095699B" w:rsidRDefault="00951BDB" w:rsidP="008D6F20">
            <w:pPr>
              <w:rPr>
                <w:rFonts w:asciiTheme="minorHAnsi" w:hAnsiTheme="minorHAnsi" w:cstheme="minorHAnsi"/>
                <w:sz w:val="18"/>
                <w:szCs w:val="18"/>
              </w:rPr>
            </w:pPr>
            <w:r w:rsidRPr="0095699B">
              <w:rPr>
                <w:rFonts w:asciiTheme="minorHAnsi" w:hAnsiTheme="minorHAnsi" w:cstheme="minorHAnsi"/>
                <w:sz w:val="18"/>
                <w:szCs w:val="18"/>
              </w:rPr>
              <w:t xml:space="preserve"> </w:t>
            </w:r>
            <w:r w:rsidRPr="0095699B">
              <w:rPr>
                <w:rFonts w:asciiTheme="minorHAnsi" w:hAnsiTheme="minorHAnsi" w:cstheme="minorHAnsi"/>
                <w:b/>
                <w:sz w:val="18"/>
                <w:szCs w:val="18"/>
              </w:rPr>
              <w:t>8431</w:t>
            </w:r>
            <w:r w:rsidRPr="0095699B">
              <w:rPr>
                <w:rFonts w:asciiTheme="minorHAnsi" w:hAnsiTheme="minorHAnsi" w:cstheme="minorHAnsi"/>
                <w:sz w:val="18"/>
                <w:szCs w:val="18"/>
              </w:rPr>
              <w:t>- : 8.259.106</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 xml:space="preserve"> </w:t>
            </w:r>
            <w:r w:rsidRPr="0095699B">
              <w:rPr>
                <w:rFonts w:asciiTheme="minorHAnsi" w:hAnsiTheme="minorHAnsi" w:cstheme="minorHAnsi"/>
                <w:sz w:val="18"/>
                <w:szCs w:val="18"/>
                <w:lang w:val="el-GR"/>
              </w:rPr>
              <w:t>0805</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  8</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063</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256</w:t>
            </w:r>
          </w:p>
          <w:p w:rsidR="00951BDB" w:rsidRPr="0095699B" w:rsidRDefault="00951BDB" w:rsidP="00951BDB">
            <w:pPr>
              <w:rPr>
                <w:rFonts w:asciiTheme="minorHAnsi" w:hAnsiTheme="minorHAnsi" w:cstheme="minorHAnsi"/>
                <w:sz w:val="18"/>
                <w:szCs w:val="18"/>
                <w:lang w:val="el-GR"/>
              </w:rPr>
            </w:pPr>
            <w:r w:rsidRPr="0095699B">
              <w:rPr>
                <w:rFonts w:asciiTheme="minorHAnsi" w:hAnsiTheme="minorHAnsi" w:cstheme="minorHAnsi"/>
                <w:sz w:val="18"/>
                <w:szCs w:val="18"/>
              </w:rPr>
              <w:t xml:space="preserve"> </w:t>
            </w:r>
            <w:r w:rsidRPr="0095699B">
              <w:rPr>
                <w:rFonts w:asciiTheme="minorHAnsi" w:hAnsiTheme="minorHAnsi" w:cstheme="minorHAnsi"/>
                <w:sz w:val="18"/>
                <w:szCs w:val="18"/>
                <w:lang w:val="el-GR"/>
              </w:rPr>
              <w:t>3004-:  7</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738</w:t>
            </w:r>
            <w:r w:rsidRPr="0095699B">
              <w:rPr>
                <w:rFonts w:asciiTheme="minorHAnsi" w:hAnsiTheme="minorHAnsi" w:cstheme="minorHAnsi"/>
                <w:sz w:val="18"/>
                <w:szCs w:val="18"/>
              </w:rPr>
              <w:t>.</w:t>
            </w:r>
            <w:r w:rsidRPr="0095699B">
              <w:rPr>
                <w:rFonts w:asciiTheme="minorHAnsi" w:hAnsiTheme="minorHAnsi" w:cstheme="minorHAnsi"/>
                <w:sz w:val="18"/>
                <w:szCs w:val="18"/>
                <w:lang w:val="el-GR"/>
              </w:rPr>
              <w:t>077</w:t>
            </w:r>
          </w:p>
          <w:p w:rsidR="00951BDB" w:rsidRPr="0095699B" w:rsidRDefault="00951BDB" w:rsidP="008D6F20">
            <w:pPr>
              <w:rPr>
                <w:rFonts w:asciiTheme="minorHAnsi" w:hAnsiTheme="minorHAnsi" w:cstheme="minorHAnsi"/>
                <w:sz w:val="18"/>
                <w:szCs w:val="18"/>
              </w:rPr>
            </w:pPr>
            <w:r w:rsidRPr="0095699B">
              <w:rPr>
                <w:rFonts w:asciiTheme="minorHAnsi" w:hAnsiTheme="minorHAnsi" w:cstheme="minorHAnsi"/>
                <w:b/>
                <w:sz w:val="18"/>
                <w:szCs w:val="18"/>
              </w:rPr>
              <w:t xml:space="preserve"> </w:t>
            </w:r>
            <w:r w:rsidRPr="0095699B">
              <w:rPr>
                <w:rFonts w:asciiTheme="minorHAnsi" w:hAnsiTheme="minorHAnsi" w:cstheme="minorHAnsi"/>
                <w:sz w:val="18"/>
                <w:szCs w:val="18"/>
              </w:rPr>
              <w:t>3901-:  7.362.403</w:t>
            </w:r>
          </w:p>
          <w:p w:rsidR="00951BDB" w:rsidRPr="0095699B" w:rsidRDefault="00951BDB" w:rsidP="008D6F20">
            <w:pPr>
              <w:rPr>
                <w:rFonts w:asciiTheme="minorHAnsi" w:hAnsiTheme="minorHAnsi" w:cstheme="minorHAnsi"/>
                <w:sz w:val="18"/>
                <w:szCs w:val="18"/>
              </w:rPr>
            </w:pPr>
            <w:r w:rsidRPr="0095699B">
              <w:rPr>
                <w:rFonts w:asciiTheme="minorHAnsi" w:hAnsiTheme="minorHAnsi" w:cstheme="minorHAnsi"/>
                <w:sz w:val="18"/>
                <w:szCs w:val="18"/>
              </w:rPr>
              <w:t>3903-:   6.795.271</w:t>
            </w:r>
          </w:p>
          <w:p w:rsidR="00951BDB" w:rsidRPr="0095699B" w:rsidRDefault="00951BDB" w:rsidP="008D6F20">
            <w:pPr>
              <w:rPr>
                <w:rFonts w:asciiTheme="minorHAnsi" w:hAnsiTheme="minorHAnsi" w:cstheme="minorHAnsi"/>
                <w:sz w:val="18"/>
                <w:szCs w:val="18"/>
              </w:rPr>
            </w:pPr>
            <w:r w:rsidRPr="0095699B">
              <w:rPr>
                <w:rFonts w:asciiTheme="minorHAnsi" w:hAnsiTheme="minorHAnsi" w:cstheme="minorHAnsi"/>
                <w:sz w:val="18"/>
                <w:szCs w:val="18"/>
              </w:rPr>
              <w:t>1006-:   5.742.818</w:t>
            </w:r>
          </w:p>
          <w:p w:rsidR="00951BDB" w:rsidRPr="0095699B" w:rsidRDefault="00951BDB" w:rsidP="008D6F20">
            <w:pPr>
              <w:rPr>
                <w:rFonts w:asciiTheme="minorHAnsi" w:hAnsiTheme="minorHAnsi" w:cstheme="minorHAnsi"/>
                <w:sz w:val="18"/>
                <w:szCs w:val="18"/>
              </w:rPr>
            </w:pPr>
            <w:r w:rsidRPr="0095699B">
              <w:rPr>
                <w:rFonts w:asciiTheme="minorHAnsi" w:hAnsiTheme="minorHAnsi" w:cstheme="minorHAnsi"/>
                <w:sz w:val="18"/>
                <w:szCs w:val="18"/>
              </w:rPr>
              <w:t xml:space="preserve">8518-: </w:t>
            </w:r>
            <w:r w:rsidR="00D74BFB" w:rsidRPr="0095699B">
              <w:rPr>
                <w:rFonts w:asciiTheme="minorHAnsi" w:hAnsiTheme="minorHAnsi" w:cstheme="minorHAnsi"/>
                <w:sz w:val="18"/>
                <w:szCs w:val="18"/>
              </w:rPr>
              <w:t xml:space="preserve">  5.510.431</w:t>
            </w:r>
          </w:p>
          <w:p w:rsidR="00951BDB" w:rsidRPr="0095699B" w:rsidRDefault="00951BDB" w:rsidP="008D6F20">
            <w:pPr>
              <w:rPr>
                <w:rFonts w:asciiTheme="minorHAnsi" w:hAnsiTheme="minorHAnsi" w:cstheme="minorHAnsi"/>
                <w:sz w:val="18"/>
                <w:szCs w:val="18"/>
              </w:rPr>
            </w:pPr>
            <w:r w:rsidRPr="0095699B">
              <w:rPr>
                <w:rFonts w:asciiTheme="minorHAnsi" w:hAnsiTheme="minorHAnsi" w:cstheme="minorHAnsi"/>
                <w:sz w:val="18"/>
                <w:szCs w:val="18"/>
                <w:lang w:val="el-GR"/>
              </w:rPr>
              <w:t xml:space="preserve">2008-:  </w:t>
            </w:r>
            <w:r w:rsidR="00D74BFB" w:rsidRPr="0095699B">
              <w:rPr>
                <w:rFonts w:asciiTheme="minorHAnsi" w:hAnsiTheme="minorHAnsi" w:cstheme="minorHAnsi"/>
                <w:sz w:val="18"/>
                <w:szCs w:val="18"/>
              </w:rPr>
              <w:t xml:space="preserve"> </w:t>
            </w:r>
            <w:r w:rsidR="00D74BFB" w:rsidRPr="0095699B">
              <w:rPr>
                <w:rFonts w:asciiTheme="minorHAnsi" w:hAnsiTheme="minorHAnsi" w:cstheme="minorHAnsi"/>
                <w:sz w:val="18"/>
                <w:szCs w:val="18"/>
                <w:lang w:val="el-GR"/>
              </w:rPr>
              <w:t>4</w:t>
            </w:r>
            <w:r w:rsidR="00D74BFB" w:rsidRPr="0095699B">
              <w:rPr>
                <w:rFonts w:asciiTheme="minorHAnsi" w:hAnsiTheme="minorHAnsi" w:cstheme="minorHAnsi"/>
                <w:sz w:val="18"/>
                <w:szCs w:val="18"/>
              </w:rPr>
              <w:t>.</w:t>
            </w:r>
            <w:r w:rsidR="00D74BFB" w:rsidRPr="0095699B">
              <w:rPr>
                <w:rFonts w:asciiTheme="minorHAnsi" w:hAnsiTheme="minorHAnsi" w:cstheme="minorHAnsi"/>
                <w:sz w:val="18"/>
                <w:szCs w:val="18"/>
                <w:lang w:val="el-GR"/>
              </w:rPr>
              <w:t>963</w:t>
            </w:r>
            <w:r w:rsidR="00D74BFB" w:rsidRPr="0095699B">
              <w:rPr>
                <w:rFonts w:asciiTheme="minorHAnsi" w:hAnsiTheme="minorHAnsi" w:cstheme="minorHAnsi"/>
                <w:sz w:val="18"/>
                <w:szCs w:val="18"/>
              </w:rPr>
              <w:t>.</w:t>
            </w:r>
            <w:r w:rsidR="00D74BFB" w:rsidRPr="0095699B">
              <w:rPr>
                <w:rFonts w:asciiTheme="minorHAnsi" w:hAnsiTheme="minorHAnsi" w:cstheme="minorHAnsi"/>
                <w:sz w:val="18"/>
                <w:szCs w:val="18"/>
                <w:lang w:val="el-GR"/>
              </w:rPr>
              <w:t>137</w:t>
            </w:r>
          </w:p>
        </w:tc>
      </w:tr>
    </w:tbl>
    <w:p w:rsidR="006578D2" w:rsidRPr="00466073" w:rsidRDefault="006578D2" w:rsidP="003D45B4">
      <w:pPr>
        <w:ind w:firstLine="720"/>
        <w:rPr>
          <w:rFonts w:asciiTheme="minorHAnsi" w:hAnsiTheme="minorHAnsi" w:cstheme="minorHAnsi"/>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 Εθνική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1C1529" w:rsidRPr="00466073" w:rsidRDefault="001C1529" w:rsidP="003D45B4">
      <w:pPr>
        <w:ind w:firstLine="720"/>
        <w:rPr>
          <w:rFonts w:asciiTheme="minorHAnsi" w:hAnsiTheme="minorHAnsi" w:cstheme="minorHAnsi"/>
          <w:lang w:val="el-GR"/>
        </w:rPr>
      </w:pPr>
    </w:p>
    <w:p w:rsidR="003C5F91"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 xml:space="preserve">Όπως διαπιστώνουμε, </w:t>
      </w:r>
      <w:r w:rsidR="00BB1447" w:rsidRPr="00466073">
        <w:rPr>
          <w:rFonts w:asciiTheme="minorHAnsi" w:hAnsiTheme="minorHAnsi" w:cstheme="minorHAnsi"/>
          <w:lang w:val="el-GR"/>
        </w:rPr>
        <w:t xml:space="preserve">διαχρονικά, </w:t>
      </w:r>
      <w:r w:rsidRPr="00466073">
        <w:rPr>
          <w:rFonts w:asciiTheme="minorHAnsi" w:hAnsiTheme="minorHAnsi" w:cstheme="minorHAnsi"/>
          <w:lang w:val="el-GR"/>
        </w:rPr>
        <w:t>η Ελλάδ</w:t>
      </w:r>
      <w:r w:rsidR="00BB1447" w:rsidRPr="00466073">
        <w:rPr>
          <w:rFonts w:asciiTheme="minorHAnsi" w:hAnsiTheme="minorHAnsi" w:cstheme="minorHAnsi"/>
          <w:lang w:val="el-GR"/>
        </w:rPr>
        <w:t>α εξάγει στην Ουγγαρία</w:t>
      </w:r>
      <w:r w:rsidR="008D6F20" w:rsidRPr="00466073">
        <w:rPr>
          <w:rFonts w:asciiTheme="minorHAnsi" w:hAnsiTheme="minorHAnsi" w:cstheme="minorHAnsi"/>
          <w:lang w:val="el-GR"/>
        </w:rPr>
        <w:t>,</w:t>
      </w:r>
      <w:r w:rsidR="00BB1447" w:rsidRPr="00466073">
        <w:rPr>
          <w:rFonts w:asciiTheme="minorHAnsi" w:hAnsiTheme="minorHAnsi" w:cstheme="minorHAnsi"/>
          <w:lang w:val="el-GR"/>
        </w:rPr>
        <w:t xml:space="preserve"> προϊόντα</w:t>
      </w:r>
      <w:r w:rsidRPr="00466073">
        <w:rPr>
          <w:rFonts w:asciiTheme="minorHAnsi" w:hAnsiTheme="minorHAnsi" w:cstheme="minorHAnsi"/>
          <w:lang w:val="el-GR"/>
        </w:rPr>
        <w:t xml:space="preserve"> κυρίως των παρακάτω 4ψήφιων κωδικών ΣΟ: </w:t>
      </w:r>
    </w:p>
    <w:p w:rsidR="003C5F91"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 xml:space="preserve">0805 [Εσπεριδοειδή, νωπά ή ξερά], </w:t>
      </w:r>
    </w:p>
    <w:p w:rsidR="003C5F91"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 xml:space="preserve">1006 [Ρύζι], </w:t>
      </w:r>
    </w:p>
    <w:p w:rsidR="003C5F91"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2008</w:t>
      </w:r>
      <w:r w:rsidR="003C5F91" w:rsidRPr="00466073">
        <w:rPr>
          <w:rFonts w:asciiTheme="minorHAnsi" w:hAnsiTheme="minorHAnsi" w:cstheme="minorHAnsi"/>
          <w:lang w:val="el-GR"/>
        </w:rPr>
        <w:t xml:space="preserve"> </w:t>
      </w:r>
      <w:r w:rsidRPr="00466073">
        <w:rPr>
          <w:rFonts w:asciiTheme="minorHAnsi" w:hAnsiTheme="minorHAnsi" w:cstheme="minorHAnsi"/>
          <w:lang w:val="el-GR"/>
        </w:rPr>
        <w:t xml:space="preserve">[Παρασκευάσματα Καρπών και φρούτων], </w:t>
      </w:r>
    </w:p>
    <w:p w:rsidR="003C5F91" w:rsidRPr="00466073" w:rsidRDefault="003E2DEC" w:rsidP="001C1529">
      <w:pPr>
        <w:jc w:val="both"/>
        <w:rPr>
          <w:rFonts w:asciiTheme="minorHAnsi" w:hAnsiTheme="minorHAnsi" w:cstheme="minorHAnsi"/>
          <w:lang w:val="el-GR"/>
        </w:rPr>
      </w:pPr>
      <w:r w:rsidRPr="00466073">
        <w:rPr>
          <w:rFonts w:asciiTheme="minorHAnsi" w:hAnsiTheme="minorHAnsi" w:cstheme="minorHAnsi"/>
          <w:lang w:val="el-GR"/>
        </w:rPr>
        <w:t>3003 – 3004</w:t>
      </w:r>
      <w:r w:rsidR="001C1529" w:rsidRPr="00466073">
        <w:rPr>
          <w:rFonts w:asciiTheme="minorHAnsi" w:hAnsiTheme="minorHAnsi" w:cstheme="minorHAnsi"/>
          <w:lang w:val="el-GR"/>
        </w:rPr>
        <w:t xml:space="preserve"> [Φάρμακα], </w:t>
      </w:r>
    </w:p>
    <w:p w:rsidR="003C5F91"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7604</w:t>
      </w:r>
      <w:r w:rsidR="003C5F91" w:rsidRPr="00466073">
        <w:rPr>
          <w:rFonts w:asciiTheme="minorHAnsi" w:hAnsiTheme="minorHAnsi" w:cstheme="minorHAnsi"/>
          <w:lang w:val="el-GR"/>
        </w:rPr>
        <w:t xml:space="preserve"> [Ράβδοι και είδη </w:t>
      </w:r>
      <w:proofErr w:type="spellStart"/>
      <w:r w:rsidR="003C5F91" w:rsidRPr="00466073">
        <w:rPr>
          <w:rFonts w:asciiTheme="minorHAnsi" w:hAnsiTheme="minorHAnsi" w:cstheme="minorHAnsi"/>
          <w:lang w:val="el-GR"/>
        </w:rPr>
        <w:t>καθορισµένης</w:t>
      </w:r>
      <w:proofErr w:type="spellEnd"/>
      <w:r w:rsidR="003C5F91" w:rsidRPr="00466073">
        <w:rPr>
          <w:rFonts w:asciiTheme="minorHAnsi" w:hAnsiTheme="minorHAnsi" w:cstheme="minorHAnsi"/>
          <w:lang w:val="el-GR"/>
        </w:rPr>
        <w:t xml:space="preserve"> µ</w:t>
      </w:r>
      <w:proofErr w:type="spellStart"/>
      <w:r w:rsidR="003C5F91" w:rsidRPr="00466073">
        <w:rPr>
          <w:rFonts w:asciiTheme="minorHAnsi" w:hAnsiTheme="minorHAnsi" w:cstheme="minorHAnsi"/>
          <w:lang w:val="el-GR"/>
        </w:rPr>
        <w:t>ορφής</w:t>
      </w:r>
      <w:proofErr w:type="spellEnd"/>
      <w:r w:rsidR="003C5F91" w:rsidRPr="00466073">
        <w:rPr>
          <w:rFonts w:asciiTheme="minorHAnsi" w:hAnsiTheme="minorHAnsi" w:cstheme="minorHAnsi"/>
          <w:lang w:val="el-GR"/>
        </w:rPr>
        <w:t xml:space="preserve"> από αργίλιο]</w:t>
      </w:r>
      <w:r w:rsidRPr="00466073">
        <w:rPr>
          <w:rFonts w:asciiTheme="minorHAnsi" w:hAnsiTheme="minorHAnsi" w:cstheme="minorHAnsi"/>
          <w:lang w:val="el-GR"/>
        </w:rPr>
        <w:t xml:space="preserve">, </w:t>
      </w:r>
    </w:p>
    <w:p w:rsidR="003C5F91"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7606</w:t>
      </w:r>
      <w:r w:rsidR="003C5F91" w:rsidRPr="00466073">
        <w:rPr>
          <w:rFonts w:asciiTheme="minorHAnsi" w:hAnsiTheme="minorHAnsi" w:cstheme="minorHAnsi"/>
          <w:lang w:val="el-GR"/>
        </w:rPr>
        <w:t xml:space="preserve"> [Πλάκες, ταινίες και φύλλα, από αργίλιο]</w:t>
      </w:r>
      <w:r w:rsidRPr="00466073">
        <w:rPr>
          <w:rFonts w:asciiTheme="minorHAnsi" w:hAnsiTheme="minorHAnsi" w:cstheme="minorHAnsi"/>
          <w:lang w:val="el-GR"/>
        </w:rPr>
        <w:t xml:space="preserve">, </w:t>
      </w:r>
    </w:p>
    <w:p w:rsidR="003C5F91"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8415</w:t>
      </w:r>
      <w:r w:rsidR="003C5F91" w:rsidRPr="00466073">
        <w:rPr>
          <w:rFonts w:asciiTheme="minorHAnsi" w:hAnsiTheme="minorHAnsi" w:cstheme="minorHAnsi"/>
          <w:lang w:val="el-GR"/>
        </w:rPr>
        <w:t xml:space="preserve"> [Μηχανές και συσκευές τεχνητού </w:t>
      </w:r>
      <w:proofErr w:type="spellStart"/>
      <w:r w:rsidR="003C5F91" w:rsidRPr="00466073">
        <w:rPr>
          <w:rFonts w:asciiTheme="minorHAnsi" w:hAnsiTheme="minorHAnsi" w:cstheme="minorHAnsi"/>
          <w:lang w:val="el-GR"/>
        </w:rPr>
        <w:t>κλίµατος</w:t>
      </w:r>
      <w:proofErr w:type="spellEnd"/>
      <w:r w:rsidR="003C5F91" w:rsidRPr="00466073">
        <w:rPr>
          <w:rFonts w:asciiTheme="minorHAnsi" w:hAnsiTheme="minorHAnsi" w:cstheme="minorHAnsi"/>
          <w:lang w:val="el-GR"/>
        </w:rPr>
        <w:t>]</w:t>
      </w:r>
      <w:r w:rsidRPr="00466073">
        <w:rPr>
          <w:rFonts w:asciiTheme="minorHAnsi" w:hAnsiTheme="minorHAnsi" w:cstheme="minorHAnsi"/>
          <w:lang w:val="el-GR"/>
        </w:rPr>
        <w:t xml:space="preserve">, </w:t>
      </w:r>
    </w:p>
    <w:p w:rsidR="003C5F91"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8471</w:t>
      </w:r>
      <w:r w:rsidR="003C5F91" w:rsidRPr="00466073">
        <w:rPr>
          <w:rFonts w:asciiTheme="minorHAnsi" w:hAnsiTheme="minorHAnsi" w:cstheme="minorHAnsi"/>
          <w:lang w:val="el-GR"/>
        </w:rPr>
        <w:t xml:space="preserve"> [</w:t>
      </w:r>
      <w:proofErr w:type="spellStart"/>
      <w:r w:rsidR="003C5F91" w:rsidRPr="00466073">
        <w:rPr>
          <w:rFonts w:asciiTheme="minorHAnsi" w:hAnsiTheme="minorHAnsi" w:cstheme="minorHAnsi"/>
          <w:lang w:val="el-GR"/>
        </w:rPr>
        <w:t>Αυτόµατες</w:t>
      </w:r>
      <w:proofErr w:type="spellEnd"/>
      <w:r w:rsidR="003C5F91" w:rsidRPr="00466073">
        <w:rPr>
          <w:rFonts w:asciiTheme="minorHAnsi" w:hAnsiTheme="minorHAnsi" w:cstheme="minorHAnsi"/>
          <w:lang w:val="el-GR"/>
        </w:rPr>
        <w:t xml:space="preserve"> µ</w:t>
      </w:r>
      <w:proofErr w:type="spellStart"/>
      <w:r w:rsidR="003C5F91" w:rsidRPr="00466073">
        <w:rPr>
          <w:rFonts w:asciiTheme="minorHAnsi" w:hAnsiTheme="minorHAnsi" w:cstheme="minorHAnsi"/>
          <w:lang w:val="el-GR"/>
        </w:rPr>
        <w:t>η</w:t>
      </w:r>
      <w:r w:rsidR="00D74BFB" w:rsidRPr="00466073">
        <w:rPr>
          <w:rFonts w:asciiTheme="minorHAnsi" w:hAnsiTheme="minorHAnsi" w:cstheme="minorHAnsi"/>
          <w:lang w:val="el-GR"/>
        </w:rPr>
        <w:t>χανές</w:t>
      </w:r>
      <w:proofErr w:type="spellEnd"/>
      <w:r w:rsidR="00D74BFB" w:rsidRPr="00466073">
        <w:rPr>
          <w:rFonts w:asciiTheme="minorHAnsi" w:hAnsiTheme="minorHAnsi" w:cstheme="minorHAnsi"/>
          <w:lang w:val="el-GR"/>
        </w:rPr>
        <w:t xml:space="preserve"> επεξεργασίας πληροφοριών] και</w:t>
      </w:r>
      <w:r w:rsidRPr="00466073">
        <w:rPr>
          <w:rFonts w:asciiTheme="minorHAnsi" w:hAnsiTheme="minorHAnsi" w:cstheme="minorHAnsi"/>
          <w:lang w:val="el-GR"/>
        </w:rPr>
        <w:t xml:space="preserve"> </w:t>
      </w:r>
    </w:p>
    <w:p w:rsidR="001C1529" w:rsidRPr="00466073" w:rsidRDefault="00D74BFB" w:rsidP="001C1529">
      <w:pPr>
        <w:jc w:val="both"/>
        <w:rPr>
          <w:rFonts w:asciiTheme="minorHAnsi" w:hAnsiTheme="minorHAnsi" w:cstheme="minorHAnsi"/>
          <w:lang w:val="el-GR"/>
        </w:rPr>
      </w:pPr>
      <w:r w:rsidRPr="00466073">
        <w:rPr>
          <w:rFonts w:asciiTheme="minorHAnsi" w:hAnsiTheme="minorHAnsi" w:cstheme="minorHAnsi"/>
          <w:lang w:val="el-GR"/>
        </w:rPr>
        <w:t>8518</w:t>
      </w:r>
      <w:r w:rsidR="003C5F91" w:rsidRPr="00466073">
        <w:rPr>
          <w:rFonts w:asciiTheme="minorHAnsi" w:hAnsiTheme="minorHAnsi" w:cstheme="minorHAnsi"/>
          <w:lang w:val="el-GR"/>
        </w:rPr>
        <w:t xml:space="preserve"> </w:t>
      </w:r>
      <w:r w:rsidRPr="00466073">
        <w:rPr>
          <w:rFonts w:asciiTheme="minorHAnsi" w:hAnsiTheme="minorHAnsi" w:cstheme="minorHAnsi"/>
          <w:color w:val="000000"/>
          <w:lang w:val="el-GR"/>
        </w:rPr>
        <w:t>[Μικρόφωνα, Μεγάφωνα, Ενισχυτές Ήχου].</w:t>
      </w:r>
    </w:p>
    <w:p w:rsidR="006D1E32" w:rsidRPr="00466073" w:rsidRDefault="006D1E32" w:rsidP="0002250F">
      <w:pPr>
        <w:jc w:val="both"/>
        <w:textAlignment w:val="center"/>
        <w:rPr>
          <w:rFonts w:asciiTheme="minorHAnsi" w:hAnsiTheme="minorHAnsi" w:cstheme="minorHAnsi"/>
          <w:color w:val="000000"/>
          <w:lang w:val="el-GR"/>
        </w:rPr>
      </w:pPr>
    </w:p>
    <w:p w:rsidR="00305741" w:rsidRPr="00466073" w:rsidRDefault="00305741" w:rsidP="0002250F">
      <w:pPr>
        <w:jc w:val="both"/>
        <w:textAlignment w:val="center"/>
        <w:rPr>
          <w:rFonts w:asciiTheme="minorHAnsi" w:hAnsiTheme="minorHAnsi" w:cstheme="minorHAnsi"/>
          <w:color w:val="000000"/>
          <w:lang w:val="el-GR"/>
        </w:rPr>
      </w:pPr>
    </w:p>
    <w:p w:rsidR="0026667B" w:rsidRPr="00466073" w:rsidRDefault="00D74BFB" w:rsidP="0002250F">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Το έτος 2022 εμφανίστ</w:t>
      </w:r>
      <w:r w:rsidR="00D613B2" w:rsidRPr="00466073">
        <w:rPr>
          <w:rFonts w:asciiTheme="minorHAnsi" w:hAnsiTheme="minorHAnsi" w:cstheme="minorHAnsi"/>
          <w:color w:val="000000"/>
          <w:lang w:val="el-GR"/>
        </w:rPr>
        <w:t>ηκαν</w:t>
      </w:r>
      <w:r w:rsidRPr="00466073">
        <w:rPr>
          <w:rFonts w:asciiTheme="minorHAnsi" w:hAnsiTheme="minorHAnsi" w:cstheme="minorHAnsi"/>
          <w:color w:val="000000"/>
          <w:lang w:val="el-GR"/>
        </w:rPr>
        <w:t xml:space="preserve"> νέ</w:t>
      </w:r>
      <w:r w:rsidR="00D613B2" w:rsidRPr="00466073">
        <w:rPr>
          <w:rFonts w:asciiTheme="minorHAnsi" w:hAnsiTheme="minorHAnsi" w:cstheme="minorHAnsi"/>
          <w:color w:val="000000"/>
          <w:lang w:val="el-GR"/>
        </w:rPr>
        <w:t>α</w:t>
      </w:r>
      <w:r w:rsidRPr="00466073">
        <w:rPr>
          <w:rFonts w:asciiTheme="minorHAnsi" w:hAnsiTheme="minorHAnsi" w:cstheme="minorHAnsi"/>
          <w:color w:val="000000"/>
          <w:lang w:val="el-GR"/>
        </w:rPr>
        <w:t xml:space="preserve"> προϊόντα που </w:t>
      </w:r>
      <w:r w:rsidR="00D613B2" w:rsidRPr="00466073">
        <w:rPr>
          <w:rFonts w:asciiTheme="minorHAnsi" w:hAnsiTheme="minorHAnsi" w:cstheme="minorHAnsi"/>
          <w:color w:val="000000"/>
          <w:lang w:val="el-GR"/>
        </w:rPr>
        <w:t xml:space="preserve">εξήχθησαν στην Ουγγαρία </w:t>
      </w:r>
      <w:r w:rsidRPr="00466073">
        <w:rPr>
          <w:rFonts w:asciiTheme="minorHAnsi" w:hAnsiTheme="minorHAnsi" w:cstheme="minorHAnsi"/>
          <w:color w:val="000000"/>
          <w:lang w:val="el-GR"/>
        </w:rPr>
        <w:t>και συγκεκριμένα τ</w:t>
      </w:r>
      <w:r w:rsidRPr="00466073">
        <w:rPr>
          <w:rFonts w:asciiTheme="minorHAnsi" w:hAnsiTheme="minorHAnsi" w:cstheme="minorHAnsi"/>
          <w:color w:val="000000"/>
        </w:rPr>
        <w:t>o</w:t>
      </w:r>
      <w:r w:rsidRPr="00466073">
        <w:rPr>
          <w:rFonts w:asciiTheme="minorHAnsi" w:hAnsiTheme="minorHAnsi" w:cstheme="minorHAnsi"/>
          <w:color w:val="000000"/>
          <w:lang w:val="el-GR"/>
        </w:rPr>
        <w:t xml:space="preserve">υ κωδικού ΣΟ 8431 : </w:t>
      </w:r>
      <w:r w:rsidRPr="00466073">
        <w:rPr>
          <w:rFonts w:asciiTheme="minorHAnsi" w:hAnsiTheme="minorHAnsi" w:cstheme="minorHAnsi"/>
          <w:lang w:val="el-GR"/>
        </w:rPr>
        <w:t>[Μέρη που προορίζονται γ</w:t>
      </w:r>
      <w:r w:rsidR="00D613B2" w:rsidRPr="00466073">
        <w:rPr>
          <w:rFonts w:asciiTheme="minorHAnsi" w:hAnsiTheme="minorHAnsi" w:cstheme="minorHAnsi"/>
          <w:lang w:val="el-GR"/>
        </w:rPr>
        <w:t xml:space="preserve">ια </w:t>
      </w:r>
      <w:r w:rsidRPr="00466073">
        <w:rPr>
          <w:rFonts w:asciiTheme="minorHAnsi" w:hAnsiTheme="minorHAnsi" w:cstheme="minorHAnsi"/>
          <w:lang w:val="el-GR"/>
        </w:rPr>
        <w:t>μηχανήματα</w:t>
      </w:r>
      <w:r w:rsidR="00D613B2" w:rsidRPr="00466073">
        <w:rPr>
          <w:rFonts w:asciiTheme="minorHAnsi" w:hAnsiTheme="minorHAnsi" w:cstheme="minorHAnsi"/>
          <w:lang w:val="el-GR"/>
        </w:rPr>
        <w:t xml:space="preserve"> χωματισμού, ισοπέδωσης, εκσκαφής, εξόρυξης ή γεώτρησης, αλλά και ανυψωτικών</w:t>
      </w:r>
      <w:r w:rsidRPr="00466073">
        <w:rPr>
          <w:rFonts w:asciiTheme="minorHAnsi" w:hAnsiTheme="minorHAnsi" w:cstheme="minorHAnsi"/>
          <w:lang w:val="el-GR"/>
        </w:rPr>
        <w:t>]</w:t>
      </w:r>
      <w:r w:rsidR="00D613B2" w:rsidRPr="00466073">
        <w:rPr>
          <w:rFonts w:asciiTheme="minorHAnsi" w:hAnsiTheme="minorHAnsi" w:cstheme="minorHAnsi"/>
          <w:lang w:val="el-GR"/>
        </w:rPr>
        <w:t xml:space="preserve">. Επίσης, </w:t>
      </w:r>
      <w:r w:rsidR="00D613B2" w:rsidRPr="00466073">
        <w:rPr>
          <w:rFonts w:asciiTheme="minorHAnsi" w:hAnsiTheme="minorHAnsi" w:cstheme="minorHAnsi"/>
          <w:color w:val="000000"/>
          <w:lang w:val="el-GR"/>
        </w:rPr>
        <w:t>α</w:t>
      </w:r>
      <w:r w:rsidR="006D1E32" w:rsidRPr="00466073">
        <w:rPr>
          <w:rFonts w:asciiTheme="minorHAnsi" w:hAnsiTheme="minorHAnsi" w:cstheme="minorHAnsi"/>
          <w:color w:val="000000"/>
          <w:lang w:val="el-GR"/>
        </w:rPr>
        <w:t xml:space="preserve">πό το </w:t>
      </w:r>
      <w:r w:rsidR="0026667B" w:rsidRPr="00466073">
        <w:rPr>
          <w:rFonts w:asciiTheme="minorHAnsi" w:hAnsiTheme="minorHAnsi" w:cstheme="minorHAnsi"/>
          <w:color w:val="000000"/>
          <w:lang w:val="el-GR"/>
        </w:rPr>
        <w:t>2019 εξήχθησαν για πρώτη φορά στην Ουγγαρία, σημαντικέ</w:t>
      </w:r>
      <w:r w:rsidR="00EB1B1A" w:rsidRPr="00466073">
        <w:rPr>
          <w:rFonts w:asciiTheme="minorHAnsi" w:hAnsiTheme="minorHAnsi" w:cstheme="minorHAnsi"/>
          <w:color w:val="000000"/>
          <w:lang w:val="el-GR"/>
        </w:rPr>
        <w:t>ς ποσότητες της κατηγορίας Σ.Ο.</w:t>
      </w:r>
      <w:r w:rsidR="003438F8" w:rsidRPr="00466073">
        <w:rPr>
          <w:rFonts w:asciiTheme="minorHAnsi" w:hAnsiTheme="minorHAnsi" w:cstheme="minorHAnsi"/>
          <w:color w:val="000000"/>
          <w:lang w:val="el-GR"/>
        </w:rPr>
        <w:t>8518 [Μικρόφωνα, Μεγάφωνα, Ενισχυτές Ήχου]</w:t>
      </w:r>
      <w:r w:rsidR="0026667B" w:rsidRPr="00466073">
        <w:rPr>
          <w:rFonts w:asciiTheme="minorHAnsi" w:hAnsiTheme="minorHAnsi" w:cstheme="minorHAnsi"/>
          <w:color w:val="000000"/>
          <w:lang w:val="el-GR"/>
        </w:rPr>
        <w:t>, αξίας €</w:t>
      </w:r>
      <w:r w:rsidR="008D6F20" w:rsidRPr="00466073">
        <w:rPr>
          <w:rFonts w:asciiTheme="minorHAnsi" w:hAnsiTheme="minorHAnsi" w:cstheme="minorHAnsi"/>
          <w:color w:val="000000"/>
          <w:lang w:val="el-GR"/>
        </w:rPr>
        <w:t xml:space="preserve">8,3 εκ. Το 2020 η αξία εξαγωγών της συγκεκριμένης κατηγορίας </w:t>
      </w:r>
      <w:r w:rsidR="00BB59A0" w:rsidRPr="00466073">
        <w:rPr>
          <w:rFonts w:asciiTheme="minorHAnsi" w:hAnsiTheme="minorHAnsi" w:cstheme="minorHAnsi"/>
          <w:color w:val="000000"/>
          <w:lang w:val="el-GR"/>
        </w:rPr>
        <w:t xml:space="preserve">υπερδιπλασιάστηκε, αγγίζοντας τα €16,7 εκ. </w:t>
      </w:r>
      <w:r w:rsidR="006D1E32" w:rsidRPr="00466073">
        <w:rPr>
          <w:rFonts w:asciiTheme="minorHAnsi" w:hAnsiTheme="minorHAnsi" w:cstheme="minorHAnsi"/>
          <w:color w:val="000000"/>
          <w:lang w:val="el-GR"/>
        </w:rPr>
        <w:t>Το έτος 2021 οι εξαγωγές των προϊόντων της κατηγορίας αυτ</w:t>
      </w:r>
      <w:r w:rsidR="00D613B2" w:rsidRPr="00466073">
        <w:rPr>
          <w:rFonts w:asciiTheme="minorHAnsi" w:hAnsiTheme="minorHAnsi" w:cstheme="minorHAnsi"/>
          <w:color w:val="000000"/>
          <w:lang w:val="el-GR"/>
        </w:rPr>
        <w:t xml:space="preserve">ής σημείωσαν αύξηση τάξης 57% (€26,2 εκ.), ενώ το 2022 υπήρξε </w:t>
      </w:r>
      <w:r w:rsidR="00D613B2" w:rsidRPr="00466073">
        <w:rPr>
          <w:rFonts w:asciiTheme="minorHAnsi" w:hAnsiTheme="minorHAnsi" w:cstheme="minorHAnsi"/>
          <w:color w:val="000000"/>
          <w:u w:val="single"/>
          <w:lang w:val="el-GR"/>
        </w:rPr>
        <w:t>σημαντική πτώση</w:t>
      </w:r>
      <w:r w:rsidR="00D613B2" w:rsidRPr="00466073">
        <w:rPr>
          <w:rFonts w:asciiTheme="minorHAnsi" w:hAnsiTheme="minorHAnsi" w:cstheme="minorHAnsi"/>
          <w:color w:val="000000"/>
          <w:lang w:val="el-GR"/>
        </w:rPr>
        <w:t xml:space="preserve"> του κατά 80% (€5,5 εκ.) </w:t>
      </w:r>
      <w:r w:rsidR="006D1E32" w:rsidRPr="00466073">
        <w:rPr>
          <w:rFonts w:asciiTheme="minorHAnsi" w:hAnsiTheme="minorHAnsi" w:cstheme="minorHAnsi"/>
          <w:color w:val="000000"/>
          <w:lang w:val="el-GR"/>
        </w:rPr>
        <w:t xml:space="preserve"> </w:t>
      </w:r>
      <w:r w:rsidR="00BB59A0" w:rsidRPr="00466073">
        <w:rPr>
          <w:rFonts w:asciiTheme="minorHAnsi" w:hAnsiTheme="minorHAnsi" w:cstheme="minorHAnsi"/>
          <w:color w:val="000000"/>
          <w:lang w:val="el-GR"/>
        </w:rPr>
        <w:t>Επίσης, το</w:t>
      </w:r>
      <w:r w:rsidR="00D613B2" w:rsidRPr="00466073">
        <w:rPr>
          <w:rFonts w:asciiTheme="minorHAnsi" w:hAnsiTheme="minorHAnsi" w:cstheme="minorHAnsi"/>
          <w:color w:val="000000"/>
          <w:lang w:val="el-GR"/>
        </w:rPr>
        <w:t xml:space="preserve"> 2022</w:t>
      </w:r>
      <w:r w:rsidR="00BB59A0" w:rsidRPr="00466073">
        <w:rPr>
          <w:rFonts w:asciiTheme="minorHAnsi" w:hAnsiTheme="minorHAnsi" w:cstheme="minorHAnsi"/>
          <w:color w:val="000000"/>
          <w:lang w:val="el-GR"/>
        </w:rPr>
        <w:t xml:space="preserve">, εμφανίζονται στον πίνακα με τα δέκα </w:t>
      </w:r>
      <w:r w:rsidR="00BB59A0" w:rsidRPr="00466073">
        <w:rPr>
          <w:rFonts w:asciiTheme="minorHAnsi" w:hAnsiTheme="minorHAnsi" w:cstheme="minorHAnsi"/>
          <w:lang w:val="el-GR"/>
        </w:rPr>
        <w:t>κυριότερα εξαγόμενα στην Ουγγαρία ελληνικ</w:t>
      </w:r>
      <w:r w:rsidR="003E2DEC" w:rsidRPr="00466073">
        <w:rPr>
          <w:rFonts w:asciiTheme="minorHAnsi" w:hAnsiTheme="minorHAnsi" w:cstheme="minorHAnsi"/>
          <w:lang w:val="el-GR"/>
        </w:rPr>
        <w:t xml:space="preserve">ά προϊόντα, οι κωδικοί Σ.Ο.3901 </w:t>
      </w:r>
      <w:r w:rsidR="00BB59A0" w:rsidRPr="00466073">
        <w:rPr>
          <w:rFonts w:asciiTheme="minorHAnsi" w:hAnsiTheme="minorHAnsi" w:cstheme="minorHAnsi"/>
          <w:lang w:val="el-GR"/>
        </w:rPr>
        <w:t>[</w:t>
      </w:r>
      <w:r w:rsidR="003E2DEC" w:rsidRPr="00466073">
        <w:rPr>
          <w:rFonts w:asciiTheme="minorHAnsi" w:hAnsiTheme="minorHAnsi" w:cstheme="minorHAnsi"/>
          <w:lang w:val="el-GR"/>
        </w:rPr>
        <w:t>Πολυμερή του αιθυλενίου</w:t>
      </w:r>
      <w:r w:rsidR="00BB59A0" w:rsidRPr="00466073">
        <w:rPr>
          <w:rFonts w:asciiTheme="minorHAnsi" w:hAnsiTheme="minorHAnsi" w:cstheme="minorHAnsi"/>
          <w:lang w:val="el-GR"/>
        </w:rPr>
        <w:t xml:space="preserve">] αξίας </w:t>
      </w:r>
      <w:r w:rsidR="00BB59A0" w:rsidRPr="00466073">
        <w:rPr>
          <w:rFonts w:asciiTheme="minorHAnsi" w:hAnsiTheme="minorHAnsi" w:cstheme="minorHAnsi"/>
          <w:color w:val="000000"/>
          <w:lang w:val="el-GR"/>
        </w:rPr>
        <w:t>€</w:t>
      </w:r>
      <w:r w:rsidR="00D613B2" w:rsidRPr="00466073">
        <w:rPr>
          <w:rFonts w:asciiTheme="minorHAnsi" w:hAnsiTheme="minorHAnsi" w:cstheme="minorHAnsi"/>
          <w:lang w:val="el-GR"/>
        </w:rPr>
        <w:t>7,36</w:t>
      </w:r>
      <w:r w:rsidR="003E2DEC" w:rsidRPr="00466073">
        <w:rPr>
          <w:rFonts w:asciiTheme="minorHAnsi" w:hAnsiTheme="minorHAnsi" w:cstheme="minorHAnsi"/>
          <w:lang w:val="el-GR"/>
        </w:rPr>
        <w:t xml:space="preserve"> εκ. και Σ.Ο.3903</w:t>
      </w:r>
      <w:r w:rsidR="00BB59A0" w:rsidRPr="00466073">
        <w:rPr>
          <w:rFonts w:asciiTheme="minorHAnsi" w:hAnsiTheme="minorHAnsi" w:cstheme="minorHAnsi"/>
          <w:lang w:val="el-GR"/>
        </w:rPr>
        <w:t xml:space="preserve"> [</w:t>
      </w:r>
      <w:r w:rsidR="003E2DEC" w:rsidRPr="00466073">
        <w:rPr>
          <w:rFonts w:asciiTheme="minorHAnsi" w:hAnsiTheme="minorHAnsi" w:cstheme="minorHAnsi"/>
          <w:color w:val="000000"/>
          <w:lang w:val="el-GR"/>
        </w:rPr>
        <w:t xml:space="preserve">Πολυμερή του </w:t>
      </w:r>
      <w:proofErr w:type="spellStart"/>
      <w:r w:rsidR="003E2DEC" w:rsidRPr="00466073">
        <w:rPr>
          <w:rFonts w:asciiTheme="minorHAnsi" w:hAnsiTheme="minorHAnsi" w:cstheme="minorHAnsi"/>
          <w:color w:val="000000"/>
          <w:lang w:val="el-GR"/>
        </w:rPr>
        <w:t>στυρολίου</w:t>
      </w:r>
      <w:proofErr w:type="spellEnd"/>
      <w:r w:rsidR="00BB59A0" w:rsidRPr="00466073">
        <w:rPr>
          <w:rFonts w:asciiTheme="minorHAnsi" w:hAnsiTheme="minorHAnsi" w:cstheme="minorHAnsi"/>
          <w:color w:val="000000"/>
          <w:lang w:val="el-GR"/>
        </w:rPr>
        <w:t>] αξίας €</w:t>
      </w:r>
      <w:r w:rsidR="00D613B2" w:rsidRPr="00466073">
        <w:rPr>
          <w:rFonts w:asciiTheme="minorHAnsi" w:hAnsiTheme="minorHAnsi" w:cstheme="minorHAnsi"/>
          <w:color w:val="000000"/>
          <w:lang w:val="el-GR"/>
        </w:rPr>
        <w:t>6,79</w:t>
      </w:r>
      <w:r w:rsidR="00BB59A0" w:rsidRPr="00466073">
        <w:rPr>
          <w:rFonts w:asciiTheme="minorHAnsi" w:hAnsiTheme="minorHAnsi" w:cstheme="minorHAnsi"/>
          <w:color w:val="000000"/>
          <w:lang w:val="el-GR"/>
        </w:rPr>
        <w:t xml:space="preserve"> εκ.</w:t>
      </w:r>
      <w:r w:rsidR="00D613B2" w:rsidRPr="00466073">
        <w:rPr>
          <w:rFonts w:asciiTheme="minorHAnsi" w:hAnsiTheme="minorHAnsi" w:cstheme="minorHAnsi"/>
          <w:color w:val="000000"/>
          <w:lang w:val="el-GR"/>
        </w:rPr>
        <w:t xml:space="preserve"> </w:t>
      </w:r>
      <w:r w:rsidR="000D0493" w:rsidRPr="00466073">
        <w:rPr>
          <w:rFonts w:asciiTheme="minorHAnsi" w:hAnsiTheme="minorHAnsi" w:cstheme="minorHAnsi"/>
          <w:color w:val="000000"/>
          <w:u w:val="single"/>
          <w:lang w:val="el-GR"/>
        </w:rPr>
        <w:t>με διπλάσια αύξηση</w:t>
      </w:r>
      <w:r w:rsidR="000D0493" w:rsidRPr="00466073">
        <w:rPr>
          <w:rFonts w:asciiTheme="minorHAnsi" w:hAnsiTheme="minorHAnsi" w:cstheme="minorHAnsi"/>
          <w:color w:val="000000"/>
          <w:lang w:val="el-GR"/>
        </w:rPr>
        <w:t xml:space="preserve"> στις αξίες τους σε σχέση με το 2021.  </w:t>
      </w:r>
      <w:r w:rsidR="00FE04FD" w:rsidRPr="00466073">
        <w:rPr>
          <w:rFonts w:asciiTheme="minorHAnsi" w:hAnsiTheme="minorHAnsi" w:cstheme="minorHAnsi"/>
          <w:color w:val="000000"/>
          <w:lang w:val="el-GR"/>
        </w:rPr>
        <w:t xml:space="preserve"> </w:t>
      </w:r>
      <w:r w:rsidR="00750351" w:rsidRPr="00466073">
        <w:rPr>
          <w:rFonts w:asciiTheme="minorHAnsi" w:hAnsiTheme="minorHAnsi" w:cstheme="minorHAnsi"/>
          <w:color w:val="000000"/>
          <w:lang w:val="el-GR"/>
        </w:rPr>
        <w:t>Επίσης,</w:t>
      </w:r>
      <w:r w:rsidR="0026667B" w:rsidRPr="00466073">
        <w:rPr>
          <w:rFonts w:asciiTheme="minorHAnsi" w:hAnsiTheme="minorHAnsi" w:cstheme="minorHAnsi"/>
          <w:color w:val="000000"/>
          <w:lang w:val="el-GR"/>
        </w:rPr>
        <w:t xml:space="preserve"> </w:t>
      </w:r>
      <w:r w:rsidR="000D0493" w:rsidRPr="00466073">
        <w:rPr>
          <w:rFonts w:asciiTheme="minorHAnsi" w:hAnsiTheme="minorHAnsi" w:cstheme="minorHAnsi"/>
          <w:color w:val="000000"/>
          <w:lang w:val="el-GR"/>
        </w:rPr>
        <w:t>το 2022</w:t>
      </w:r>
      <w:r w:rsidR="00E512FF" w:rsidRPr="00466073">
        <w:rPr>
          <w:rFonts w:asciiTheme="minorHAnsi" w:hAnsiTheme="minorHAnsi" w:cstheme="minorHAnsi"/>
          <w:color w:val="000000"/>
          <w:lang w:val="el-GR"/>
        </w:rPr>
        <w:t xml:space="preserve">, </w:t>
      </w:r>
      <w:r w:rsidR="000D0493" w:rsidRPr="00466073">
        <w:rPr>
          <w:rFonts w:asciiTheme="minorHAnsi" w:hAnsiTheme="minorHAnsi" w:cstheme="minorHAnsi"/>
          <w:color w:val="000000"/>
          <w:lang w:val="el-GR"/>
        </w:rPr>
        <w:t>σε σχέση με το 2021</w:t>
      </w:r>
      <w:r w:rsidR="0026667B" w:rsidRPr="00466073">
        <w:rPr>
          <w:rFonts w:asciiTheme="minorHAnsi" w:hAnsiTheme="minorHAnsi" w:cstheme="minorHAnsi"/>
          <w:color w:val="000000"/>
          <w:lang w:val="el-GR"/>
        </w:rPr>
        <w:t>,</w:t>
      </w:r>
      <w:r w:rsidR="00750351" w:rsidRPr="00466073">
        <w:rPr>
          <w:rFonts w:asciiTheme="minorHAnsi" w:hAnsiTheme="minorHAnsi" w:cstheme="minorHAnsi"/>
          <w:color w:val="000000"/>
          <w:lang w:val="el-GR"/>
        </w:rPr>
        <w:t xml:space="preserve"> </w:t>
      </w:r>
      <w:r w:rsidR="003E2DEC" w:rsidRPr="00466073">
        <w:rPr>
          <w:rFonts w:asciiTheme="minorHAnsi" w:hAnsiTheme="minorHAnsi" w:cstheme="minorHAnsi"/>
          <w:color w:val="000000"/>
          <w:lang w:val="el-GR"/>
        </w:rPr>
        <w:t>οι εξαγωγές των προϊόντων της κατηγορίας Σ.Ο.3003</w:t>
      </w:r>
      <w:r w:rsidR="000D0493" w:rsidRPr="00466073">
        <w:rPr>
          <w:rFonts w:asciiTheme="minorHAnsi" w:hAnsiTheme="minorHAnsi" w:cstheme="minorHAnsi"/>
          <w:color w:val="000000"/>
          <w:lang w:val="el-GR"/>
        </w:rPr>
        <w:t xml:space="preserve"> </w:t>
      </w:r>
      <w:r w:rsidR="003E2DEC" w:rsidRPr="00466073">
        <w:rPr>
          <w:rFonts w:asciiTheme="minorHAnsi" w:hAnsiTheme="minorHAnsi" w:cstheme="minorHAnsi"/>
          <w:lang w:val="el-GR"/>
        </w:rPr>
        <w:t>[Φάρμακα</w:t>
      </w:r>
      <w:r w:rsidR="000D0493" w:rsidRPr="00466073">
        <w:rPr>
          <w:rFonts w:asciiTheme="minorHAnsi" w:hAnsiTheme="minorHAnsi" w:cstheme="minorHAnsi"/>
          <w:lang w:val="el-GR"/>
        </w:rPr>
        <w:t xml:space="preserve"> για μη λιανικό εμπόριο</w:t>
      </w:r>
      <w:r w:rsidR="003E2DEC" w:rsidRPr="00466073">
        <w:rPr>
          <w:rFonts w:asciiTheme="minorHAnsi" w:hAnsiTheme="minorHAnsi" w:cstheme="minorHAnsi"/>
          <w:lang w:val="el-GR"/>
        </w:rPr>
        <w:t xml:space="preserve">] </w:t>
      </w:r>
      <w:r w:rsidR="000D0493" w:rsidRPr="00466073">
        <w:rPr>
          <w:rFonts w:asciiTheme="minorHAnsi" w:hAnsiTheme="minorHAnsi" w:cstheme="minorHAnsi"/>
          <w:lang w:val="el-GR"/>
        </w:rPr>
        <w:t xml:space="preserve">και </w:t>
      </w:r>
      <w:r w:rsidR="000D0493" w:rsidRPr="00466073">
        <w:rPr>
          <w:rFonts w:asciiTheme="minorHAnsi" w:hAnsiTheme="minorHAnsi" w:cstheme="minorHAnsi"/>
          <w:color w:val="000000"/>
          <w:lang w:val="el-GR"/>
        </w:rPr>
        <w:t xml:space="preserve">Σ.Ο. 3004 </w:t>
      </w:r>
      <w:r w:rsidR="000D0493" w:rsidRPr="00466073">
        <w:rPr>
          <w:rFonts w:asciiTheme="minorHAnsi" w:hAnsiTheme="minorHAnsi" w:cstheme="minorHAnsi"/>
          <w:lang w:val="el-GR"/>
        </w:rPr>
        <w:t>[Φάρμακα για το λιανικό εμπόριο]</w:t>
      </w:r>
      <w:r w:rsidR="000D0493" w:rsidRPr="00466073">
        <w:rPr>
          <w:rFonts w:asciiTheme="minorHAnsi" w:hAnsiTheme="minorHAnsi" w:cstheme="minorHAnsi"/>
          <w:color w:val="000000"/>
          <w:lang w:val="el-GR"/>
        </w:rPr>
        <w:t xml:space="preserve"> </w:t>
      </w:r>
      <w:r w:rsidR="000D0493" w:rsidRPr="00466073">
        <w:rPr>
          <w:rFonts w:asciiTheme="minorHAnsi" w:hAnsiTheme="minorHAnsi" w:cstheme="minorHAnsi"/>
          <w:lang w:val="el-GR"/>
        </w:rPr>
        <w:t xml:space="preserve">παρέμειναν στα ίδια επίπεδα. </w:t>
      </w:r>
      <w:r w:rsidR="000D0493" w:rsidRPr="00466073">
        <w:rPr>
          <w:rFonts w:asciiTheme="minorHAnsi" w:hAnsiTheme="minorHAnsi" w:cstheme="minorHAnsi"/>
          <w:u w:val="single"/>
          <w:lang w:val="el-GR"/>
        </w:rPr>
        <w:t>Σημαντικές αυξήσεις</w:t>
      </w:r>
      <w:r w:rsidR="000D0493" w:rsidRPr="00466073">
        <w:rPr>
          <w:rFonts w:asciiTheme="minorHAnsi" w:hAnsiTheme="minorHAnsi" w:cstheme="minorHAnsi"/>
          <w:lang w:val="el-GR"/>
        </w:rPr>
        <w:t xml:space="preserve"> </w:t>
      </w:r>
      <w:r w:rsidR="003E2DEC" w:rsidRPr="00466073">
        <w:rPr>
          <w:rFonts w:asciiTheme="minorHAnsi" w:hAnsiTheme="minorHAnsi" w:cstheme="minorHAnsi"/>
          <w:color w:val="000000"/>
          <w:lang w:val="el-GR"/>
        </w:rPr>
        <w:t xml:space="preserve">σημειώθηκαν στις κατηγορίες  </w:t>
      </w:r>
      <w:r w:rsidR="00EB1B1A" w:rsidRPr="00466073">
        <w:rPr>
          <w:rFonts w:asciiTheme="minorHAnsi" w:hAnsiTheme="minorHAnsi" w:cstheme="minorHAnsi"/>
          <w:color w:val="000000"/>
          <w:lang w:val="el-GR"/>
        </w:rPr>
        <w:t>Σ.Ο.</w:t>
      </w:r>
      <w:r w:rsidR="003E2DEC" w:rsidRPr="00466073">
        <w:rPr>
          <w:rFonts w:asciiTheme="minorHAnsi" w:hAnsiTheme="minorHAnsi" w:cstheme="minorHAnsi"/>
          <w:color w:val="000000"/>
          <w:lang w:val="el-GR"/>
        </w:rPr>
        <w:t>7606</w:t>
      </w:r>
      <w:r w:rsidR="000D0493" w:rsidRPr="00466073">
        <w:rPr>
          <w:rFonts w:asciiTheme="minorHAnsi" w:hAnsiTheme="minorHAnsi" w:cstheme="minorHAnsi"/>
          <w:color w:val="000000"/>
          <w:lang w:val="el-GR"/>
        </w:rPr>
        <w:t xml:space="preserve"> και </w:t>
      </w:r>
      <w:r w:rsidR="003E2DEC" w:rsidRPr="00466073">
        <w:rPr>
          <w:rFonts w:asciiTheme="minorHAnsi" w:hAnsiTheme="minorHAnsi" w:cstheme="minorHAnsi"/>
          <w:color w:val="000000"/>
          <w:lang w:val="el-GR"/>
        </w:rPr>
        <w:t xml:space="preserve"> </w:t>
      </w:r>
      <w:r w:rsidR="000D0493" w:rsidRPr="00466073">
        <w:rPr>
          <w:rFonts w:asciiTheme="minorHAnsi" w:hAnsiTheme="minorHAnsi" w:cstheme="minorHAnsi"/>
          <w:color w:val="000000"/>
          <w:lang w:val="el-GR"/>
        </w:rPr>
        <w:t>Σ.Ο.7604 της τάξης του 54,3</w:t>
      </w:r>
      <w:r w:rsidR="00E512FF" w:rsidRPr="00466073">
        <w:rPr>
          <w:rFonts w:asciiTheme="minorHAnsi" w:hAnsiTheme="minorHAnsi" w:cstheme="minorHAnsi"/>
          <w:color w:val="000000"/>
          <w:lang w:val="el-GR"/>
        </w:rPr>
        <w:t>%</w:t>
      </w:r>
      <w:r w:rsidR="000D0493" w:rsidRPr="00466073">
        <w:rPr>
          <w:rFonts w:asciiTheme="minorHAnsi" w:hAnsiTheme="minorHAnsi" w:cstheme="minorHAnsi"/>
          <w:color w:val="000000"/>
          <w:lang w:val="el-GR"/>
        </w:rPr>
        <w:t>, και 39,9</w:t>
      </w:r>
      <w:r w:rsidR="00432CE0" w:rsidRPr="00466073">
        <w:rPr>
          <w:rFonts w:asciiTheme="minorHAnsi" w:hAnsiTheme="minorHAnsi" w:cstheme="minorHAnsi"/>
          <w:color w:val="000000"/>
          <w:lang w:val="el-GR"/>
        </w:rPr>
        <w:t xml:space="preserve">% αντίστοιχα. Τέλος, </w:t>
      </w:r>
      <w:r w:rsidR="000D0493" w:rsidRPr="00466073">
        <w:rPr>
          <w:rFonts w:asciiTheme="minorHAnsi" w:hAnsiTheme="minorHAnsi" w:cstheme="minorHAnsi"/>
          <w:color w:val="000000"/>
          <w:lang w:val="el-GR"/>
        </w:rPr>
        <w:t xml:space="preserve">οι κατηγορίες ΣΟ </w:t>
      </w:r>
      <w:r w:rsidR="000D0493" w:rsidRPr="00466073">
        <w:rPr>
          <w:rFonts w:asciiTheme="minorHAnsi" w:hAnsiTheme="minorHAnsi" w:cstheme="minorHAnsi"/>
          <w:lang w:val="el-GR"/>
        </w:rPr>
        <w:t xml:space="preserve">0805 </w:t>
      </w:r>
      <w:r w:rsidR="008F62EF" w:rsidRPr="00466073">
        <w:rPr>
          <w:rFonts w:asciiTheme="minorHAnsi" w:hAnsiTheme="minorHAnsi" w:cstheme="minorHAnsi"/>
          <w:lang w:val="el-GR"/>
        </w:rPr>
        <w:t xml:space="preserve">[Εσπεριδοειδή, νωπά ή ξερά] σημείωσε μερική αύξηση κατά 2%, ενώ </w:t>
      </w:r>
      <w:r w:rsidR="00432CE0" w:rsidRPr="00466073">
        <w:rPr>
          <w:rFonts w:asciiTheme="minorHAnsi" w:hAnsiTheme="minorHAnsi" w:cstheme="minorHAnsi"/>
          <w:color w:val="000000"/>
          <w:lang w:val="el-GR"/>
        </w:rPr>
        <w:t xml:space="preserve">η κατηγορία </w:t>
      </w:r>
      <w:r w:rsidR="008F62EF" w:rsidRPr="00466073">
        <w:rPr>
          <w:rFonts w:asciiTheme="minorHAnsi" w:hAnsiTheme="minorHAnsi" w:cstheme="minorHAnsi"/>
          <w:lang w:val="el-GR"/>
        </w:rPr>
        <w:t xml:space="preserve">2008 [Παρασκευάσματα Καρπών και φρούτων] σημαντική μείωση της τάξης του 23,8%. </w:t>
      </w:r>
    </w:p>
    <w:p w:rsidR="008F62EF" w:rsidRPr="00466073" w:rsidRDefault="008F62EF" w:rsidP="00271FF6">
      <w:pPr>
        <w:jc w:val="both"/>
        <w:textAlignment w:val="center"/>
        <w:rPr>
          <w:rFonts w:asciiTheme="minorHAnsi" w:hAnsiTheme="minorHAnsi" w:cstheme="minorHAnsi"/>
          <w:color w:val="000000"/>
          <w:lang w:val="el-GR"/>
        </w:rPr>
      </w:pPr>
    </w:p>
    <w:p w:rsidR="00271FF6" w:rsidRPr="00466073" w:rsidRDefault="00271FF6" w:rsidP="00271FF6">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 xml:space="preserve">Αναλύοντας τον ανωτέρω πίνακα, </w:t>
      </w:r>
      <w:r w:rsidRPr="00466073">
        <w:rPr>
          <w:rFonts w:asciiTheme="minorHAnsi" w:hAnsiTheme="minorHAnsi" w:cstheme="minorHAnsi"/>
          <w:b/>
          <w:color w:val="000000"/>
          <w:u w:val="single"/>
          <w:lang w:val="el-GR"/>
        </w:rPr>
        <w:t>το πρώτο σε αξία εξαγόμενο στην Ουγγαρία ελληνικό προϊόν</w:t>
      </w:r>
      <w:r w:rsidRPr="00466073">
        <w:rPr>
          <w:rFonts w:asciiTheme="minorHAnsi" w:hAnsiTheme="minorHAnsi" w:cstheme="minorHAnsi"/>
          <w:color w:val="000000"/>
          <w:lang w:val="el-GR"/>
        </w:rPr>
        <w:t xml:space="preserve"> για το </w:t>
      </w:r>
      <w:r w:rsidRPr="00466073">
        <w:rPr>
          <w:rFonts w:asciiTheme="minorHAnsi" w:hAnsiTheme="minorHAnsi" w:cstheme="minorHAnsi"/>
          <w:b/>
          <w:color w:val="000000"/>
          <w:lang w:val="el-GR"/>
        </w:rPr>
        <w:t>20</w:t>
      </w:r>
      <w:r w:rsidR="001A6C84" w:rsidRPr="00466073">
        <w:rPr>
          <w:rFonts w:asciiTheme="minorHAnsi" w:hAnsiTheme="minorHAnsi" w:cstheme="minorHAnsi"/>
          <w:b/>
          <w:color w:val="000000"/>
          <w:lang w:val="el-GR"/>
        </w:rPr>
        <w:t>2</w:t>
      </w:r>
      <w:r w:rsidR="008F62EF" w:rsidRPr="00466073">
        <w:rPr>
          <w:rFonts w:asciiTheme="minorHAnsi" w:hAnsiTheme="minorHAnsi" w:cstheme="minorHAnsi"/>
          <w:b/>
          <w:color w:val="000000"/>
          <w:lang w:val="el-GR"/>
        </w:rPr>
        <w:t>2</w:t>
      </w:r>
      <w:r w:rsidR="004F1690" w:rsidRPr="00466073">
        <w:rPr>
          <w:rFonts w:asciiTheme="minorHAnsi" w:hAnsiTheme="minorHAnsi" w:cstheme="minorHAnsi"/>
          <w:b/>
          <w:color w:val="000000"/>
          <w:lang w:val="el-GR"/>
        </w:rPr>
        <w:t xml:space="preserve"> </w:t>
      </w:r>
      <w:r w:rsidRPr="00466073">
        <w:rPr>
          <w:rFonts w:asciiTheme="minorHAnsi" w:hAnsiTheme="minorHAnsi" w:cstheme="minorHAnsi"/>
          <w:color w:val="000000"/>
          <w:lang w:val="el-GR"/>
        </w:rPr>
        <w:t>είναι αυτό του κωδικού</w:t>
      </w:r>
      <w:r w:rsidR="0009309D" w:rsidRPr="00466073">
        <w:rPr>
          <w:rFonts w:asciiTheme="minorHAnsi" w:hAnsiTheme="minorHAnsi" w:cstheme="minorHAnsi"/>
          <w:color w:val="000000"/>
          <w:lang w:val="el-GR"/>
        </w:rPr>
        <w:t xml:space="preserve"> </w:t>
      </w:r>
      <w:r w:rsidR="004A5194" w:rsidRPr="00466073">
        <w:rPr>
          <w:rFonts w:asciiTheme="minorHAnsi" w:hAnsiTheme="minorHAnsi" w:cstheme="minorHAnsi"/>
          <w:color w:val="000000"/>
          <w:lang w:val="el-GR"/>
        </w:rPr>
        <w:t>Σ.Ο.76061250 [Πλάκες από αργίλιο με πάχος που υπερβαίνει τα 0,2</w:t>
      </w:r>
      <w:r w:rsidR="004A5194" w:rsidRPr="00466073">
        <w:rPr>
          <w:rFonts w:asciiTheme="minorHAnsi" w:hAnsiTheme="minorHAnsi" w:cstheme="minorHAnsi"/>
          <w:color w:val="000000"/>
        </w:rPr>
        <w:t>mm</w:t>
      </w:r>
      <w:r w:rsidR="004A5194"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αξίας €</w:t>
      </w:r>
      <w:r w:rsidR="004A5194" w:rsidRPr="00466073">
        <w:rPr>
          <w:rFonts w:asciiTheme="minorHAnsi" w:hAnsiTheme="minorHAnsi" w:cstheme="minorHAnsi"/>
          <w:color w:val="000000"/>
          <w:lang w:val="el-GR"/>
        </w:rPr>
        <w:t>7,02</w:t>
      </w:r>
      <w:r w:rsidRPr="00466073">
        <w:rPr>
          <w:rFonts w:asciiTheme="minorHAnsi" w:hAnsiTheme="minorHAnsi" w:cstheme="minorHAnsi"/>
          <w:color w:val="000000"/>
          <w:lang w:val="el-GR"/>
        </w:rPr>
        <w:t xml:space="preserve"> εκ. </w:t>
      </w:r>
      <w:r w:rsidR="004A5194"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και ακολουθούν οι κωδικοί:</w:t>
      </w:r>
      <w:r w:rsidR="004F1690" w:rsidRPr="00466073">
        <w:rPr>
          <w:rFonts w:asciiTheme="minorHAnsi" w:hAnsiTheme="minorHAnsi" w:cstheme="minorHAnsi"/>
          <w:color w:val="000000"/>
          <w:lang w:val="el-GR"/>
        </w:rPr>
        <w:t xml:space="preserve"> </w:t>
      </w:r>
    </w:p>
    <w:p w:rsidR="00232B11" w:rsidRPr="00466073" w:rsidRDefault="00232B11" w:rsidP="004439F6">
      <w:pPr>
        <w:jc w:val="both"/>
        <w:textAlignment w:val="center"/>
        <w:rPr>
          <w:rFonts w:asciiTheme="minorHAnsi" w:hAnsiTheme="minorHAnsi" w:cstheme="minorHAnsi"/>
          <w:color w:val="000000"/>
          <w:lang w:val="el-GR"/>
        </w:rPr>
      </w:pPr>
    </w:p>
    <w:p w:rsidR="004439F6" w:rsidRPr="00466073" w:rsidRDefault="004439F6" w:rsidP="004A5194">
      <w:pPr>
        <w:jc w:val="both"/>
        <w:rPr>
          <w:rFonts w:asciiTheme="minorHAnsi" w:hAnsiTheme="minorHAnsi" w:cstheme="minorHAnsi"/>
          <w:lang w:val="el-GR"/>
        </w:rPr>
      </w:pPr>
      <w:r w:rsidRPr="00466073">
        <w:rPr>
          <w:rFonts w:asciiTheme="minorHAnsi" w:hAnsiTheme="minorHAnsi" w:cstheme="minorHAnsi"/>
          <w:color w:val="000000"/>
          <w:lang w:val="el-GR"/>
        </w:rPr>
        <w:t>Σ.Ο.</w:t>
      </w:r>
      <w:r w:rsidR="004A5194" w:rsidRPr="00466073">
        <w:rPr>
          <w:rFonts w:asciiTheme="minorHAnsi" w:hAnsiTheme="minorHAnsi" w:cstheme="minorHAnsi"/>
          <w:color w:val="000000"/>
          <w:lang w:val="el-GR"/>
        </w:rPr>
        <w:t xml:space="preserve"> </w:t>
      </w:r>
      <w:r w:rsidR="004A5194" w:rsidRPr="00466073">
        <w:rPr>
          <w:rFonts w:asciiTheme="minorHAnsi" w:hAnsiTheme="minorHAnsi" w:cstheme="minorHAnsi"/>
          <w:lang w:val="el-GR"/>
        </w:rPr>
        <w:t xml:space="preserve">76041090 </w:t>
      </w:r>
      <w:r w:rsidR="004A5194" w:rsidRPr="00466073">
        <w:rPr>
          <w:rFonts w:asciiTheme="minorHAnsi" w:hAnsiTheme="minorHAnsi" w:cstheme="minorHAnsi"/>
          <w:color w:val="000000"/>
          <w:lang w:val="el-GR"/>
        </w:rPr>
        <w:t xml:space="preserve">[Είδη καθορισμένης μορφής από αργίλιο όχι σε κράμα] </w:t>
      </w:r>
      <w:r w:rsidRPr="00466073">
        <w:rPr>
          <w:rFonts w:asciiTheme="minorHAnsi" w:hAnsiTheme="minorHAnsi" w:cstheme="minorHAnsi"/>
          <w:color w:val="000000"/>
          <w:lang w:val="el-GR"/>
        </w:rPr>
        <w:t>αξίας €</w:t>
      </w:r>
      <w:r w:rsidR="004A5194" w:rsidRPr="00466073">
        <w:rPr>
          <w:rFonts w:asciiTheme="minorHAnsi" w:hAnsiTheme="minorHAnsi" w:cstheme="minorHAnsi"/>
          <w:color w:val="000000"/>
          <w:lang w:val="el-GR"/>
        </w:rPr>
        <w:t>6,8</w:t>
      </w:r>
      <w:r w:rsidRPr="00466073">
        <w:rPr>
          <w:rFonts w:asciiTheme="minorHAnsi" w:hAnsiTheme="minorHAnsi" w:cstheme="minorHAnsi"/>
          <w:color w:val="000000"/>
          <w:lang w:val="el-GR"/>
        </w:rPr>
        <w:t>4 εκ.,</w:t>
      </w:r>
    </w:p>
    <w:p w:rsidR="004A5194" w:rsidRPr="00466073" w:rsidRDefault="004A5194" w:rsidP="004A5194">
      <w:pPr>
        <w:jc w:val="both"/>
        <w:rPr>
          <w:rFonts w:asciiTheme="minorHAnsi" w:hAnsiTheme="minorHAnsi" w:cstheme="minorHAnsi"/>
          <w:lang w:val="el-GR"/>
        </w:rPr>
      </w:pPr>
      <w:r w:rsidRPr="00466073">
        <w:rPr>
          <w:rFonts w:asciiTheme="minorHAnsi" w:hAnsiTheme="minorHAnsi" w:cstheme="minorHAnsi"/>
          <w:color w:val="000000"/>
          <w:lang w:val="el-GR"/>
        </w:rPr>
        <w:t>Σ.Ο. 76042990 [Είδη καθορισμένης μορφής από κράματα αργιλίου] αξίας €6,60 εκ.,</w:t>
      </w:r>
    </w:p>
    <w:p w:rsidR="00271FF6" w:rsidRPr="00466073" w:rsidRDefault="00271FF6" w:rsidP="00271FF6">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w:t>
      </w:r>
      <w:r w:rsidR="004A5194" w:rsidRPr="00466073">
        <w:rPr>
          <w:rFonts w:asciiTheme="minorHAnsi" w:hAnsiTheme="minorHAnsi" w:cstheme="minorHAnsi"/>
          <w:color w:val="000000"/>
          <w:lang w:val="el-GR"/>
        </w:rPr>
        <w:t xml:space="preserve"> 3</w:t>
      </w:r>
      <w:r w:rsidRPr="00466073">
        <w:rPr>
          <w:rFonts w:asciiTheme="minorHAnsi" w:hAnsiTheme="minorHAnsi" w:cstheme="minorHAnsi"/>
          <w:color w:val="000000"/>
          <w:lang w:val="el-GR"/>
        </w:rPr>
        <w:t>0049000 [Φάρμακα για λιανική πώληση] αξίας €6,</w:t>
      </w:r>
      <w:r w:rsidR="004A5194" w:rsidRPr="00466073">
        <w:rPr>
          <w:rFonts w:asciiTheme="minorHAnsi" w:hAnsiTheme="minorHAnsi" w:cstheme="minorHAnsi"/>
          <w:color w:val="000000"/>
          <w:lang w:val="el-GR"/>
        </w:rPr>
        <w:t>11</w:t>
      </w:r>
      <w:r w:rsidRPr="00466073">
        <w:rPr>
          <w:rFonts w:asciiTheme="minorHAnsi" w:hAnsiTheme="minorHAnsi" w:cstheme="minorHAnsi"/>
          <w:color w:val="000000"/>
          <w:lang w:val="el-GR"/>
        </w:rPr>
        <w:t xml:space="preserve"> εκ., </w:t>
      </w:r>
      <w:r w:rsidR="004439F6" w:rsidRPr="00466073">
        <w:rPr>
          <w:rFonts w:asciiTheme="minorHAnsi" w:hAnsiTheme="minorHAnsi" w:cstheme="minorHAnsi"/>
          <w:color w:val="000000"/>
          <w:lang w:val="el-GR"/>
        </w:rPr>
        <w:t xml:space="preserve">   </w:t>
      </w:r>
    </w:p>
    <w:p w:rsidR="004A5194" w:rsidRPr="00466073" w:rsidRDefault="004A5194" w:rsidP="0009309D">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 85183000 [Μικρόφωνα, ακουστικά, έστω και συνδυασμένα με μικρόφωνο] αξίας €5,49 εκ</w:t>
      </w:r>
    </w:p>
    <w:p w:rsidR="004A5194" w:rsidRPr="00466073" w:rsidRDefault="004A5194" w:rsidP="004A5194">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Σ.Ο.76069200 [Πλάκες και φύλλα από κράματα αργιλίου] αξίας €4,90 εκ.</w:t>
      </w:r>
    </w:p>
    <w:p w:rsidR="004A5194" w:rsidRPr="00466073" w:rsidRDefault="00404179" w:rsidP="0009309D">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w:t>
      </w:r>
      <w:r w:rsidR="00D56FA2"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 xml:space="preserve">76061191 [Πλάκες από αργίλιο με πάχος κατώτερο των 3 </w:t>
      </w:r>
      <w:r w:rsidRPr="00466073">
        <w:rPr>
          <w:rFonts w:asciiTheme="minorHAnsi" w:hAnsiTheme="minorHAnsi" w:cstheme="minorHAnsi"/>
          <w:color w:val="000000"/>
        </w:rPr>
        <w:t>mm</w:t>
      </w:r>
      <w:r w:rsidRPr="00466073">
        <w:rPr>
          <w:rFonts w:asciiTheme="minorHAnsi" w:hAnsiTheme="minorHAnsi" w:cstheme="minorHAnsi"/>
          <w:color w:val="000000"/>
          <w:lang w:val="el-GR"/>
        </w:rPr>
        <w:t xml:space="preserve">] αξίας €4,86 εκ </w:t>
      </w:r>
    </w:p>
    <w:p w:rsidR="00404179" w:rsidRPr="00466073" w:rsidRDefault="00404179" w:rsidP="00404179">
      <w:pPr>
        <w:jc w:val="both"/>
        <w:rPr>
          <w:rFonts w:asciiTheme="minorHAnsi" w:hAnsiTheme="minorHAnsi" w:cstheme="minorHAnsi"/>
          <w:color w:val="000000"/>
          <w:lang w:val="el-GR"/>
        </w:rPr>
      </w:pPr>
      <w:r w:rsidRPr="00466073">
        <w:rPr>
          <w:rFonts w:asciiTheme="minorHAnsi" w:hAnsiTheme="minorHAnsi" w:cstheme="minorHAnsi"/>
          <w:color w:val="000000"/>
          <w:lang w:val="el-GR"/>
        </w:rPr>
        <w:t>Σ.Ο.</w:t>
      </w:r>
      <w:r w:rsidR="00D56FA2"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 xml:space="preserve">39031100 [Πολυμερή του </w:t>
      </w:r>
      <w:proofErr w:type="spellStart"/>
      <w:r w:rsidRPr="00466073">
        <w:rPr>
          <w:rFonts w:asciiTheme="minorHAnsi" w:hAnsiTheme="minorHAnsi" w:cstheme="minorHAnsi"/>
          <w:color w:val="000000"/>
          <w:lang w:val="el-GR"/>
        </w:rPr>
        <w:t>στυρολίου</w:t>
      </w:r>
      <w:proofErr w:type="spellEnd"/>
      <w:r w:rsidRPr="00466073">
        <w:rPr>
          <w:rFonts w:asciiTheme="minorHAnsi" w:hAnsiTheme="minorHAnsi" w:cstheme="minorHAnsi"/>
          <w:color w:val="000000"/>
          <w:lang w:val="el-GR"/>
        </w:rPr>
        <w:t xml:space="preserve"> που μπορούν να διογκωθούν] αξίας €3,96 εκ</w:t>
      </w:r>
    </w:p>
    <w:p w:rsidR="00404179" w:rsidRPr="00466073" w:rsidRDefault="00404179" w:rsidP="0009309D">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 39014000 [</w:t>
      </w:r>
      <w:proofErr w:type="spellStart"/>
      <w:r w:rsidRPr="00466073">
        <w:rPr>
          <w:rFonts w:asciiTheme="minorHAnsi" w:hAnsiTheme="minorHAnsi" w:cstheme="minorHAnsi"/>
          <w:color w:val="000000"/>
          <w:lang w:val="el-GR"/>
        </w:rPr>
        <w:t>Συμπολυμερή</w:t>
      </w:r>
      <w:proofErr w:type="spellEnd"/>
      <w:r w:rsidRPr="00466073">
        <w:rPr>
          <w:rFonts w:asciiTheme="minorHAnsi" w:hAnsiTheme="minorHAnsi" w:cstheme="minorHAnsi"/>
          <w:color w:val="000000"/>
          <w:lang w:val="el-GR"/>
        </w:rPr>
        <w:t xml:space="preserve"> του αιθυλενίου και του οξικού βινυλίου] αξίας €3,22 εκ</w:t>
      </w:r>
    </w:p>
    <w:p w:rsidR="0009309D" w:rsidRPr="00466073" w:rsidRDefault="0009309D" w:rsidP="0009309D">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w:t>
      </w:r>
      <w:r w:rsidR="00D56FA2"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30039000 [</w:t>
      </w:r>
      <w:r w:rsidR="00404179" w:rsidRPr="00466073">
        <w:rPr>
          <w:rFonts w:asciiTheme="minorHAnsi" w:hAnsiTheme="minorHAnsi" w:cstheme="minorHAnsi"/>
          <w:color w:val="000000"/>
          <w:lang w:val="el-GR"/>
        </w:rPr>
        <w:t xml:space="preserve">Φάρμακα </w:t>
      </w:r>
      <w:r w:rsidRPr="00466073">
        <w:rPr>
          <w:rFonts w:asciiTheme="minorHAnsi" w:hAnsiTheme="minorHAnsi" w:cstheme="minorHAnsi"/>
          <w:color w:val="000000"/>
          <w:lang w:val="el-GR"/>
        </w:rPr>
        <w:t xml:space="preserve">για </w:t>
      </w:r>
      <w:r w:rsidR="00404179" w:rsidRPr="00466073">
        <w:rPr>
          <w:rFonts w:asciiTheme="minorHAnsi" w:hAnsiTheme="minorHAnsi" w:cstheme="minorHAnsi"/>
          <w:color w:val="000000"/>
          <w:lang w:val="el-GR"/>
        </w:rPr>
        <w:t xml:space="preserve">μη </w:t>
      </w:r>
      <w:r w:rsidRPr="00466073">
        <w:rPr>
          <w:rFonts w:asciiTheme="minorHAnsi" w:hAnsiTheme="minorHAnsi" w:cstheme="minorHAnsi"/>
          <w:color w:val="000000"/>
          <w:lang w:val="el-GR"/>
        </w:rPr>
        <w:t>λιανική πώληση] αξίας €</w:t>
      </w:r>
      <w:r w:rsidR="00404179" w:rsidRPr="00466073">
        <w:rPr>
          <w:rFonts w:asciiTheme="minorHAnsi" w:hAnsiTheme="minorHAnsi" w:cstheme="minorHAnsi"/>
          <w:color w:val="000000"/>
          <w:lang w:val="el-GR"/>
        </w:rPr>
        <w:t>2,90</w:t>
      </w:r>
      <w:r w:rsidRPr="00466073">
        <w:rPr>
          <w:rFonts w:asciiTheme="minorHAnsi" w:hAnsiTheme="minorHAnsi" w:cstheme="minorHAnsi"/>
          <w:color w:val="000000"/>
          <w:lang w:val="el-GR"/>
        </w:rPr>
        <w:t xml:space="preserve"> εκ.,</w:t>
      </w:r>
      <w:r w:rsidR="004439F6" w:rsidRPr="00466073">
        <w:rPr>
          <w:rFonts w:asciiTheme="minorHAnsi" w:hAnsiTheme="minorHAnsi" w:cstheme="minorHAnsi"/>
          <w:color w:val="000000"/>
          <w:lang w:val="el-GR"/>
        </w:rPr>
        <w:t xml:space="preserve">   </w:t>
      </w:r>
    </w:p>
    <w:p w:rsidR="00404179" w:rsidRPr="00466073" w:rsidRDefault="00404179" w:rsidP="00404179">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 xml:space="preserve">Σ.Ο.10063096 </w:t>
      </w:r>
      <w:r w:rsidRPr="00466073">
        <w:rPr>
          <w:rFonts w:asciiTheme="minorHAnsi" w:hAnsiTheme="minorHAnsi" w:cstheme="minorHAnsi"/>
          <w:lang w:val="el-GR"/>
        </w:rPr>
        <w:t xml:space="preserve">[Ρύζι του οποίου ο λόγος μήκος </w:t>
      </w:r>
      <w:r w:rsidRPr="00466073">
        <w:rPr>
          <w:rFonts w:asciiTheme="minorHAnsi" w:hAnsiTheme="minorHAnsi" w:cstheme="minorHAnsi"/>
          <w:lang w:val="hu-HU"/>
        </w:rPr>
        <w:t>/</w:t>
      </w:r>
      <w:r w:rsidRPr="00466073">
        <w:rPr>
          <w:rFonts w:asciiTheme="minorHAnsi" w:hAnsiTheme="minorHAnsi" w:cstheme="minorHAnsi"/>
          <w:lang w:val="el-GR"/>
        </w:rPr>
        <w:t>πλάτ</w:t>
      </w:r>
      <w:r w:rsidR="00AD2430" w:rsidRPr="00466073">
        <w:rPr>
          <w:rFonts w:asciiTheme="minorHAnsi" w:hAnsiTheme="minorHAnsi" w:cstheme="minorHAnsi"/>
          <w:lang w:val="el-GR"/>
        </w:rPr>
        <w:t xml:space="preserve">ος είναι μεγαλύτερος του 2 και </w:t>
      </w:r>
      <w:r w:rsidRPr="00466073">
        <w:rPr>
          <w:rFonts w:asciiTheme="minorHAnsi" w:hAnsiTheme="minorHAnsi" w:cstheme="minorHAnsi"/>
          <w:lang w:val="el-GR"/>
        </w:rPr>
        <w:t xml:space="preserve">μικρότερος του 3], </w:t>
      </w:r>
      <w:r w:rsidRPr="00466073">
        <w:rPr>
          <w:rFonts w:asciiTheme="minorHAnsi" w:hAnsiTheme="minorHAnsi" w:cstheme="minorHAnsi"/>
          <w:color w:val="000000"/>
          <w:lang w:val="el-GR"/>
        </w:rPr>
        <w:t>αξίας €2,79 εκ.</w:t>
      </w:r>
    </w:p>
    <w:p w:rsidR="00404179" w:rsidRPr="00466073" w:rsidRDefault="00AD2430" w:rsidP="009A0449">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 xml:space="preserve">Σ.Ο. 39031900 </w:t>
      </w:r>
      <w:r w:rsidRPr="00466073">
        <w:rPr>
          <w:rFonts w:asciiTheme="minorHAnsi" w:hAnsiTheme="minorHAnsi" w:cstheme="minorHAnsi"/>
          <w:lang w:val="el-GR"/>
        </w:rPr>
        <w:t xml:space="preserve">[Άλλο του </w:t>
      </w:r>
      <w:r w:rsidRPr="00466073">
        <w:rPr>
          <w:rFonts w:asciiTheme="minorHAnsi" w:hAnsiTheme="minorHAnsi" w:cstheme="minorHAnsi"/>
          <w:color w:val="000000"/>
          <w:lang w:val="el-GR"/>
        </w:rPr>
        <w:t xml:space="preserve">πολυμερή του </w:t>
      </w:r>
      <w:proofErr w:type="spellStart"/>
      <w:r w:rsidRPr="00466073">
        <w:rPr>
          <w:rFonts w:asciiTheme="minorHAnsi" w:hAnsiTheme="minorHAnsi" w:cstheme="minorHAnsi"/>
          <w:color w:val="000000"/>
          <w:lang w:val="el-GR"/>
        </w:rPr>
        <w:t>στυρολίου</w:t>
      </w:r>
      <w:proofErr w:type="spellEnd"/>
      <w:r w:rsidRPr="00466073">
        <w:rPr>
          <w:rFonts w:asciiTheme="minorHAnsi" w:hAnsiTheme="minorHAnsi" w:cstheme="minorHAnsi"/>
          <w:color w:val="000000"/>
          <w:lang w:val="el-GR"/>
        </w:rPr>
        <w:t xml:space="preserve"> σε αρχική μορφή] αξίας €2,73 εκ.</w:t>
      </w:r>
    </w:p>
    <w:p w:rsidR="00AD2430" w:rsidRPr="00466073" w:rsidRDefault="00AD2430" w:rsidP="00AD2430">
      <w:pPr>
        <w:ind w:left="1440" w:hanging="1440"/>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 xml:space="preserve">Σ.Ο. 84158100 </w:t>
      </w:r>
      <w:r w:rsidRPr="00466073">
        <w:rPr>
          <w:rFonts w:asciiTheme="minorHAnsi" w:hAnsiTheme="minorHAnsi" w:cstheme="minorHAnsi"/>
          <w:lang w:val="el-GR"/>
        </w:rPr>
        <w:t>[Μηχανές και συσκευές τεχνητού κλίματος που προορίζονται για πολιτικά αεροσκάφη</w:t>
      </w:r>
      <w:r w:rsidRPr="00466073">
        <w:rPr>
          <w:rFonts w:asciiTheme="minorHAnsi" w:hAnsiTheme="minorHAnsi" w:cstheme="minorHAnsi"/>
          <w:color w:val="000000"/>
          <w:lang w:val="el-GR"/>
        </w:rPr>
        <w:t xml:space="preserve">] </w:t>
      </w:r>
    </w:p>
    <w:p w:rsidR="00AD2430" w:rsidRPr="00466073" w:rsidRDefault="00AD2430" w:rsidP="00AD2430">
      <w:pPr>
        <w:ind w:left="1440" w:hanging="1440"/>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ab/>
        <w:t xml:space="preserve">  αξίας €2,43 εκ.</w:t>
      </w:r>
    </w:p>
    <w:p w:rsidR="00AD2430" w:rsidRPr="00466073" w:rsidRDefault="00AD2430" w:rsidP="00AD2430">
      <w:pPr>
        <w:jc w:val="both"/>
        <w:rPr>
          <w:rFonts w:asciiTheme="minorHAnsi" w:hAnsiTheme="minorHAnsi" w:cstheme="minorHAnsi"/>
          <w:color w:val="000000"/>
          <w:lang w:val="el-GR"/>
        </w:rPr>
      </w:pPr>
      <w:r w:rsidRPr="00466073">
        <w:rPr>
          <w:rFonts w:asciiTheme="minorHAnsi" w:hAnsiTheme="minorHAnsi" w:cstheme="minorHAnsi"/>
          <w:color w:val="000000"/>
          <w:lang w:val="el-GR"/>
        </w:rPr>
        <w:t>Σ.Ο.</w:t>
      </w:r>
      <w:r w:rsidR="00D56FA2"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 xml:space="preserve">08051022 [Πορτοκάλια </w:t>
      </w:r>
      <w:r w:rsidRPr="00466073">
        <w:rPr>
          <w:rFonts w:asciiTheme="minorHAnsi" w:hAnsiTheme="minorHAnsi" w:cstheme="minorHAnsi"/>
          <w:color w:val="000000"/>
          <w:lang w:val="hu-HU"/>
        </w:rPr>
        <w:t>Navel</w:t>
      </w:r>
      <w:r w:rsidRPr="00466073">
        <w:rPr>
          <w:rFonts w:asciiTheme="minorHAnsi" w:hAnsiTheme="minorHAnsi" w:cstheme="minorHAnsi"/>
          <w:color w:val="000000"/>
          <w:lang w:val="el-GR"/>
        </w:rPr>
        <w:t>] αξίας €2,43 εκ.,</w:t>
      </w:r>
    </w:p>
    <w:p w:rsidR="00AD2430" w:rsidRPr="00466073" w:rsidRDefault="00AD2430" w:rsidP="009A0449">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w:t>
      </w:r>
      <w:r w:rsidR="00D56FA2"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39021000 [Πολυπροπυλένιο] αξίας €2,42 εκ.,</w:t>
      </w:r>
    </w:p>
    <w:p w:rsidR="00AD2430" w:rsidRPr="00466073" w:rsidRDefault="00AD2430" w:rsidP="009A0449">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 04069032 [Φέτα] αξίας €2,30 εκ.,</w:t>
      </w:r>
    </w:p>
    <w:p w:rsidR="00AD2430" w:rsidRPr="00466073" w:rsidRDefault="00AD2430" w:rsidP="009A0449">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 xml:space="preserve">Σ.Ο. 28342100 </w:t>
      </w:r>
      <w:r w:rsidR="00D56FA2" w:rsidRPr="00466073">
        <w:rPr>
          <w:rFonts w:asciiTheme="minorHAnsi" w:hAnsiTheme="minorHAnsi" w:cstheme="minorHAnsi"/>
          <w:color w:val="000000"/>
          <w:lang w:val="el-GR"/>
        </w:rPr>
        <w:t>[Νιτρώδη καλίου] αξίας €2,21 εκ.,</w:t>
      </w:r>
    </w:p>
    <w:p w:rsidR="00AD2430" w:rsidRPr="00466073" w:rsidRDefault="00D56FA2" w:rsidP="009A0449">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 48236910 [Πιάτα, δίσκοι από χαρτί ή χαρτόνι] αξίας €2,12 εκ.,</w:t>
      </w:r>
    </w:p>
    <w:p w:rsidR="00D56FA2" w:rsidRPr="00466073" w:rsidRDefault="00D56FA2" w:rsidP="009A0449">
      <w:pPr>
        <w:jc w:val="both"/>
        <w:textAlignment w:val="center"/>
        <w:rPr>
          <w:rFonts w:asciiTheme="minorHAnsi" w:hAnsiTheme="minorHAnsi" w:cstheme="minorHAnsi"/>
          <w:color w:val="000000"/>
          <w:lang w:val="el-GR"/>
        </w:rPr>
      </w:pPr>
      <w:r w:rsidRPr="00466073">
        <w:rPr>
          <w:rFonts w:asciiTheme="minorHAnsi" w:hAnsiTheme="minorHAnsi" w:cstheme="minorHAnsi"/>
          <w:color w:val="000000"/>
          <w:lang w:val="el-GR"/>
        </w:rPr>
        <w:t>Σ.Ο. 84281020 [Μηχανήματα και συσκευές για ανύψωση - ανελκυστήρες] αξίας €2,05 εκ.,</w:t>
      </w:r>
    </w:p>
    <w:p w:rsidR="004A5194" w:rsidRPr="00466073" w:rsidRDefault="004A5194" w:rsidP="00271FF6">
      <w:pPr>
        <w:jc w:val="both"/>
        <w:rPr>
          <w:rFonts w:asciiTheme="minorHAnsi" w:hAnsiTheme="minorHAnsi" w:cstheme="minorHAnsi"/>
          <w:lang w:val="el-GR"/>
        </w:rPr>
      </w:pPr>
    </w:p>
    <w:tbl>
      <w:tblPr>
        <w:tblW w:w="5000" w:type="pct"/>
        <w:tblCellMar>
          <w:left w:w="0" w:type="dxa"/>
          <w:right w:w="0" w:type="dxa"/>
        </w:tblCellMar>
        <w:tblLook w:val="04A0"/>
      </w:tblPr>
      <w:tblGrid>
        <w:gridCol w:w="9990"/>
      </w:tblGrid>
      <w:tr w:rsidR="008604B1" w:rsidRPr="00433B1E" w:rsidTr="008604B1">
        <w:tc>
          <w:tcPr>
            <w:tcW w:w="0" w:type="auto"/>
            <w:vAlign w:val="center"/>
            <w:hideMark/>
          </w:tcPr>
          <w:tbl>
            <w:tblPr>
              <w:tblW w:w="0" w:type="auto"/>
              <w:tblCellMar>
                <w:left w:w="0" w:type="dxa"/>
                <w:right w:w="0" w:type="dxa"/>
              </w:tblCellMar>
              <w:tblLook w:val="04A0"/>
            </w:tblPr>
            <w:tblGrid>
              <w:gridCol w:w="6"/>
            </w:tblGrid>
            <w:tr w:rsidR="008604B1" w:rsidRPr="00433B1E">
              <w:tc>
                <w:tcPr>
                  <w:tcW w:w="0" w:type="auto"/>
                  <w:vAlign w:val="center"/>
                  <w:hideMark/>
                </w:tcPr>
                <w:p w:rsidR="008604B1" w:rsidRPr="00466073" w:rsidRDefault="008604B1" w:rsidP="005B6B3C">
                  <w:pPr>
                    <w:jc w:val="both"/>
                    <w:textAlignment w:val="center"/>
                    <w:rPr>
                      <w:rFonts w:asciiTheme="minorHAnsi" w:hAnsiTheme="minorHAnsi" w:cstheme="minorHAnsi"/>
                      <w:color w:val="000000"/>
                      <w:lang w:val="el-GR"/>
                    </w:rPr>
                  </w:pPr>
                </w:p>
              </w:tc>
            </w:tr>
          </w:tbl>
          <w:p w:rsidR="008604B1" w:rsidRPr="00466073" w:rsidRDefault="008604B1" w:rsidP="0080483E">
            <w:pPr>
              <w:jc w:val="both"/>
              <w:textAlignment w:val="center"/>
              <w:rPr>
                <w:rFonts w:asciiTheme="minorHAnsi" w:hAnsiTheme="minorHAnsi" w:cstheme="minorHAnsi"/>
                <w:color w:val="000000"/>
                <w:lang w:val="el-GR"/>
              </w:rPr>
            </w:pPr>
          </w:p>
        </w:tc>
      </w:tr>
    </w:tbl>
    <w:p w:rsidR="00E870F0" w:rsidRPr="00466073" w:rsidRDefault="00E870F0" w:rsidP="00E870F0">
      <w:pPr>
        <w:jc w:val="both"/>
        <w:rPr>
          <w:rFonts w:asciiTheme="minorHAnsi" w:hAnsiTheme="minorHAnsi" w:cstheme="minorHAnsi"/>
          <w:lang w:val="el-GR"/>
        </w:rPr>
      </w:pPr>
      <w:r w:rsidRPr="00466073">
        <w:rPr>
          <w:rFonts w:asciiTheme="minorHAnsi" w:hAnsiTheme="minorHAnsi" w:cstheme="minorHAnsi"/>
          <w:lang w:val="el-GR"/>
        </w:rPr>
        <w:t xml:space="preserve">Πρέπει να σημειωθεί, ότι η διεθνώς άριστη εικόνα που είχε η χώρα μας στην αντιμετώπιση της πανδημίας, επηρέασε θετικά την εμπορική και επιχειρηματική κοινότητα της Ουγγαρίας, δημιουργώντας ελκυστικές προοπτικές για τα ελληνικά προϊόντα. Παράλληλα, οι εξαγωγές μας ωφελήθηκαν από τη διακοπή της συνήθους εμπορικής ροής προς την Ουγγαρία και από τα προβλήματα </w:t>
      </w:r>
      <w:r w:rsidR="00FF79D4" w:rsidRPr="00466073">
        <w:rPr>
          <w:rFonts w:asciiTheme="minorHAnsi" w:hAnsiTheme="minorHAnsi" w:cstheme="minorHAnsi"/>
          <w:lang w:val="el-GR"/>
        </w:rPr>
        <w:t xml:space="preserve">που προκάλεσε η πανδημία </w:t>
      </w:r>
      <w:r w:rsidRPr="00466073">
        <w:rPr>
          <w:rFonts w:asciiTheme="minorHAnsi" w:hAnsiTheme="minorHAnsi" w:cstheme="minorHAnsi"/>
          <w:lang w:val="el-GR"/>
        </w:rPr>
        <w:t xml:space="preserve">στην παραγωγή και διακίνηση αγαθών από τους παραδοσιακούς ανταγωνιστές μας (Ιταλία, Ισπανία, κλπ).   </w:t>
      </w:r>
    </w:p>
    <w:p w:rsidR="0002250F" w:rsidRPr="00466073" w:rsidRDefault="0002250F" w:rsidP="001C1529">
      <w:pPr>
        <w:jc w:val="both"/>
        <w:rPr>
          <w:rFonts w:asciiTheme="minorHAnsi" w:hAnsiTheme="minorHAnsi" w:cstheme="minorHAnsi"/>
          <w:color w:val="000000"/>
          <w:lang w:val="el-GR"/>
        </w:rPr>
      </w:pPr>
    </w:p>
    <w:p w:rsidR="002B4DB0" w:rsidRPr="00466073" w:rsidRDefault="002B4DB0" w:rsidP="001C1529">
      <w:pPr>
        <w:jc w:val="both"/>
        <w:rPr>
          <w:rFonts w:asciiTheme="minorHAnsi" w:hAnsiTheme="minorHAnsi" w:cstheme="minorHAnsi"/>
          <w:b/>
          <w:lang w:val="el-GR"/>
        </w:rPr>
      </w:pPr>
      <w:r w:rsidRPr="00466073">
        <w:rPr>
          <w:rFonts w:asciiTheme="minorHAnsi" w:hAnsiTheme="minorHAnsi" w:cstheme="minorHAnsi"/>
          <w:b/>
          <w:lang w:val="el-GR"/>
        </w:rPr>
        <w:t>ΚΕΦΑΛΑΙΟ 08</w:t>
      </w:r>
    </w:p>
    <w:p w:rsidR="00B81575"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 xml:space="preserve">Λαμβάνοντας υπ’ όψιν ότι η Ελλάδα έχει συγκριτικό πλεονέκτημα και παραγωγική επάρκεια σε πολλά από τα προϊόντα του Κεφ.08, εκτιμούμε ότι θα μπορούσε να αυξήσει </w:t>
      </w:r>
      <w:r w:rsidR="002B7B83" w:rsidRPr="00466073">
        <w:rPr>
          <w:rFonts w:asciiTheme="minorHAnsi" w:hAnsiTheme="minorHAnsi" w:cstheme="minorHAnsi"/>
          <w:lang w:val="el-GR"/>
        </w:rPr>
        <w:t xml:space="preserve">περαιτέρω </w:t>
      </w:r>
      <w:r w:rsidRPr="00466073">
        <w:rPr>
          <w:rFonts w:asciiTheme="minorHAnsi" w:hAnsiTheme="minorHAnsi" w:cstheme="minorHAnsi"/>
          <w:lang w:val="el-GR"/>
        </w:rPr>
        <w:t xml:space="preserve">το μερίδιό </w:t>
      </w:r>
      <w:r w:rsidR="00743A3F" w:rsidRPr="00466073">
        <w:rPr>
          <w:rFonts w:asciiTheme="minorHAnsi" w:hAnsiTheme="minorHAnsi" w:cstheme="minorHAnsi"/>
          <w:lang w:val="el-GR"/>
        </w:rPr>
        <w:t>της στην ουγγρική αγορά</w:t>
      </w:r>
      <w:r w:rsidR="002B7B83" w:rsidRPr="00466073">
        <w:rPr>
          <w:rFonts w:asciiTheme="minorHAnsi" w:hAnsiTheme="minorHAnsi" w:cstheme="minorHAnsi"/>
          <w:lang w:val="el-GR"/>
        </w:rPr>
        <w:t>, αξιοποιώντας τη δυναμική που έχει αναπτυχθεί τα τελευταία έτη.</w:t>
      </w:r>
      <w:r w:rsidRPr="00466073">
        <w:rPr>
          <w:rFonts w:asciiTheme="minorHAnsi" w:hAnsiTheme="minorHAnsi" w:cstheme="minorHAnsi"/>
          <w:lang w:val="el-GR"/>
        </w:rPr>
        <w:t xml:space="preserve"> </w:t>
      </w:r>
    </w:p>
    <w:p w:rsidR="002B4DB0"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 xml:space="preserve">Πιο συγκεκριμένα, το μερίδιό της μπορεί να αυξήσει στον κωδικό </w:t>
      </w:r>
      <w:r w:rsidRPr="00466073">
        <w:rPr>
          <w:rFonts w:asciiTheme="minorHAnsi" w:hAnsiTheme="minorHAnsi" w:cstheme="minorHAnsi"/>
          <w:b/>
          <w:lang w:val="el-GR"/>
        </w:rPr>
        <w:t>0805</w:t>
      </w:r>
      <w:r w:rsidRPr="00466073">
        <w:rPr>
          <w:rFonts w:asciiTheme="minorHAnsi" w:hAnsiTheme="minorHAnsi" w:cstheme="minorHAnsi"/>
          <w:lang w:val="el-GR"/>
        </w:rPr>
        <w:t xml:space="preserve"> (εσπεριδοειδή), στον οποίο σημειώνει και τις μεγαλύτερες εξαγωγές.</w:t>
      </w:r>
      <w:r w:rsidR="00B81575" w:rsidRPr="00466073">
        <w:rPr>
          <w:rFonts w:asciiTheme="minorHAnsi" w:hAnsiTheme="minorHAnsi" w:cstheme="minorHAnsi"/>
          <w:lang w:val="el-GR"/>
        </w:rPr>
        <w:t xml:space="preserve"> Κυριότερο</w:t>
      </w:r>
      <w:r w:rsidR="002B4DB0" w:rsidRPr="00466073">
        <w:rPr>
          <w:rFonts w:asciiTheme="minorHAnsi" w:hAnsiTheme="minorHAnsi" w:cstheme="minorHAnsi"/>
          <w:lang w:val="el-GR"/>
        </w:rPr>
        <w:t>ι ανταγωνιστέ</w:t>
      </w:r>
      <w:r w:rsidR="00B81575" w:rsidRPr="00466073">
        <w:rPr>
          <w:rFonts w:asciiTheme="minorHAnsi" w:hAnsiTheme="minorHAnsi" w:cstheme="minorHAnsi"/>
          <w:lang w:val="el-GR"/>
        </w:rPr>
        <w:t xml:space="preserve">ς μας στα εσπεριδοειδή είναι </w:t>
      </w:r>
      <w:r w:rsidR="002B4DB0" w:rsidRPr="00466073">
        <w:rPr>
          <w:rFonts w:asciiTheme="minorHAnsi" w:hAnsiTheme="minorHAnsi" w:cstheme="minorHAnsi"/>
          <w:lang w:val="el-GR"/>
        </w:rPr>
        <w:t>οι:</w:t>
      </w:r>
      <w:r w:rsidR="00B81575" w:rsidRPr="00466073">
        <w:rPr>
          <w:rFonts w:asciiTheme="minorHAnsi" w:hAnsiTheme="minorHAnsi" w:cstheme="minorHAnsi"/>
          <w:lang w:val="el-GR"/>
        </w:rPr>
        <w:t xml:space="preserve"> Ισπανία</w:t>
      </w:r>
      <w:r w:rsidR="002B4DB0" w:rsidRPr="00466073">
        <w:rPr>
          <w:rFonts w:asciiTheme="minorHAnsi" w:hAnsiTheme="minorHAnsi" w:cstheme="minorHAnsi"/>
          <w:lang w:val="el-GR"/>
        </w:rPr>
        <w:t>,</w:t>
      </w:r>
      <w:r w:rsidR="00896FB9" w:rsidRPr="00466073">
        <w:rPr>
          <w:rFonts w:asciiTheme="minorHAnsi" w:hAnsiTheme="minorHAnsi" w:cstheme="minorHAnsi"/>
          <w:lang w:val="el-GR"/>
        </w:rPr>
        <w:t xml:space="preserve"> Γερμανία και Τουρκία.</w:t>
      </w:r>
    </w:p>
    <w:p w:rsidR="00743A3F" w:rsidRPr="00466073" w:rsidRDefault="00CB3340" w:rsidP="001C1529">
      <w:pPr>
        <w:jc w:val="both"/>
        <w:rPr>
          <w:rFonts w:asciiTheme="minorHAnsi" w:hAnsiTheme="minorHAnsi" w:cstheme="minorHAnsi"/>
          <w:lang w:val="el-GR"/>
        </w:rPr>
      </w:pPr>
      <w:r w:rsidRPr="00466073">
        <w:rPr>
          <w:rFonts w:asciiTheme="minorHAnsi" w:hAnsiTheme="minorHAnsi" w:cstheme="minorHAnsi"/>
          <w:lang w:val="el-GR"/>
        </w:rPr>
        <w:t xml:space="preserve">Επίσης </w:t>
      </w:r>
      <w:r w:rsidR="001C1529" w:rsidRPr="00466073">
        <w:rPr>
          <w:rFonts w:asciiTheme="minorHAnsi" w:hAnsiTheme="minorHAnsi" w:cstheme="minorHAnsi"/>
          <w:lang w:val="el-GR"/>
        </w:rPr>
        <w:t>σημαντικ</w:t>
      </w:r>
      <w:r w:rsidRPr="00466073">
        <w:rPr>
          <w:rFonts w:asciiTheme="minorHAnsi" w:hAnsiTheme="minorHAnsi" w:cstheme="minorHAnsi"/>
          <w:lang w:val="el-GR"/>
        </w:rPr>
        <w:t xml:space="preserve">ή </w:t>
      </w:r>
      <w:r w:rsidR="001C1529" w:rsidRPr="00466073">
        <w:rPr>
          <w:rFonts w:asciiTheme="minorHAnsi" w:hAnsiTheme="minorHAnsi" w:cstheme="minorHAnsi"/>
          <w:lang w:val="el-GR"/>
        </w:rPr>
        <w:t xml:space="preserve">για την Ελλάδα κατηγορία προϊόντων και με δυνατότητες περαιτέρω αύξησης των εξαγωγών, είναι αυτή του κωδικού </w:t>
      </w:r>
      <w:r w:rsidR="001C1529" w:rsidRPr="00466073">
        <w:rPr>
          <w:rFonts w:asciiTheme="minorHAnsi" w:hAnsiTheme="minorHAnsi" w:cstheme="minorHAnsi"/>
          <w:b/>
          <w:lang w:val="el-GR"/>
        </w:rPr>
        <w:t>0807</w:t>
      </w:r>
      <w:r w:rsidR="001C1529" w:rsidRPr="00466073">
        <w:rPr>
          <w:rFonts w:asciiTheme="minorHAnsi" w:hAnsiTheme="minorHAnsi" w:cstheme="minorHAnsi"/>
          <w:lang w:val="el-GR"/>
        </w:rPr>
        <w:t xml:space="preserve"> (πεπόνια και καρπούζια)</w:t>
      </w:r>
      <w:r w:rsidR="00896FB9" w:rsidRPr="00466073">
        <w:rPr>
          <w:rFonts w:asciiTheme="minorHAnsi" w:hAnsiTheme="minorHAnsi" w:cstheme="minorHAnsi"/>
          <w:lang w:val="el-GR"/>
        </w:rPr>
        <w:t>. Σ</w:t>
      </w:r>
      <w:r w:rsidR="00B81575" w:rsidRPr="00466073">
        <w:rPr>
          <w:rFonts w:asciiTheme="minorHAnsi" w:hAnsiTheme="minorHAnsi" w:cstheme="minorHAnsi"/>
          <w:lang w:val="el-GR"/>
        </w:rPr>
        <w:t xml:space="preserve">ε αυτή την </w:t>
      </w:r>
      <w:r w:rsidR="00F856FF" w:rsidRPr="00466073">
        <w:rPr>
          <w:rFonts w:asciiTheme="minorHAnsi" w:hAnsiTheme="minorHAnsi" w:cstheme="minorHAnsi"/>
          <w:lang w:val="el-GR"/>
        </w:rPr>
        <w:t>κατηγορία</w:t>
      </w:r>
      <w:r w:rsidR="00B81575" w:rsidRPr="00466073">
        <w:rPr>
          <w:rFonts w:asciiTheme="minorHAnsi" w:hAnsiTheme="minorHAnsi" w:cstheme="minorHAnsi"/>
          <w:lang w:val="el-GR"/>
        </w:rPr>
        <w:t xml:space="preserve"> κύριο</w:t>
      </w:r>
      <w:r w:rsidR="00896FB9" w:rsidRPr="00466073">
        <w:rPr>
          <w:rFonts w:asciiTheme="minorHAnsi" w:hAnsiTheme="minorHAnsi" w:cstheme="minorHAnsi"/>
          <w:lang w:val="el-GR"/>
        </w:rPr>
        <w:t xml:space="preserve">ς </w:t>
      </w:r>
      <w:r w:rsidR="00B81575" w:rsidRPr="00466073">
        <w:rPr>
          <w:rFonts w:asciiTheme="minorHAnsi" w:hAnsiTheme="minorHAnsi" w:cstheme="minorHAnsi"/>
          <w:lang w:val="el-GR"/>
        </w:rPr>
        <w:t>ανταγωνιστ</w:t>
      </w:r>
      <w:r w:rsidR="00896FB9" w:rsidRPr="00466073">
        <w:rPr>
          <w:rFonts w:asciiTheme="minorHAnsi" w:hAnsiTheme="minorHAnsi" w:cstheme="minorHAnsi"/>
          <w:lang w:val="el-GR"/>
        </w:rPr>
        <w:t>ή</w:t>
      </w:r>
      <w:r w:rsidR="002B4DB0" w:rsidRPr="00466073">
        <w:rPr>
          <w:rFonts w:asciiTheme="minorHAnsi" w:hAnsiTheme="minorHAnsi" w:cstheme="minorHAnsi"/>
          <w:lang w:val="el-GR"/>
        </w:rPr>
        <w:t xml:space="preserve">ς </w:t>
      </w:r>
      <w:r w:rsidR="00B81575" w:rsidRPr="00466073">
        <w:rPr>
          <w:rFonts w:asciiTheme="minorHAnsi" w:hAnsiTheme="minorHAnsi" w:cstheme="minorHAnsi"/>
          <w:lang w:val="el-GR"/>
        </w:rPr>
        <w:t xml:space="preserve">μας είναι </w:t>
      </w:r>
      <w:r w:rsidR="00896FB9" w:rsidRPr="00466073">
        <w:rPr>
          <w:rFonts w:asciiTheme="minorHAnsi" w:hAnsiTheme="minorHAnsi" w:cstheme="minorHAnsi"/>
          <w:lang w:val="el-GR"/>
        </w:rPr>
        <w:t xml:space="preserve">η </w:t>
      </w:r>
      <w:r w:rsidR="002B4DB0" w:rsidRPr="00466073">
        <w:rPr>
          <w:rFonts w:asciiTheme="minorHAnsi" w:hAnsiTheme="minorHAnsi" w:cstheme="minorHAnsi"/>
          <w:lang w:val="el-GR"/>
        </w:rPr>
        <w:t>Ι</w:t>
      </w:r>
      <w:r w:rsidR="00B81575" w:rsidRPr="00466073">
        <w:rPr>
          <w:rFonts w:asciiTheme="minorHAnsi" w:hAnsiTheme="minorHAnsi" w:cstheme="minorHAnsi"/>
          <w:lang w:val="el-GR"/>
        </w:rPr>
        <w:t>σπανία</w:t>
      </w:r>
      <w:r w:rsidR="002B4DB0" w:rsidRPr="00466073">
        <w:rPr>
          <w:rFonts w:asciiTheme="minorHAnsi" w:hAnsiTheme="minorHAnsi" w:cstheme="minorHAnsi"/>
          <w:lang w:val="el-GR"/>
        </w:rPr>
        <w:t xml:space="preserve"> </w:t>
      </w:r>
      <w:r w:rsidR="00896FB9" w:rsidRPr="00466073">
        <w:rPr>
          <w:rFonts w:asciiTheme="minorHAnsi" w:hAnsiTheme="minorHAnsi" w:cstheme="minorHAnsi"/>
          <w:lang w:val="el-GR"/>
        </w:rPr>
        <w:t xml:space="preserve">με εξαγωγές στην Ουγγαρία </w:t>
      </w:r>
      <w:r w:rsidR="00896FB9" w:rsidRPr="00466073">
        <w:rPr>
          <w:rFonts w:asciiTheme="minorHAnsi" w:hAnsiTheme="minorHAnsi" w:cstheme="minorHAnsi"/>
          <w:color w:val="000000"/>
          <w:lang w:val="el-GR"/>
        </w:rPr>
        <w:t xml:space="preserve">αξίας €2,89 εκ., ακολουθεί η χώρα μας </w:t>
      </w:r>
      <w:r w:rsidR="00896FB9" w:rsidRPr="00466073">
        <w:rPr>
          <w:rFonts w:asciiTheme="minorHAnsi" w:hAnsiTheme="minorHAnsi" w:cstheme="minorHAnsi"/>
          <w:lang w:val="el-GR"/>
        </w:rPr>
        <w:t xml:space="preserve">με  </w:t>
      </w:r>
      <w:r w:rsidR="00896FB9" w:rsidRPr="00466073">
        <w:rPr>
          <w:rFonts w:asciiTheme="minorHAnsi" w:hAnsiTheme="minorHAnsi" w:cstheme="minorHAnsi"/>
          <w:color w:val="000000"/>
          <w:lang w:val="el-GR"/>
        </w:rPr>
        <w:t xml:space="preserve">€2,18 εκ. </w:t>
      </w:r>
      <w:r w:rsidR="002B4DB0" w:rsidRPr="00466073">
        <w:rPr>
          <w:rFonts w:asciiTheme="minorHAnsi" w:hAnsiTheme="minorHAnsi" w:cstheme="minorHAnsi"/>
          <w:lang w:val="el-GR"/>
        </w:rPr>
        <w:t>και</w:t>
      </w:r>
      <w:r w:rsidR="00F856FF" w:rsidRPr="00466073">
        <w:rPr>
          <w:rFonts w:asciiTheme="minorHAnsi" w:hAnsiTheme="minorHAnsi" w:cstheme="minorHAnsi"/>
          <w:lang w:val="el-GR"/>
        </w:rPr>
        <w:t xml:space="preserve"> </w:t>
      </w:r>
      <w:r w:rsidR="00896FB9" w:rsidRPr="00466073">
        <w:rPr>
          <w:rFonts w:asciiTheme="minorHAnsi" w:hAnsiTheme="minorHAnsi" w:cstheme="minorHAnsi"/>
          <w:lang w:val="el-GR"/>
        </w:rPr>
        <w:t xml:space="preserve">στη συνέχεια η Ιταλία με </w:t>
      </w:r>
      <w:r w:rsidR="00896FB9" w:rsidRPr="00466073">
        <w:rPr>
          <w:rFonts w:asciiTheme="minorHAnsi" w:hAnsiTheme="minorHAnsi" w:cstheme="minorHAnsi"/>
          <w:color w:val="000000"/>
          <w:lang w:val="el-GR"/>
        </w:rPr>
        <w:t>€2,08 εκ.</w:t>
      </w:r>
      <w:r w:rsidR="00896FB9" w:rsidRPr="00466073">
        <w:rPr>
          <w:rFonts w:asciiTheme="minorHAnsi" w:hAnsiTheme="minorHAnsi" w:cstheme="minorHAnsi"/>
          <w:lang w:val="el-GR"/>
        </w:rPr>
        <w:t xml:space="preserve">, η Ολλανδία, η Γερμανία και η Τουρκία με </w:t>
      </w:r>
      <w:r w:rsidR="00896FB9" w:rsidRPr="00466073">
        <w:rPr>
          <w:rFonts w:asciiTheme="minorHAnsi" w:hAnsiTheme="minorHAnsi" w:cstheme="minorHAnsi"/>
          <w:color w:val="000000"/>
          <w:lang w:val="el-GR"/>
        </w:rPr>
        <w:t>€1,49 εκ.</w:t>
      </w:r>
      <w:r w:rsidR="00896FB9" w:rsidRPr="00466073">
        <w:rPr>
          <w:rFonts w:asciiTheme="minorHAnsi" w:hAnsiTheme="minorHAnsi" w:cstheme="minorHAnsi"/>
          <w:lang w:val="el-GR"/>
        </w:rPr>
        <w:t xml:space="preserve">, </w:t>
      </w:r>
      <w:r w:rsidR="00896FB9" w:rsidRPr="00466073">
        <w:rPr>
          <w:rFonts w:asciiTheme="minorHAnsi" w:hAnsiTheme="minorHAnsi" w:cstheme="minorHAnsi"/>
          <w:color w:val="000000"/>
          <w:lang w:val="el-GR"/>
        </w:rPr>
        <w:t>€0,92 εκ. και  €0,61 εκ</w:t>
      </w:r>
      <w:r w:rsidR="00F46C1A" w:rsidRPr="00466073">
        <w:rPr>
          <w:rFonts w:asciiTheme="minorHAnsi" w:hAnsiTheme="minorHAnsi" w:cstheme="minorHAnsi"/>
          <w:color w:val="000000"/>
          <w:lang w:val="el-GR"/>
        </w:rPr>
        <w:t>.</w:t>
      </w:r>
      <w:r w:rsidR="00896FB9" w:rsidRPr="00466073">
        <w:rPr>
          <w:rFonts w:asciiTheme="minorHAnsi" w:hAnsiTheme="minorHAnsi" w:cstheme="minorHAnsi"/>
          <w:color w:val="000000"/>
          <w:lang w:val="el-GR"/>
        </w:rPr>
        <w:t xml:space="preserve"> </w:t>
      </w:r>
      <w:r w:rsidR="00F46C1A" w:rsidRPr="00466073">
        <w:rPr>
          <w:rFonts w:asciiTheme="minorHAnsi" w:hAnsiTheme="minorHAnsi" w:cstheme="minorHAnsi"/>
          <w:color w:val="000000"/>
          <w:lang w:val="el-GR"/>
        </w:rPr>
        <w:t>αντίστοιχα.</w:t>
      </w:r>
    </w:p>
    <w:p w:rsidR="00D55B8C"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 xml:space="preserve">Ο κωδικός </w:t>
      </w:r>
      <w:r w:rsidRPr="00466073">
        <w:rPr>
          <w:rFonts w:asciiTheme="minorHAnsi" w:hAnsiTheme="minorHAnsi" w:cstheme="minorHAnsi"/>
          <w:b/>
          <w:lang w:val="el-GR"/>
        </w:rPr>
        <w:t>0810</w:t>
      </w:r>
      <w:r w:rsidRPr="00466073">
        <w:rPr>
          <w:rFonts w:asciiTheme="minorHAnsi" w:hAnsiTheme="minorHAnsi" w:cstheme="minorHAnsi"/>
          <w:lang w:val="el-GR"/>
        </w:rPr>
        <w:t xml:space="preserve"> (φράουλες και ακτινίδια) παρουσιάζει επίσης δυνατότητες για αύξηση των ελληνικών εξαγωγών. Οι κωδικοί </w:t>
      </w:r>
      <w:r w:rsidRPr="00466073">
        <w:rPr>
          <w:rFonts w:asciiTheme="minorHAnsi" w:hAnsiTheme="minorHAnsi" w:cstheme="minorHAnsi"/>
          <w:b/>
          <w:lang w:val="el-GR"/>
        </w:rPr>
        <w:t>0806</w:t>
      </w:r>
      <w:r w:rsidRPr="00466073">
        <w:rPr>
          <w:rFonts w:asciiTheme="minorHAnsi" w:hAnsiTheme="minorHAnsi" w:cstheme="minorHAnsi"/>
          <w:lang w:val="el-GR"/>
        </w:rPr>
        <w:t xml:space="preserve"> (σταφύλια), </w:t>
      </w:r>
      <w:r w:rsidRPr="00466073">
        <w:rPr>
          <w:rFonts w:asciiTheme="minorHAnsi" w:hAnsiTheme="minorHAnsi" w:cstheme="minorHAnsi"/>
          <w:b/>
          <w:lang w:val="el-GR"/>
        </w:rPr>
        <w:t>0808</w:t>
      </w:r>
      <w:r w:rsidRPr="00466073">
        <w:rPr>
          <w:rFonts w:asciiTheme="minorHAnsi" w:hAnsiTheme="minorHAnsi" w:cstheme="minorHAnsi"/>
          <w:lang w:val="el-GR"/>
        </w:rPr>
        <w:t xml:space="preserve"> (μήλα, αχλάδια) και </w:t>
      </w:r>
      <w:r w:rsidRPr="00466073">
        <w:rPr>
          <w:rFonts w:asciiTheme="minorHAnsi" w:hAnsiTheme="minorHAnsi" w:cstheme="minorHAnsi"/>
          <w:b/>
          <w:lang w:val="el-GR"/>
        </w:rPr>
        <w:t>0809</w:t>
      </w:r>
      <w:r w:rsidRPr="00466073">
        <w:rPr>
          <w:rFonts w:asciiTheme="minorHAnsi" w:hAnsiTheme="minorHAnsi" w:cstheme="minorHAnsi"/>
          <w:lang w:val="el-GR"/>
        </w:rPr>
        <w:t xml:space="preserve"> (βερίκοκα, νεκταρίνια, ροδάκινα), έχουν επίσης </w:t>
      </w:r>
      <w:r w:rsidR="002B7B83" w:rsidRPr="00466073">
        <w:rPr>
          <w:rFonts w:asciiTheme="minorHAnsi" w:hAnsiTheme="minorHAnsi" w:cstheme="minorHAnsi"/>
          <w:lang w:val="el-GR"/>
        </w:rPr>
        <w:t xml:space="preserve">άριστες </w:t>
      </w:r>
      <w:r w:rsidRPr="00466073">
        <w:rPr>
          <w:rFonts w:asciiTheme="minorHAnsi" w:hAnsiTheme="minorHAnsi" w:cstheme="minorHAnsi"/>
          <w:lang w:val="el-GR"/>
        </w:rPr>
        <w:t xml:space="preserve">προοπτικές για την Ελλάδα. </w:t>
      </w:r>
    </w:p>
    <w:p w:rsidR="001C1529" w:rsidRPr="00466073" w:rsidRDefault="001C1529" w:rsidP="001C1529">
      <w:pPr>
        <w:jc w:val="both"/>
        <w:rPr>
          <w:rFonts w:asciiTheme="minorHAnsi" w:hAnsiTheme="minorHAnsi" w:cstheme="minorHAnsi"/>
          <w:lang w:val="el-GR"/>
        </w:rPr>
      </w:pPr>
      <w:r w:rsidRPr="00466073">
        <w:rPr>
          <w:rFonts w:asciiTheme="minorHAnsi" w:hAnsiTheme="minorHAnsi" w:cstheme="minorHAnsi"/>
          <w:lang w:val="el-GR"/>
        </w:rPr>
        <w:t xml:space="preserve">Τέλος, επισημαίνουμε και την μικρή σχετικά κατηγορία του κωδικού </w:t>
      </w:r>
      <w:r w:rsidRPr="00466073">
        <w:rPr>
          <w:rFonts w:asciiTheme="minorHAnsi" w:hAnsiTheme="minorHAnsi" w:cstheme="minorHAnsi"/>
          <w:b/>
          <w:lang w:val="el-GR"/>
        </w:rPr>
        <w:t>0814</w:t>
      </w:r>
      <w:r w:rsidRPr="00466073">
        <w:rPr>
          <w:rFonts w:asciiTheme="minorHAnsi" w:hAnsiTheme="minorHAnsi" w:cstheme="minorHAnsi"/>
          <w:lang w:val="el-GR"/>
        </w:rPr>
        <w:t xml:space="preserve"> (φλούδες εσπεριδοειδών, πεπονιών, καρπουζιών -ν</w:t>
      </w:r>
      <w:r w:rsidR="00CB3340" w:rsidRPr="00466073">
        <w:rPr>
          <w:rFonts w:asciiTheme="minorHAnsi" w:hAnsiTheme="minorHAnsi" w:cstheme="minorHAnsi"/>
          <w:lang w:val="el-GR"/>
        </w:rPr>
        <w:t xml:space="preserve">ωπές, κατεψυγμένες, ή σε </w:t>
      </w:r>
      <w:proofErr w:type="spellStart"/>
      <w:r w:rsidR="00CB3340" w:rsidRPr="00466073">
        <w:rPr>
          <w:rFonts w:asciiTheme="minorHAnsi" w:hAnsiTheme="minorHAnsi" w:cstheme="minorHAnsi"/>
          <w:lang w:val="el-GR"/>
        </w:rPr>
        <w:t>άλµη</w:t>
      </w:r>
      <w:proofErr w:type="spellEnd"/>
      <w:r w:rsidR="00CB3340" w:rsidRPr="00466073">
        <w:rPr>
          <w:rFonts w:asciiTheme="minorHAnsi" w:hAnsiTheme="minorHAnsi" w:cstheme="minorHAnsi"/>
          <w:lang w:val="el-GR"/>
        </w:rPr>
        <w:t>). Ε</w:t>
      </w:r>
      <w:r w:rsidRPr="00466073">
        <w:rPr>
          <w:rFonts w:asciiTheme="minorHAnsi" w:hAnsiTheme="minorHAnsi" w:cstheme="minorHAnsi"/>
          <w:lang w:val="el-GR"/>
        </w:rPr>
        <w:t xml:space="preserve">κτιμούμε ότι η χώρα μας θα μπορούσε </w:t>
      </w:r>
      <w:r w:rsidRPr="00466073">
        <w:rPr>
          <w:rFonts w:asciiTheme="minorHAnsi" w:hAnsiTheme="minorHAnsi" w:cstheme="minorHAnsi"/>
          <w:lang w:val="el-GR"/>
        </w:rPr>
        <w:lastRenderedPageBreak/>
        <w:t>να διεκδικήσει μερίδιο αγοράς</w:t>
      </w:r>
      <w:r w:rsidR="00CB3340" w:rsidRPr="00466073">
        <w:rPr>
          <w:rFonts w:asciiTheme="minorHAnsi" w:hAnsiTheme="minorHAnsi" w:cstheme="minorHAnsi"/>
          <w:lang w:val="el-GR"/>
        </w:rPr>
        <w:t>,</w:t>
      </w:r>
      <w:r w:rsidRPr="00466073">
        <w:rPr>
          <w:rFonts w:asciiTheme="minorHAnsi" w:hAnsiTheme="minorHAnsi" w:cstheme="minorHAnsi"/>
          <w:lang w:val="el-GR"/>
        </w:rPr>
        <w:t xml:space="preserve"> λόγω συγκριτικού πλεονεκτήματος και παραγωγικής δυναμικότητας</w:t>
      </w:r>
      <w:r w:rsidR="00CB3340" w:rsidRPr="00466073">
        <w:rPr>
          <w:rFonts w:asciiTheme="minorHAnsi" w:hAnsiTheme="minorHAnsi" w:cstheme="minorHAnsi"/>
          <w:lang w:val="el-GR"/>
        </w:rPr>
        <w:t xml:space="preserve">, και </w:t>
      </w:r>
      <w:r w:rsidRPr="00466073">
        <w:rPr>
          <w:rFonts w:asciiTheme="minorHAnsi" w:hAnsiTheme="minorHAnsi" w:cstheme="minorHAnsi"/>
          <w:lang w:val="el-GR"/>
        </w:rPr>
        <w:t xml:space="preserve"> να ανταγωνιστεί τους κυρίαρχους «παίκτες» της κατηγορίας, </w:t>
      </w:r>
      <w:r w:rsidR="00F46C1A" w:rsidRPr="00466073">
        <w:rPr>
          <w:rFonts w:asciiTheme="minorHAnsi" w:hAnsiTheme="minorHAnsi" w:cstheme="minorHAnsi"/>
          <w:lang w:val="el-GR"/>
        </w:rPr>
        <w:t xml:space="preserve">Γαλλία, Γερμανία και </w:t>
      </w:r>
      <w:r w:rsidRPr="00466073">
        <w:rPr>
          <w:rFonts w:asciiTheme="minorHAnsi" w:hAnsiTheme="minorHAnsi" w:cstheme="minorHAnsi"/>
          <w:lang w:val="el-GR"/>
        </w:rPr>
        <w:t>Αυστρία</w:t>
      </w:r>
      <w:r w:rsidR="00F46C1A" w:rsidRPr="00466073">
        <w:rPr>
          <w:rFonts w:asciiTheme="minorHAnsi" w:hAnsiTheme="minorHAnsi" w:cstheme="minorHAnsi"/>
          <w:lang w:val="el-GR"/>
        </w:rPr>
        <w:t>.</w:t>
      </w:r>
      <w:r w:rsidRPr="00466073">
        <w:rPr>
          <w:rFonts w:asciiTheme="minorHAnsi" w:hAnsiTheme="minorHAnsi" w:cstheme="minorHAnsi"/>
          <w:lang w:val="el-GR"/>
        </w:rPr>
        <w:t xml:space="preserve"> </w:t>
      </w:r>
    </w:p>
    <w:p w:rsidR="00F3263E" w:rsidRPr="00466073" w:rsidRDefault="00F3263E" w:rsidP="00191659">
      <w:pPr>
        <w:jc w:val="both"/>
        <w:rPr>
          <w:rFonts w:asciiTheme="minorHAnsi" w:hAnsiTheme="minorHAnsi" w:cstheme="minorHAnsi"/>
          <w:color w:val="000000"/>
          <w:lang w:val="el-GR"/>
        </w:rPr>
      </w:pPr>
    </w:p>
    <w:p w:rsidR="002B4DB0" w:rsidRDefault="002B4DB0" w:rsidP="00191659">
      <w:pPr>
        <w:jc w:val="both"/>
        <w:rPr>
          <w:rFonts w:asciiTheme="minorHAnsi" w:hAnsiTheme="minorHAnsi" w:cstheme="minorHAnsi"/>
          <w:b/>
          <w:lang w:val="el-GR"/>
        </w:rPr>
      </w:pPr>
      <w:r w:rsidRPr="00466073">
        <w:rPr>
          <w:rFonts w:asciiTheme="minorHAnsi" w:hAnsiTheme="minorHAnsi" w:cstheme="minorHAnsi"/>
          <w:b/>
          <w:lang w:val="el-GR"/>
        </w:rPr>
        <w:t>ΚΕΦΑΛΑΙΟ 10</w:t>
      </w:r>
    </w:p>
    <w:p w:rsidR="001D4EEC" w:rsidRPr="00466073" w:rsidRDefault="001D4EEC" w:rsidP="00191659">
      <w:pPr>
        <w:jc w:val="both"/>
        <w:rPr>
          <w:rFonts w:asciiTheme="minorHAnsi" w:hAnsiTheme="minorHAnsi" w:cstheme="minorHAnsi"/>
          <w:b/>
          <w:lang w:val="el-GR"/>
        </w:rPr>
      </w:pPr>
    </w:p>
    <w:p w:rsidR="00374F07" w:rsidRPr="00466073" w:rsidRDefault="00486B29" w:rsidP="00191659">
      <w:pPr>
        <w:jc w:val="both"/>
        <w:rPr>
          <w:rFonts w:asciiTheme="minorHAnsi" w:hAnsiTheme="minorHAnsi" w:cstheme="minorHAnsi"/>
          <w:lang w:val="el-GR"/>
        </w:rPr>
      </w:pPr>
      <w:r w:rsidRPr="00466073">
        <w:rPr>
          <w:rFonts w:asciiTheme="minorHAnsi" w:hAnsiTheme="minorHAnsi" w:cstheme="minorHAnsi"/>
          <w:lang w:val="el-GR"/>
        </w:rPr>
        <w:t>Στα προϊόντα του κεφαλαίου αυτού της Σ.Ο. η Ουκρανία, η Ρουμανία, η Σλοβακία</w:t>
      </w:r>
      <w:r w:rsidR="00024525" w:rsidRPr="00466073">
        <w:rPr>
          <w:rFonts w:asciiTheme="minorHAnsi" w:hAnsiTheme="minorHAnsi" w:cstheme="minorHAnsi"/>
          <w:lang w:val="el-GR"/>
        </w:rPr>
        <w:t xml:space="preserve">, Αυστρία, Γαλλία </w:t>
      </w:r>
      <w:r w:rsidRPr="00466073">
        <w:rPr>
          <w:rFonts w:asciiTheme="minorHAnsi" w:hAnsiTheme="minorHAnsi" w:cstheme="minorHAnsi"/>
          <w:lang w:val="el-GR"/>
        </w:rPr>
        <w:t xml:space="preserve">και η Σερβία είναι οι κυριότεροι προμηθευτές της Ουγγαρίας. </w:t>
      </w:r>
      <w:r w:rsidR="003F38E0" w:rsidRPr="00466073">
        <w:rPr>
          <w:rFonts w:asciiTheme="minorHAnsi" w:hAnsiTheme="minorHAnsi" w:cstheme="minorHAnsi"/>
          <w:lang w:val="el-GR"/>
        </w:rPr>
        <w:t xml:space="preserve">Πρέπει </w:t>
      </w:r>
      <w:r w:rsidR="008A7894" w:rsidRPr="00466073">
        <w:rPr>
          <w:rFonts w:asciiTheme="minorHAnsi" w:hAnsiTheme="minorHAnsi" w:cstheme="minorHAnsi"/>
          <w:lang w:val="el-GR"/>
        </w:rPr>
        <w:t>να σημειωθεί</w:t>
      </w:r>
      <w:r w:rsidR="00374F07" w:rsidRPr="00466073">
        <w:rPr>
          <w:rFonts w:asciiTheme="minorHAnsi" w:hAnsiTheme="minorHAnsi" w:cstheme="minorHAnsi"/>
          <w:lang w:val="el-GR"/>
        </w:rPr>
        <w:t xml:space="preserve">, </w:t>
      </w:r>
      <w:r w:rsidR="008A7894" w:rsidRPr="00466073">
        <w:rPr>
          <w:rFonts w:asciiTheme="minorHAnsi" w:hAnsiTheme="minorHAnsi" w:cstheme="minorHAnsi"/>
          <w:lang w:val="el-GR"/>
        </w:rPr>
        <w:t>ότι τα 4 τελευταία έτη, το 100% των ελληνικών εξαγωγών της χώρας μας</w:t>
      </w:r>
      <w:r w:rsidRPr="00466073">
        <w:rPr>
          <w:rFonts w:asciiTheme="minorHAnsi" w:hAnsiTheme="minorHAnsi" w:cstheme="minorHAnsi"/>
          <w:lang w:val="el-GR"/>
        </w:rPr>
        <w:t xml:space="preserve">, αφορά στον κωδικό 100630 [ρύζι]. </w:t>
      </w:r>
    </w:p>
    <w:p w:rsidR="00191659" w:rsidRPr="00466073" w:rsidRDefault="00DB58B1" w:rsidP="00191659">
      <w:pPr>
        <w:jc w:val="both"/>
        <w:rPr>
          <w:rFonts w:asciiTheme="minorHAnsi" w:hAnsiTheme="minorHAnsi" w:cstheme="minorHAnsi"/>
          <w:lang w:val="el-GR"/>
        </w:rPr>
      </w:pPr>
      <w:r w:rsidRPr="00466073">
        <w:rPr>
          <w:rFonts w:asciiTheme="minorHAnsi" w:hAnsiTheme="minorHAnsi" w:cstheme="minorHAnsi"/>
          <w:lang w:val="el-GR"/>
        </w:rPr>
        <w:t xml:space="preserve">Το 2022, η </w:t>
      </w:r>
      <w:r w:rsidR="00191659" w:rsidRPr="00466073">
        <w:rPr>
          <w:rFonts w:asciiTheme="minorHAnsi" w:hAnsiTheme="minorHAnsi" w:cstheme="minorHAnsi"/>
          <w:lang w:val="el-GR"/>
        </w:rPr>
        <w:t xml:space="preserve">Ουγγαρία </w:t>
      </w:r>
      <w:r w:rsidRPr="00466073">
        <w:rPr>
          <w:rFonts w:asciiTheme="minorHAnsi" w:hAnsiTheme="minorHAnsi" w:cstheme="minorHAnsi"/>
          <w:lang w:val="el-GR"/>
        </w:rPr>
        <w:t xml:space="preserve">στον </w:t>
      </w:r>
      <w:r w:rsidR="00191659" w:rsidRPr="00466073">
        <w:rPr>
          <w:rFonts w:asciiTheme="minorHAnsi" w:hAnsiTheme="minorHAnsi" w:cstheme="minorHAnsi"/>
          <w:lang w:val="el-GR"/>
        </w:rPr>
        <w:t>κωδικό 1005</w:t>
      </w:r>
      <w:r w:rsidR="0083514C" w:rsidRPr="00466073">
        <w:rPr>
          <w:rFonts w:asciiTheme="minorHAnsi" w:hAnsiTheme="minorHAnsi" w:cstheme="minorHAnsi"/>
          <w:lang w:val="el-GR"/>
        </w:rPr>
        <w:t xml:space="preserve"> [καλαμπόκι]</w:t>
      </w:r>
      <w:r w:rsidR="00024525" w:rsidRPr="00466073">
        <w:rPr>
          <w:rFonts w:asciiTheme="minorHAnsi" w:hAnsiTheme="minorHAnsi" w:cstheme="minorHAnsi"/>
          <w:lang w:val="el-GR"/>
        </w:rPr>
        <w:t xml:space="preserve"> </w:t>
      </w:r>
      <w:r w:rsidRPr="00466073">
        <w:rPr>
          <w:rFonts w:asciiTheme="minorHAnsi" w:hAnsiTheme="minorHAnsi" w:cstheme="minorHAnsi"/>
          <w:lang w:val="el-GR"/>
        </w:rPr>
        <w:t xml:space="preserve">πραγματοποίησε εισαγωγές ύψους </w:t>
      </w:r>
      <w:r w:rsidR="00024525" w:rsidRPr="00466073">
        <w:rPr>
          <w:rFonts w:asciiTheme="minorHAnsi" w:hAnsiTheme="minorHAnsi" w:cstheme="minorHAnsi"/>
          <w:color w:val="000000"/>
          <w:lang w:val="el-GR"/>
        </w:rPr>
        <w:t>€ 589,1 εκ</w:t>
      </w:r>
      <w:r w:rsidRPr="00466073">
        <w:rPr>
          <w:rFonts w:asciiTheme="minorHAnsi" w:hAnsiTheme="minorHAnsi" w:cstheme="minorHAnsi"/>
          <w:color w:val="000000"/>
          <w:lang w:val="el-GR"/>
        </w:rPr>
        <w:t>.</w:t>
      </w:r>
      <w:r w:rsidR="00374F07" w:rsidRPr="00466073">
        <w:rPr>
          <w:rFonts w:asciiTheme="minorHAnsi" w:hAnsiTheme="minorHAnsi" w:cstheme="minorHAnsi"/>
          <w:lang w:val="el-GR"/>
        </w:rPr>
        <w:t xml:space="preserve">, - </w:t>
      </w:r>
      <w:r w:rsidRPr="00466073">
        <w:rPr>
          <w:rFonts w:asciiTheme="minorHAnsi" w:hAnsiTheme="minorHAnsi" w:cstheme="minorHAnsi"/>
          <w:lang w:val="el-GR"/>
        </w:rPr>
        <w:t xml:space="preserve">η Ουκρανία κατείχε </w:t>
      </w:r>
      <w:r w:rsidR="00374F07" w:rsidRPr="00466073">
        <w:rPr>
          <w:rFonts w:asciiTheme="minorHAnsi" w:hAnsiTheme="minorHAnsi" w:cstheme="minorHAnsi"/>
          <w:lang w:val="el-GR"/>
        </w:rPr>
        <w:t xml:space="preserve">μερίδιο της τάξης </w:t>
      </w:r>
      <w:r w:rsidRPr="00466073">
        <w:rPr>
          <w:rFonts w:asciiTheme="minorHAnsi" w:hAnsiTheme="minorHAnsi" w:cstheme="minorHAnsi"/>
          <w:lang w:val="el-GR"/>
        </w:rPr>
        <w:t xml:space="preserve">60% με εξαγωγές προς την Ουγγαρία αξίας </w:t>
      </w:r>
      <w:r w:rsidRPr="00466073">
        <w:rPr>
          <w:rFonts w:asciiTheme="minorHAnsi" w:hAnsiTheme="minorHAnsi" w:cstheme="minorHAnsi"/>
          <w:color w:val="000000"/>
          <w:lang w:val="el-GR"/>
        </w:rPr>
        <w:t>€</w:t>
      </w:r>
      <w:r w:rsidR="001D4EEC">
        <w:rPr>
          <w:rFonts w:asciiTheme="minorHAnsi" w:hAnsiTheme="minorHAnsi" w:cstheme="minorHAnsi"/>
          <w:color w:val="000000"/>
          <w:lang w:val="el-GR"/>
        </w:rPr>
        <w:t xml:space="preserve"> </w:t>
      </w:r>
      <w:r w:rsidRPr="00466073">
        <w:rPr>
          <w:rFonts w:asciiTheme="minorHAnsi" w:hAnsiTheme="minorHAnsi" w:cstheme="minorHAnsi"/>
          <w:color w:val="000000"/>
          <w:lang w:val="el-GR"/>
        </w:rPr>
        <w:t>348,5 εκ</w:t>
      </w:r>
      <w:r w:rsidR="00374F07" w:rsidRPr="00466073">
        <w:rPr>
          <w:rFonts w:asciiTheme="minorHAnsi" w:hAnsiTheme="minorHAnsi" w:cstheme="minorHAnsi"/>
          <w:color w:val="000000"/>
          <w:lang w:val="el-GR"/>
        </w:rPr>
        <w:t>.</w:t>
      </w:r>
      <w:r w:rsidRPr="00466073">
        <w:rPr>
          <w:rFonts w:asciiTheme="minorHAnsi" w:hAnsiTheme="minorHAnsi" w:cstheme="minorHAnsi"/>
          <w:color w:val="000000"/>
          <w:lang w:val="el-GR"/>
        </w:rPr>
        <w:t xml:space="preserve">, </w:t>
      </w:r>
      <w:r w:rsidR="00374F07" w:rsidRPr="00466073">
        <w:rPr>
          <w:rFonts w:asciiTheme="minorHAnsi" w:hAnsiTheme="minorHAnsi" w:cstheme="minorHAnsi"/>
          <w:color w:val="000000"/>
          <w:lang w:val="el-GR"/>
        </w:rPr>
        <w:t xml:space="preserve">- </w:t>
      </w:r>
      <w:r w:rsidRPr="00466073">
        <w:rPr>
          <w:rFonts w:asciiTheme="minorHAnsi" w:hAnsiTheme="minorHAnsi" w:cstheme="minorHAnsi"/>
          <w:color w:val="000000"/>
          <w:lang w:val="el-GR"/>
        </w:rPr>
        <w:t xml:space="preserve">ενώ </w:t>
      </w:r>
      <w:r w:rsidR="00191659" w:rsidRPr="00466073">
        <w:rPr>
          <w:rFonts w:asciiTheme="minorHAnsi" w:hAnsiTheme="minorHAnsi" w:cstheme="minorHAnsi"/>
          <w:lang w:val="el-GR"/>
        </w:rPr>
        <w:t xml:space="preserve">το ποσοστό </w:t>
      </w:r>
      <w:r w:rsidR="0069514B" w:rsidRPr="00466073">
        <w:rPr>
          <w:rFonts w:asciiTheme="minorHAnsi" w:hAnsiTheme="minorHAnsi" w:cstheme="minorHAnsi"/>
          <w:lang w:val="el-GR"/>
        </w:rPr>
        <w:t xml:space="preserve">εξαγωγών </w:t>
      </w:r>
      <w:r w:rsidRPr="00466073">
        <w:rPr>
          <w:rFonts w:asciiTheme="minorHAnsi" w:hAnsiTheme="minorHAnsi" w:cstheme="minorHAnsi"/>
          <w:lang w:val="el-GR"/>
        </w:rPr>
        <w:t>της χώρας μας ήταν</w:t>
      </w:r>
      <w:r w:rsidR="00191659" w:rsidRPr="00466073">
        <w:rPr>
          <w:rFonts w:asciiTheme="minorHAnsi" w:hAnsiTheme="minorHAnsi" w:cstheme="minorHAnsi"/>
          <w:lang w:val="el-GR"/>
        </w:rPr>
        <w:t xml:space="preserve"> </w:t>
      </w:r>
      <w:r w:rsidR="007C1B5F" w:rsidRPr="00466073">
        <w:rPr>
          <w:rFonts w:asciiTheme="minorHAnsi" w:hAnsiTheme="minorHAnsi" w:cstheme="minorHAnsi"/>
          <w:lang w:val="el-GR"/>
        </w:rPr>
        <w:t>0%</w:t>
      </w:r>
      <w:r w:rsidRPr="00466073">
        <w:rPr>
          <w:rFonts w:asciiTheme="minorHAnsi" w:hAnsiTheme="minorHAnsi" w:cstheme="minorHAnsi"/>
          <w:lang w:val="el-GR"/>
        </w:rPr>
        <w:t xml:space="preserve">. </w:t>
      </w:r>
    </w:p>
    <w:p w:rsidR="007C1B5F" w:rsidRPr="00466073" w:rsidRDefault="007C1B5F" w:rsidP="00191659">
      <w:pPr>
        <w:jc w:val="both"/>
        <w:rPr>
          <w:rFonts w:asciiTheme="minorHAnsi" w:hAnsiTheme="minorHAnsi" w:cstheme="minorHAnsi"/>
          <w:color w:val="FF0000"/>
          <w:lang w:val="el-GR"/>
        </w:rPr>
      </w:pPr>
    </w:p>
    <w:p w:rsidR="0048445E" w:rsidRDefault="0069514B" w:rsidP="00191659">
      <w:pPr>
        <w:jc w:val="both"/>
        <w:rPr>
          <w:rFonts w:asciiTheme="minorHAnsi" w:hAnsiTheme="minorHAnsi" w:cstheme="minorHAnsi"/>
          <w:b/>
          <w:color w:val="000000" w:themeColor="text1"/>
          <w:lang w:val="el-GR"/>
        </w:rPr>
      </w:pPr>
      <w:r w:rsidRPr="00466073">
        <w:rPr>
          <w:rFonts w:asciiTheme="minorHAnsi" w:hAnsiTheme="minorHAnsi" w:cstheme="minorHAnsi"/>
          <w:b/>
          <w:color w:val="000000" w:themeColor="text1"/>
          <w:lang w:val="el-GR"/>
        </w:rPr>
        <w:t>ΚΕΦΑΛΑΙΟ 15</w:t>
      </w:r>
    </w:p>
    <w:p w:rsidR="001D4EEC" w:rsidRPr="00466073" w:rsidRDefault="001D4EEC" w:rsidP="00191659">
      <w:pPr>
        <w:jc w:val="both"/>
        <w:rPr>
          <w:rFonts w:asciiTheme="minorHAnsi" w:hAnsiTheme="minorHAnsi" w:cstheme="minorHAnsi"/>
          <w:b/>
          <w:color w:val="000000" w:themeColor="text1"/>
          <w:lang w:val="el-GR"/>
        </w:rPr>
      </w:pPr>
    </w:p>
    <w:p w:rsidR="009C584F" w:rsidRPr="00466073" w:rsidRDefault="0048445E" w:rsidP="00E555C2">
      <w:pPr>
        <w:pStyle w:val="ListParagraph"/>
        <w:spacing w:line="240" w:lineRule="auto"/>
        <w:ind w:left="0"/>
        <w:jc w:val="both"/>
        <w:rPr>
          <w:rFonts w:cstheme="minorHAnsi"/>
          <w:sz w:val="24"/>
          <w:szCs w:val="24"/>
          <w:lang w:val="el-GR"/>
        </w:rPr>
      </w:pPr>
      <w:r w:rsidRPr="00466073">
        <w:rPr>
          <w:rFonts w:cstheme="minorHAnsi"/>
          <w:sz w:val="24"/>
          <w:szCs w:val="24"/>
          <w:lang w:val="el-GR"/>
        </w:rPr>
        <w:t xml:space="preserve">Στη διψήφια κατηγορία </w:t>
      </w:r>
      <w:r w:rsidRPr="00466073">
        <w:rPr>
          <w:rFonts w:cstheme="minorHAnsi"/>
          <w:b/>
          <w:sz w:val="24"/>
          <w:szCs w:val="24"/>
          <w:lang w:val="el-GR"/>
        </w:rPr>
        <w:t>Σ.Ο.15</w:t>
      </w:r>
      <w:r w:rsidRPr="00466073">
        <w:rPr>
          <w:rFonts w:cstheme="minorHAnsi"/>
          <w:sz w:val="24"/>
          <w:szCs w:val="24"/>
          <w:lang w:val="el-GR"/>
        </w:rPr>
        <w:t xml:space="preserve"> [ΛΙΠΗ ΚΑΙ ΛΑΔΙΑ ΖΩΙΚΑ Ή ΦΥΤΙΚΑ], η Ουγγαρία πραγματοποιεί </w:t>
      </w:r>
      <w:r w:rsidR="0069514B" w:rsidRPr="00466073">
        <w:rPr>
          <w:rFonts w:cstheme="minorHAnsi"/>
          <w:sz w:val="24"/>
          <w:szCs w:val="24"/>
          <w:lang w:val="el-GR"/>
        </w:rPr>
        <w:t>ελάχιστες εισαγωγές από την Ελλάδα</w:t>
      </w:r>
      <w:r w:rsidR="00AB0544" w:rsidRPr="00466073">
        <w:rPr>
          <w:rFonts w:cstheme="minorHAnsi"/>
          <w:sz w:val="24"/>
          <w:szCs w:val="24"/>
          <w:lang w:val="el-GR"/>
        </w:rPr>
        <w:t xml:space="preserve"> (0,47</w:t>
      </w:r>
      <w:r w:rsidR="003A65BA" w:rsidRPr="00466073">
        <w:rPr>
          <w:rFonts w:cstheme="minorHAnsi"/>
          <w:sz w:val="24"/>
          <w:szCs w:val="24"/>
          <w:lang w:val="el-GR"/>
        </w:rPr>
        <w:t>%)</w:t>
      </w:r>
      <w:r w:rsidR="00CB3340" w:rsidRPr="00466073">
        <w:rPr>
          <w:rFonts w:cstheme="minorHAnsi"/>
          <w:sz w:val="24"/>
          <w:szCs w:val="24"/>
          <w:lang w:val="el-GR"/>
        </w:rPr>
        <w:t>.</w:t>
      </w:r>
      <w:r w:rsidR="0069514B" w:rsidRPr="00466073">
        <w:rPr>
          <w:rFonts w:cstheme="minorHAnsi"/>
          <w:sz w:val="24"/>
          <w:szCs w:val="24"/>
          <w:lang w:val="el-GR"/>
        </w:rPr>
        <w:t xml:space="preserve"> </w:t>
      </w:r>
      <w:r w:rsidRPr="00466073">
        <w:rPr>
          <w:rFonts w:cstheme="minorHAnsi"/>
          <w:sz w:val="24"/>
          <w:szCs w:val="24"/>
          <w:lang w:val="el-GR"/>
        </w:rPr>
        <w:t xml:space="preserve">Σε αυτήν την κατηγορία θα περίμενε κανείς η Ελλάδα να πρωτοστατεί με τις εξαγωγές ελαιολάδου (μαζί βεβαίως με τους μόνιμους ανταγωνιστές της, </w:t>
      </w:r>
      <w:r w:rsidR="0069514B" w:rsidRPr="00466073">
        <w:rPr>
          <w:rFonts w:cstheme="minorHAnsi"/>
          <w:sz w:val="24"/>
          <w:szCs w:val="24"/>
          <w:lang w:val="el-GR"/>
        </w:rPr>
        <w:t>Ιταλία και Ισπανία</w:t>
      </w:r>
      <w:r w:rsidR="0083514C" w:rsidRPr="00466073">
        <w:rPr>
          <w:rFonts w:cstheme="minorHAnsi"/>
          <w:sz w:val="24"/>
          <w:szCs w:val="24"/>
          <w:lang w:val="el-GR"/>
        </w:rPr>
        <w:t>)</w:t>
      </w:r>
      <w:r w:rsidR="0069514B" w:rsidRPr="00466073">
        <w:rPr>
          <w:rFonts w:cstheme="minorHAnsi"/>
          <w:sz w:val="24"/>
          <w:szCs w:val="24"/>
          <w:lang w:val="el-GR"/>
        </w:rPr>
        <w:t>. Εντούτοις, τα προηγούμενα χρόνια, ο</w:t>
      </w:r>
      <w:r w:rsidRPr="00466073">
        <w:rPr>
          <w:rFonts w:cstheme="minorHAnsi"/>
          <w:sz w:val="24"/>
          <w:szCs w:val="24"/>
          <w:lang w:val="el-GR"/>
        </w:rPr>
        <w:t>ι μεγαλύτερες σε αξία εξαγωγές μας στην Ουγγαρία, σημειώνοντα</w:t>
      </w:r>
      <w:r w:rsidR="0069514B" w:rsidRPr="00466073">
        <w:rPr>
          <w:rFonts w:cstheme="minorHAnsi"/>
          <w:sz w:val="24"/>
          <w:szCs w:val="24"/>
          <w:lang w:val="el-GR"/>
        </w:rPr>
        <w:t>ν</w:t>
      </w:r>
      <w:r w:rsidRPr="00466073">
        <w:rPr>
          <w:rFonts w:cstheme="minorHAnsi"/>
          <w:sz w:val="24"/>
          <w:szCs w:val="24"/>
          <w:lang w:val="el-GR"/>
        </w:rPr>
        <w:t xml:space="preserve"> στο</w:t>
      </w:r>
      <w:r w:rsidR="0069514B" w:rsidRPr="00466073">
        <w:rPr>
          <w:rFonts w:cstheme="minorHAnsi"/>
          <w:sz w:val="24"/>
          <w:szCs w:val="24"/>
          <w:lang w:val="el-GR"/>
        </w:rPr>
        <w:t>υς</w:t>
      </w:r>
      <w:r w:rsidRPr="00466073">
        <w:rPr>
          <w:rFonts w:cstheme="minorHAnsi"/>
          <w:sz w:val="24"/>
          <w:szCs w:val="24"/>
          <w:lang w:val="el-GR"/>
        </w:rPr>
        <w:t xml:space="preserve"> κωδικ</w:t>
      </w:r>
      <w:r w:rsidR="0069514B" w:rsidRPr="00466073">
        <w:rPr>
          <w:rFonts w:cstheme="minorHAnsi"/>
          <w:sz w:val="24"/>
          <w:szCs w:val="24"/>
          <w:lang w:val="el-GR"/>
        </w:rPr>
        <w:t>ούς</w:t>
      </w:r>
      <w:r w:rsidRPr="00466073">
        <w:rPr>
          <w:rFonts w:cstheme="minorHAnsi"/>
          <w:sz w:val="24"/>
          <w:szCs w:val="24"/>
          <w:lang w:val="el-GR"/>
        </w:rPr>
        <w:t xml:space="preserve"> Σ.Ο.151</w:t>
      </w:r>
      <w:r w:rsidR="0069514B" w:rsidRPr="00466073">
        <w:rPr>
          <w:rFonts w:cstheme="minorHAnsi"/>
          <w:sz w:val="24"/>
          <w:szCs w:val="24"/>
          <w:lang w:val="el-GR"/>
        </w:rPr>
        <w:t>1 και 1513</w:t>
      </w:r>
      <w:r w:rsidR="003026EE" w:rsidRPr="00466073">
        <w:rPr>
          <w:rFonts w:cstheme="minorHAnsi"/>
          <w:sz w:val="24"/>
          <w:szCs w:val="24"/>
          <w:lang w:val="el-GR"/>
        </w:rPr>
        <w:t xml:space="preserve"> (</w:t>
      </w:r>
      <w:r w:rsidR="0069514B" w:rsidRPr="00466073">
        <w:rPr>
          <w:rFonts w:cstheme="minorHAnsi"/>
          <w:sz w:val="24"/>
          <w:szCs w:val="24"/>
          <w:lang w:val="el-GR"/>
        </w:rPr>
        <w:t xml:space="preserve">Φοινικέλαιο και </w:t>
      </w:r>
      <w:r w:rsidR="003026EE" w:rsidRPr="00466073">
        <w:rPr>
          <w:rFonts w:cstheme="minorHAnsi"/>
          <w:sz w:val="24"/>
          <w:szCs w:val="24"/>
          <w:lang w:val="el-GR"/>
        </w:rPr>
        <w:t>Λάδι κοκοφοίνικα)</w:t>
      </w:r>
      <w:r w:rsidR="00AB0544" w:rsidRPr="00466073">
        <w:rPr>
          <w:rFonts w:cstheme="minorHAnsi"/>
          <w:sz w:val="24"/>
          <w:szCs w:val="24"/>
          <w:lang w:val="el-GR"/>
        </w:rPr>
        <w:t>. Από το 2018 και μετά,</w:t>
      </w:r>
      <w:r w:rsidR="003026EE" w:rsidRPr="00466073">
        <w:rPr>
          <w:rFonts w:cstheme="minorHAnsi"/>
          <w:sz w:val="24"/>
          <w:szCs w:val="24"/>
          <w:lang w:val="el-GR"/>
        </w:rPr>
        <w:t xml:space="preserve"> τη σκυτάλη των εξαγωγών παίρνει το ελαιόλαδο (κωδικοί 1509 και 1510). </w:t>
      </w:r>
      <w:r w:rsidR="003A65BA" w:rsidRPr="00466073">
        <w:rPr>
          <w:rFonts w:cstheme="minorHAnsi"/>
          <w:sz w:val="24"/>
          <w:szCs w:val="24"/>
          <w:lang w:val="el-GR"/>
        </w:rPr>
        <w:t>Η τά</w:t>
      </w:r>
      <w:r w:rsidR="00F36BFB" w:rsidRPr="00466073">
        <w:rPr>
          <w:rFonts w:cstheme="minorHAnsi"/>
          <w:sz w:val="24"/>
          <w:szCs w:val="24"/>
          <w:lang w:val="el-GR"/>
        </w:rPr>
        <w:t>ση αυτή συνεχί</w:t>
      </w:r>
      <w:r w:rsidR="0083514C" w:rsidRPr="00466073">
        <w:rPr>
          <w:rFonts w:cstheme="minorHAnsi"/>
          <w:sz w:val="24"/>
          <w:szCs w:val="24"/>
          <w:lang w:val="el-GR"/>
        </w:rPr>
        <w:t xml:space="preserve">στηκε </w:t>
      </w:r>
      <w:r w:rsidR="00AB0544" w:rsidRPr="00466073">
        <w:rPr>
          <w:rFonts w:cstheme="minorHAnsi"/>
          <w:sz w:val="24"/>
          <w:szCs w:val="24"/>
          <w:lang w:val="el-GR"/>
        </w:rPr>
        <w:t xml:space="preserve">μέχρι και το 2022, </w:t>
      </w:r>
      <w:r w:rsidR="00F36BFB" w:rsidRPr="00466073">
        <w:rPr>
          <w:rFonts w:cstheme="minorHAnsi"/>
          <w:sz w:val="24"/>
          <w:szCs w:val="24"/>
          <w:lang w:val="el-GR"/>
        </w:rPr>
        <w:t>ένδειξη ότι το αγοραστικό κοινό της Ουγγαρίας στρέφεται σταδιακά προς την κατανάλωση ελαιολάδου.</w:t>
      </w:r>
    </w:p>
    <w:p w:rsidR="009C584F" w:rsidRPr="00466073" w:rsidRDefault="009C584F" w:rsidP="009C584F">
      <w:pPr>
        <w:pStyle w:val="ListParagraph"/>
        <w:ind w:left="0"/>
        <w:jc w:val="both"/>
        <w:rPr>
          <w:rFonts w:cstheme="minorHAnsi"/>
          <w:sz w:val="24"/>
          <w:szCs w:val="24"/>
          <w:u w:val="single"/>
          <w:lang w:val="el-GR"/>
        </w:rPr>
      </w:pPr>
      <w:r w:rsidRPr="00466073">
        <w:rPr>
          <w:rFonts w:cstheme="minorHAnsi"/>
          <w:noProof/>
          <w:sz w:val="24"/>
          <w:szCs w:val="24"/>
        </w:rPr>
        <w:drawing>
          <wp:inline distT="0" distB="0" distL="0" distR="0">
            <wp:extent cx="6071199" cy="2452813"/>
            <wp:effectExtent l="19050" t="0" r="24801" b="4637"/>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148D8" w:rsidRPr="00466073" w:rsidRDefault="00E366DA" w:rsidP="009C584F">
      <w:pPr>
        <w:pStyle w:val="ListParagraph"/>
        <w:ind w:left="0"/>
        <w:jc w:val="both"/>
        <w:rPr>
          <w:rFonts w:cstheme="minorHAnsi"/>
          <w:sz w:val="24"/>
          <w:szCs w:val="24"/>
          <w:lang w:val="el-GR"/>
        </w:rPr>
      </w:pPr>
      <w:r w:rsidRPr="00466073">
        <w:rPr>
          <w:rFonts w:cstheme="minorHAnsi"/>
          <w:sz w:val="24"/>
          <w:szCs w:val="24"/>
          <w:u w:val="single"/>
          <w:lang w:val="el-GR"/>
        </w:rPr>
        <w:t>Πηγή</w:t>
      </w:r>
      <w:r w:rsidRPr="00466073">
        <w:rPr>
          <w:rFonts w:cstheme="minorHAnsi"/>
          <w:sz w:val="24"/>
          <w:szCs w:val="24"/>
          <w:lang w:val="el-GR"/>
        </w:rPr>
        <w:t>: Εθνική Στατιστική Υπηρεσία Ουγγαρίας (</w:t>
      </w:r>
      <w:r w:rsidRPr="00466073">
        <w:rPr>
          <w:rFonts w:cstheme="minorHAnsi"/>
          <w:sz w:val="24"/>
          <w:szCs w:val="24"/>
        </w:rPr>
        <w:t>KSH</w:t>
      </w:r>
      <w:r w:rsidRPr="00466073">
        <w:rPr>
          <w:rFonts w:cstheme="minorHAnsi"/>
          <w:sz w:val="24"/>
          <w:szCs w:val="24"/>
          <w:lang w:val="el-GR"/>
        </w:rPr>
        <w:t>)</w:t>
      </w:r>
    </w:p>
    <w:p w:rsidR="002C700B" w:rsidRPr="00466073" w:rsidRDefault="00310C55" w:rsidP="00C84DE3">
      <w:pPr>
        <w:jc w:val="both"/>
        <w:rPr>
          <w:rFonts w:asciiTheme="minorHAnsi" w:hAnsiTheme="minorHAnsi" w:cstheme="minorHAnsi"/>
          <w:lang w:val="el-GR"/>
        </w:rPr>
      </w:pPr>
      <w:r w:rsidRPr="00466073">
        <w:rPr>
          <w:rFonts w:asciiTheme="minorHAnsi" w:hAnsiTheme="minorHAnsi" w:cstheme="minorHAnsi"/>
          <w:lang w:val="el-GR"/>
        </w:rPr>
        <w:t xml:space="preserve">Πρέπει όμως να τονιστεί ότι, στο Κεφ.15, η </w:t>
      </w:r>
      <w:r w:rsidR="00E366DA" w:rsidRPr="00466073">
        <w:rPr>
          <w:rFonts w:asciiTheme="minorHAnsi" w:hAnsiTheme="minorHAnsi" w:cstheme="minorHAnsi"/>
          <w:lang w:val="el-GR"/>
        </w:rPr>
        <w:t>Ουγγαρία εισάγε</w:t>
      </w:r>
      <w:r w:rsidR="00AB0544" w:rsidRPr="00466073">
        <w:rPr>
          <w:rFonts w:asciiTheme="minorHAnsi" w:hAnsiTheme="minorHAnsi" w:cstheme="minorHAnsi"/>
          <w:lang w:val="el-GR"/>
        </w:rPr>
        <w:t>ι πρωτίστως (25,5</w:t>
      </w:r>
      <w:r w:rsidRPr="00466073">
        <w:rPr>
          <w:rFonts w:asciiTheme="minorHAnsi" w:hAnsiTheme="minorHAnsi" w:cstheme="minorHAnsi"/>
          <w:lang w:val="el-GR"/>
        </w:rPr>
        <w:t>%) μαργαρίνες (Σ.Ο.1517)</w:t>
      </w:r>
      <w:r w:rsidR="00E366DA" w:rsidRPr="00466073">
        <w:rPr>
          <w:rFonts w:asciiTheme="minorHAnsi" w:hAnsiTheme="minorHAnsi" w:cstheme="minorHAnsi"/>
          <w:lang w:val="el-GR"/>
        </w:rPr>
        <w:t xml:space="preserve">, </w:t>
      </w:r>
      <w:r w:rsidR="00AB0544" w:rsidRPr="00466073">
        <w:rPr>
          <w:rFonts w:asciiTheme="minorHAnsi" w:hAnsiTheme="minorHAnsi" w:cstheme="minorHAnsi"/>
          <w:lang w:val="el-GR"/>
        </w:rPr>
        <w:t xml:space="preserve">21,7% λίπη και λάδια ζωικά ή φυτικά (Σ.Ο.1518 και Σ.Ο.1516), </w:t>
      </w:r>
      <w:r w:rsidR="00A12B30" w:rsidRPr="00466073">
        <w:rPr>
          <w:rFonts w:asciiTheme="minorHAnsi" w:hAnsiTheme="minorHAnsi" w:cstheme="minorHAnsi"/>
          <w:lang w:val="el-GR"/>
        </w:rPr>
        <w:t>και 10,3</w:t>
      </w:r>
      <w:r w:rsidR="00736C47" w:rsidRPr="00466073">
        <w:rPr>
          <w:rFonts w:asciiTheme="minorHAnsi" w:hAnsiTheme="minorHAnsi" w:cstheme="minorHAnsi"/>
          <w:lang w:val="el-GR"/>
        </w:rPr>
        <w:t xml:space="preserve">% λάδια </w:t>
      </w:r>
      <w:proofErr w:type="spellStart"/>
      <w:r w:rsidR="00736C47" w:rsidRPr="00466073">
        <w:rPr>
          <w:rFonts w:asciiTheme="minorHAnsi" w:hAnsiTheme="minorHAnsi" w:cstheme="minorHAnsi"/>
          <w:lang w:val="el-GR"/>
        </w:rPr>
        <w:t>αγριογογγύλης</w:t>
      </w:r>
      <w:proofErr w:type="spellEnd"/>
      <w:r w:rsidR="00736C47" w:rsidRPr="00466073">
        <w:rPr>
          <w:rFonts w:asciiTheme="minorHAnsi" w:hAnsiTheme="minorHAnsi" w:cstheme="minorHAnsi"/>
          <w:lang w:val="el-GR"/>
        </w:rPr>
        <w:t xml:space="preserve"> και σιναπιού</w:t>
      </w:r>
      <w:r w:rsidR="00E366DA" w:rsidRPr="00466073">
        <w:rPr>
          <w:rFonts w:asciiTheme="minorHAnsi" w:hAnsiTheme="minorHAnsi" w:cstheme="minorHAnsi"/>
          <w:lang w:val="el-GR"/>
        </w:rPr>
        <w:t xml:space="preserve"> (Σ.Ο.1514)</w:t>
      </w:r>
      <w:r w:rsidR="00A12B30" w:rsidRPr="00466073">
        <w:rPr>
          <w:rFonts w:asciiTheme="minorHAnsi" w:hAnsiTheme="minorHAnsi" w:cstheme="minorHAnsi"/>
          <w:lang w:val="el-GR"/>
        </w:rPr>
        <w:t xml:space="preserve">. </w:t>
      </w:r>
      <w:r w:rsidR="00E366DA" w:rsidRPr="00466073">
        <w:rPr>
          <w:rFonts w:asciiTheme="minorHAnsi" w:hAnsiTheme="minorHAnsi" w:cstheme="minorHAnsi"/>
          <w:lang w:val="el-GR"/>
        </w:rPr>
        <w:t xml:space="preserve"> </w:t>
      </w:r>
      <w:r w:rsidR="00F36BFB" w:rsidRPr="00466073">
        <w:rPr>
          <w:rFonts w:asciiTheme="minorHAnsi" w:hAnsiTheme="minorHAnsi" w:cstheme="minorHAnsi"/>
          <w:lang w:val="el-GR"/>
        </w:rPr>
        <w:t>Πιο αναλυτικά,</w:t>
      </w:r>
      <w:r w:rsidR="0048445E" w:rsidRPr="00466073">
        <w:rPr>
          <w:rFonts w:asciiTheme="minorHAnsi" w:hAnsiTheme="minorHAnsi" w:cstheme="minorHAnsi"/>
          <w:lang w:val="el-GR"/>
        </w:rPr>
        <w:t xml:space="preserve"> </w:t>
      </w:r>
      <w:r w:rsidR="00736C47" w:rsidRPr="00466073">
        <w:rPr>
          <w:rFonts w:asciiTheme="minorHAnsi" w:hAnsiTheme="minorHAnsi" w:cstheme="minorHAnsi"/>
          <w:lang w:val="el-GR"/>
        </w:rPr>
        <w:t>οι ελληνικές εξαγωγές στην Ουγγαρία, της</w:t>
      </w:r>
      <w:r w:rsidR="00423642" w:rsidRPr="00466073">
        <w:rPr>
          <w:rFonts w:asciiTheme="minorHAnsi" w:hAnsiTheme="minorHAnsi" w:cstheme="minorHAnsi"/>
          <w:lang w:val="el-GR"/>
        </w:rPr>
        <w:t xml:space="preserve"> κατηγορία</w:t>
      </w:r>
      <w:r w:rsidR="00736C47" w:rsidRPr="00466073">
        <w:rPr>
          <w:rFonts w:asciiTheme="minorHAnsi" w:hAnsiTheme="minorHAnsi" w:cstheme="minorHAnsi"/>
          <w:lang w:val="el-GR"/>
        </w:rPr>
        <w:t>ς</w:t>
      </w:r>
      <w:r w:rsidR="00423642" w:rsidRPr="00466073">
        <w:rPr>
          <w:rFonts w:asciiTheme="minorHAnsi" w:hAnsiTheme="minorHAnsi" w:cstheme="minorHAnsi"/>
          <w:lang w:val="el-GR"/>
        </w:rPr>
        <w:t xml:space="preserve"> </w:t>
      </w:r>
      <w:r w:rsidR="00E366DA" w:rsidRPr="00466073">
        <w:rPr>
          <w:rFonts w:asciiTheme="minorHAnsi" w:hAnsiTheme="minorHAnsi" w:cstheme="minorHAnsi"/>
          <w:lang w:val="el-GR"/>
        </w:rPr>
        <w:t xml:space="preserve"> </w:t>
      </w:r>
      <w:r w:rsidR="00423642" w:rsidRPr="00466073">
        <w:rPr>
          <w:rFonts w:asciiTheme="minorHAnsi" w:hAnsiTheme="minorHAnsi" w:cstheme="minorHAnsi"/>
          <w:b/>
          <w:lang w:val="el-GR"/>
        </w:rPr>
        <w:t>Σ.Ο.</w:t>
      </w:r>
      <w:r w:rsidR="00E366DA" w:rsidRPr="00466073">
        <w:rPr>
          <w:rFonts w:asciiTheme="minorHAnsi" w:hAnsiTheme="minorHAnsi" w:cstheme="minorHAnsi"/>
          <w:b/>
          <w:lang w:val="el-GR"/>
        </w:rPr>
        <w:t xml:space="preserve"> </w:t>
      </w:r>
      <w:r w:rsidR="00423642" w:rsidRPr="00466073">
        <w:rPr>
          <w:rFonts w:asciiTheme="minorHAnsi" w:hAnsiTheme="minorHAnsi" w:cstheme="minorHAnsi"/>
          <w:b/>
          <w:lang w:val="el-GR"/>
        </w:rPr>
        <w:t>15</w:t>
      </w:r>
      <w:r w:rsidR="00736C47" w:rsidRPr="00466073">
        <w:rPr>
          <w:rFonts w:asciiTheme="minorHAnsi" w:hAnsiTheme="minorHAnsi" w:cstheme="minorHAnsi"/>
          <w:lang w:val="el-GR"/>
        </w:rPr>
        <w:t xml:space="preserve">, περιορίζονται, </w:t>
      </w:r>
      <w:r w:rsidR="00423642" w:rsidRPr="00466073">
        <w:rPr>
          <w:rFonts w:asciiTheme="minorHAnsi" w:hAnsiTheme="minorHAnsi" w:cstheme="minorHAnsi"/>
          <w:lang w:val="el-GR"/>
        </w:rPr>
        <w:t>για το 20</w:t>
      </w:r>
      <w:r w:rsidR="00A12B30" w:rsidRPr="00466073">
        <w:rPr>
          <w:rFonts w:asciiTheme="minorHAnsi" w:hAnsiTheme="minorHAnsi" w:cstheme="minorHAnsi"/>
          <w:lang w:val="el-GR"/>
        </w:rPr>
        <w:t>22</w:t>
      </w:r>
      <w:r w:rsidR="00736C47" w:rsidRPr="00466073">
        <w:rPr>
          <w:rFonts w:asciiTheme="minorHAnsi" w:hAnsiTheme="minorHAnsi" w:cstheme="minorHAnsi"/>
          <w:lang w:val="el-GR"/>
        </w:rPr>
        <w:t>,</w:t>
      </w:r>
      <w:r w:rsidR="00423642" w:rsidRPr="00466073">
        <w:rPr>
          <w:rFonts w:asciiTheme="minorHAnsi" w:hAnsiTheme="minorHAnsi" w:cstheme="minorHAnsi"/>
          <w:lang w:val="el-GR"/>
        </w:rPr>
        <w:t xml:space="preserve"> στους κωδικούς:</w:t>
      </w:r>
      <w:r w:rsidR="002B32C3" w:rsidRPr="00466073">
        <w:rPr>
          <w:rFonts w:asciiTheme="minorHAnsi" w:hAnsiTheme="minorHAnsi" w:cstheme="minorHAnsi"/>
          <w:lang w:val="el-GR"/>
        </w:rPr>
        <w:t xml:space="preserve"> </w:t>
      </w:r>
      <w:r w:rsidR="00A12B30" w:rsidRPr="00466073">
        <w:rPr>
          <w:rFonts w:asciiTheme="minorHAnsi" w:hAnsiTheme="minorHAnsi" w:cstheme="minorHAnsi"/>
          <w:lang w:val="el-GR"/>
        </w:rPr>
        <w:t>Σ.Ο.1511 [Φοινικέλαιο και τα κλάσματά του], αξίας €</w:t>
      </w:r>
      <w:r w:rsidR="00A12B30" w:rsidRPr="00466073">
        <w:rPr>
          <w:rFonts w:asciiTheme="minorHAnsi" w:hAnsiTheme="minorHAnsi" w:cstheme="minorHAnsi"/>
          <w:color w:val="3C3C3C"/>
          <w:shd w:val="clear" w:color="auto" w:fill="FFFFFF"/>
          <w:lang w:val="el-GR"/>
        </w:rPr>
        <w:t xml:space="preserve">1.863.210, </w:t>
      </w:r>
      <w:r w:rsidR="00C84DE3" w:rsidRPr="00466073">
        <w:rPr>
          <w:rFonts w:asciiTheme="minorHAnsi" w:hAnsiTheme="minorHAnsi" w:cstheme="minorHAnsi"/>
          <w:lang w:val="el-GR"/>
        </w:rPr>
        <w:t>Σ.Ο.1509 [Ελαιόλαδο], αξίας €</w:t>
      </w:r>
      <w:r w:rsidR="00E366DA" w:rsidRPr="00466073">
        <w:rPr>
          <w:rFonts w:asciiTheme="minorHAnsi" w:hAnsiTheme="minorHAnsi" w:cstheme="minorHAnsi"/>
          <w:lang w:val="el-GR"/>
        </w:rPr>
        <w:t xml:space="preserve"> </w:t>
      </w:r>
      <w:r w:rsidR="00A12B30" w:rsidRPr="00466073">
        <w:rPr>
          <w:rFonts w:asciiTheme="minorHAnsi" w:hAnsiTheme="minorHAnsi" w:cstheme="minorHAnsi"/>
          <w:color w:val="3C3C3C"/>
          <w:shd w:val="clear" w:color="auto" w:fill="FFFFFF"/>
          <w:lang w:val="el-GR"/>
        </w:rPr>
        <w:t>970.620</w:t>
      </w:r>
      <w:r w:rsidR="00A12B30" w:rsidRPr="00466073">
        <w:rPr>
          <w:rFonts w:asciiTheme="minorHAnsi" w:hAnsiTheme="minorHAnsi" w:cstheme="minorHAnsi"/>
          <w:lang w:val="el-GR"/>
        </w:rPr>
        <w:t xml:space="preserve"> </w:t>
      </w:r>
      <w:r w:rsidR="008176ED" w:rsidRPr="00466073">
        <w:rPr>
          <w:rFonts w:asciiTheme="minorHAnsi" w:hAnsiTheme="minorHAnsi" w:cstheme="minorHAnsi"/>
          <w:lang w:val="el-GR"/>
        </w:rPr>
        <w:t>(</w:t>
      </w:r>
      <w:r w:rsidR="00A12B30" w:rsidRPr="00466073">
        <w:rPr>
          <w:rFonts w:asciiTheme="minorHAnsi" w:hAnsiTheme="minorHAnsi" w:cstheme="minorHAnsi"/>
          <w:lang w:val="el-GR"/>
        </w:rPr>
        <w:t>6,7</w:t>
      </w:r>
      <w:r w:rsidR="00E366DA" w:rsidRPr="00466073">
        <w:rPr>
          <w:rFonts w:asciiTheme="minorHAnsi" w:hAnsiTheme="minorHAnsi" w:cstheme="minorHAnsi"/>
          <w:lang w:val="el-GR"/>
        </w:rPr>
        <w:t>0</w:t>
      </w:r>
      <w:r w:rsidR="00736C47" w:rsidRPr="00466073">
        <w:rPr>
          <w:rFonts w:asciiTheme="minorHAnsi" w:hAnsiTheme="minorHAnsi" w:cstheme="minorHAnsi"/>
          <w:lang w:val="el-GR"/>
        </w:rPr>
        <w:t xml:space="preserve">% </w:t>
      </w:r>
      <w:r w:rsidR="008176ED" w:rsidRPr="00466073">
        <w:rPr>
          <w:rFonts w:asciiTheme="minorHAnsi" w:hAnsiTheme="minorHAnsi" w:cstheme="minorHAnsi"/>
          <w:lang w:val="el-GR"/>
        </w:rPr>
        <w:t>των ουγγρικών εισαγωγών</w:t>
      </w:r>
      <w:r w:rsidR="00736C47" w:rsidRPr="00466073">
        <w:rPr>
          <w:rFonts w:asciiTheme="minorHAnsi" w:hAnsiTheme="minorHAnsi" w:cstheme="minorHAnsi"/>
          <w:lang w:val="el-GR"/>
        </w:rPr>
        <w:t xml:space="preserve"> ελαιολάδου</w:t>
      </w:r>
      <w:r w:rsidR="008176ED" w:rsidRPr="00466073">
        <w:rPr>
          <w:rFonts w:asciiTheme="minorHAnsi" w:hAnsiTheme="minorHAnsi" w:cstheme="minorHAnsi"/>
          <w:lang w:val="el-GR"/>
        </w:rPr>
        <w:t>)</w:t>
      </w:r>
      <w:r w:rsidR="00FE04FD" w:rsidRPr="00466073">
        <w:rPr>
          <w:rFonts w:asciiTheme="minorHAnsi" w:hAnsiTheme="minorHAnsi" w:cstheme="minorHAnsi"/>
          <w:lang w:val="el-GR"/>
        </w:rPr>
        <w:t xml:space="preserve">, </w:t>
      </w:r>
      <w:r w:rsidR="00A12B30" w:rsidRPr="00466073">
        <w:rPr>
          <w:rFonts w:asciiTheme="minorHAnsi" w:hAnsiTheme="minorHAnsi" w:cstheme="minorHAnsi"/>
          <w:lang w:val="el-GR"/>
        </w:rPr>
        <w:t xml:space="preserve">Σ.Ο.1513 [Λάδια κοκοφοίνικα], αξίας € 154.547 και </w:t>
      </w:r>
      <w:r w:rsidR="00C84DE3" w:rsidRPr="00466073">
        <w:rPr>
          <w:rFonts w:asciiTheme="minorHAnsi" w:hAnsiTheme="minorHAnsi" w:cstheme="minorHAnsi"/>
          <w:lang w:val="el-GR"/>
        </w:rPr>
        <w:t>Σ.Ο.1510 [Άλλα λάδια από ελιές], αξίας €</w:t>
      </w:r>
      <w:r w:rsidR="00A12B30" w:rsidRPr="00466073">
        <w:rPr>
          <w:rFonts w:asciiTheme="minorHAnsi" w:hAnsiTheme="minorHAnsi" w:cstheme="minorHAnsi"/>
          <w:lang w:val="el-GR"/>
        </w:rPr>
        <w:t xml:space="preserve"> 141</w:t>
      </w:r>
      <w:r w:rsidR="00C84DE3" w:rsidRPr="00466073">
        <w:rPr>
          <w:rFonts w:asciiTheme="minorHAnsi" w:hAnsiTheme="minorHAnsi" w:cstheme="minorHAnsi"/>
          <w:lang w:val="el-GR"/>
        </w:rPr>
        <w:t>.</w:t>
      </w:r>
      <w:r w:rsidR="00A12B30" w:rsidRPr="00466073">
        <w:rPr>
          <w:rFonts w:asciiTheme="minorHAnsi" w:hAnsiTheme="minorHAnsi" w:cstheme="minorHAnsi"/>
          <w:lang w:val="el-GR"/>
        </w:rPr>
        <w:t>689</w:t>
      </w:r>
      <w:r w:rsidR="00E366DA" w:rsidRPr="00466073">
        <w:rPr>
          <w:rFonts w:asciiTheme="minorHAnsi" w:hAnsiTheme="minorHAnsi" w:cstheme="minorHAnsi"/>
          <w:lang w:val="el-GR"/>
        </w:rPr>
        <w:t xml:space="preserve"> (133</w:t>
      </w:r>
      <w:r w:rsidR="008176ED" w:rsidRPr="00466073">
        <w:rPr>
          <w:rFonts w:asciiTheme="minorHAnsi" w:hAnsiTheme="minorHAnsi" w:cstheme="minorHAnsi"/>
          <w:lang w:val="el-GR"/>
        </w:rPr>
        <w:t>%)</w:t>
      </w:r>
      <w:r w:rsidR="00A12B30" w:rsidRPr="00466073">
        <w:rPr>
          <w:rFonts w:asciiTheme="minorHAnsi" w:hAnsiTheme="minorHAnsi" w:cstheme="minorHAnsi"/>
          <w:lang w:val="el-GR"/>
        </w:rPr>
        <w:t xml:space="preserve">. </w:t>
      </w:r>
    </w:p>
    <w:p w:rsidR="00A12B30" w:rsidRPr="00466073" w:rsidRDefault="00A12B30" w:rsidP="009C584F">
      <w:pPr>
        <w:widowControl w:val="0"/>
        <w:autoSpaceDE w:val="0"/>
        <w:autoSpaceDN w:val="0"/>
        <w:adjustRightInd w:val="0"/>
        <w:spacing w:line="339" w:lineRule="exact"/>
        <w:rPr>
          <w:rFonts w:asciiTheme="minorHAnsi" w:hAnsiTheme="minorHAnsi" w:cstheme="minorHAnsi"/>
          <w:b/>
          <w:lang w:val="el-GR"/>
        </w:rPr>
      </w:pPr>
    </w:p>
    <w:p w:rsidR="002E7491" w:rsidRDefault="002E7491" w:rsidP="00A12B30">
      <w:pPr>
        <w:widowControl w:val="0"/>
        <w:autoSpaceDE w:val="0"/>
        <w:autoSpaceDN w:val="0"/>
        <w:adjustRightInd w:val="0"/>
        <w:spacing w:line="339" w:lineRule="exact"/>
        <w:jc w:val="center"/>
        <w:rPr>
          <w:rFonts w:asciiTheme="minorHAnsi" w:hAnsiTheme="minorHAnsi" w:cstheme="minorHAnsi"/>
          <w:b/>
          <w:lang w:val="el-GR"/>
        </w:rPr>
      </w:pPr>
    </w:p>
    <w:p w:rsidR="002E7491" w:rsidRDefault="002E7491" w:rsidP="00A12B30">
      <w:pPr>
        <w:widowControl w:val="0"/>
        <w:autoSpaceDE w:val="0"/>
        <w:autoSpaceDN w:val="0"/>
        <w:adjustRightInd w:val="0"/>
        <w:spacing w:line="339" w:lineRule="exact"/>
        <w:jc w:val="center"/>
        <w:rPr>
          <w:rFonts w:asciiTheme="minorHAnsi" w:hAnsiTheme="minorHAnsi" w:cstheme="minorHAnsi"/>
          <w:b/>
          <w:lang w:val="el-GR"/>
        </w:rPr>
      </w:pPr>
    </w:p>
    <w:p w:rsidR="00A12B30" w:rsidRPr="00466073" w:rsidRDefault="00A12B30" w:rsidP="00A12B30">
      <w:pPr>
        <w:widowControl w:val="0"/>
        <w:autoSpaceDE w:val="0"/>
        <w:autoSpaceDN w:val="0"/>
        <w:adjustRightInd w:val="0"/>
        <w:spacing w:line="339" w:lineRule="exact"/>
        <w:jc w:val="center"/>
        <w:rPr>
          <w:rFonts w:asciiTheme="minorHAnsi" w:hAnsiTheme="minorHAnsi" w:cstheme="minorHAnsi"/>
          <w:b/>
          <w:lang w:val="el-GR"/>
        </w:rPr>
      </w:pPr>
      <w:r w:rsidRPr="00466073">
        <w:rPr>
          <w:rFonts w:asciiTheme="minorHAnsi" w:hAnsiTheme="minorHAnsi" w:cstheme="minorHAnsi"/>
          <w:b/>
          <w:lang w:val="el-GR"/>
        </w:rPr>
        <w:t>Εισαγωγές Ουγγαρίας δασμολογικής κλάσης 1509 (Ελαιόλαδο), 2016-202</w:t>
      </w:r>
      <w:r w:rsidRPr="00466073">
        <w:rPr>
          <w:rFonts w:asciiTheme="minorHAnsi" w:hAnsiTheme="minorHAnsi" w:cstheme="minorHAnsi"/>
          <w:b/>
          <w:lang w:val="hu-HU"/>
        </w:rPr>
        <w:t>2</w:t>
      </w:r>
    </w:p>
    <w:p w:rsidR="002B32C3" w:rsidRPr="00466073" w:rsidRDefault="002B32C3" w:rsidP="00A12B30">
      <w:pPr>
        <w:widowControl w:val="0"/>
        <w:autoSpaceDE w:val="0"/>
        <w:autoSpaceDN w:val="0"/>
        <w:adjustRightInd w:val="0"/>
        <w:spacing w:line="339" w:lineRule="exact"/>
        <w:jc w:val="center"/>
        <w:rPr>
          <w:rFonts w:asciiTheme="minorHAnsi" w:hAnsiTheme="minorHAnsi" w:cstheme="minorHAnsi"/>
          <w:b/>
          <w:lang w:val="el-GR"/>
        </w:rPr>
      </w:pPr>
    </w:p>
    <w:tbl>
      <w:tblPr>
        <w:tblW w:w="9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2"/>
        <w:gridCol w:w="1027"/>
        <w:gridCol w:w="1128"/>
        <w:gridCol w:w="1128"/>
        <w:gridCol w:w="1128"/>
        <w:gridCol w:w="1128"/>
        <w:gridCol w:w="1128"/>
        <w:gridCol w:w="1140"/>
      </w:tblGrid>
      <w:tr w:rsidR="00A12B30" w:rsidRPr="00466073" w:rsidTr="006929C5">
        <w:tc>
          <w:tcPr>
            <w:tcW w:w="1673" w:type="dxa"/>
            <w:tcBorders>
              <w:top w:val="double" w:sz="4" w:space="0" w:color="auto"/>
              <w:left w:val="double" w:sz="4" w:space="0" w:color="auto"/>
              <w:bottom w:val="double" w:sz="4" w:space="0" w:color="auto"/>
              <w:right w:val="double" w:sz="4" w:space="0" w:color="auto"/>
            </w:tcBorders>
          </w:tcPr>
          <w:p w:rsidR="00A12B30" w:rsidRPr="00466073" w:rsidRDefault="00A12B30" w:rsidP="006929C5">
            <w:pPr>
              <w:autoSpaceDE w:val="0"/>
              <w:autoSpaceDN w:val="0"/>
              <w:adjustRightInd w:val="0"/>
              <w:jc w:val="center"/>
              <w:rPr>
                <w:rFonts w:asciiTheme="minorHAnsi" w:hAnsiTheme="minorHAnsi" w:cstheme="minorHAnsi"/>
                <w:b/>
                <w:color w:val="000000"/>
              </w:rPr>
            </w:pPr>
            <w:proofErr w:type="spellStart"/>
            <w:r w:rsidRPr="00466073">
              <w:rPr>
                <w:rFonts w:asciiTheme="minorHAnsi" w:hAnsiTheme="minorHAnsi" w:cstheme="minorHAnsi"/>
                <w:b/>
                <w:color w:val="000000"/>
              </w:rPr>
              <w:t>σε</w:t>
            </w:r>
            <w:proofErr w:type="spellEnd"/>
            <w:r w:rsidRPr="00466073">
              <w:rPr>
                <w:rFonts w:asciiTheme="minorHAnsi" w:hAnsiTheme="minorHAnsi" w:cstheme="minorHAnsi"/>
                <w:b/>
                <w:color w:val="000000"/>
              </w:rPr>
              <w:t xml:space="preserve"> €</w:t>
            </w:r>
          </w:p>
        </w:tc>
        <w:tc>
          <w:tcPr>
            <w:tcW w:w="1016" w:type="dxa"/>
            <w:tcBorders>
              <w:top w:val="double" w:sz="4" w:space="0" w:color="auto"/>
              <w:bottom w:val="double" w:sz="4" w:space="0" w:color="auto"/>
            </w:tcBorders>
            <w:shd w:val="clear" w:color="auto" w:fill="D9D9D9"/>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r w:rsidRPr="00466073">
              <w:rPr>
                <w:rFonts w:asciiTheme="minorHAnsi" w:eastAsia="Arial Unicode MS" w:hAnsiTheme="minorHAnsi" w:cstheme="minorHAnsi"/>
                <w:b/>
                <w:bCs/>
              </w:rPr>
              <w:t>2016</w:t>
            </w:r>
          </w:p>
        </w:tc>
        <w:tc>
          <w:tcPr>
            <w:tcW w:w="1116" w:type="dxa"/>
            <w:tcBorders>
              <w:top w:val="double" w:sz="4" w:space="0" w:color="auto"/>
              <w:bottom w:val="double" w:sz="4" w:space="0" w:color="auto"/>
            </w:tcBorders>
            <w:shd w:val="clear" w:color="auto" w:fill="D9D9D9"/>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r w:rsidRPr="00466073">
              <w:rPr>
                <w:rFonts w:asciiTheme="minorHAnsi" w:eastAsia="Arial Unicode MS" w:hAnsiTheme="minorHAnsi" w:cstheme="minorHAnsi"/>
                <w:b/>
                <w:bCs/>
              </w:rPr>
              <w:t>2017</w:t>
            </w:r>
          </w:p>
        </w:tc>
        <w:tc>
          <w:tcPr>
            <w:tcW w:w="1116" w:type="dxa"/>
            <w:tcBorders>
              <w:top w:val="double" w:sz="4" w:space="0" w:color="auto"/>
              <w:bottom w:val="double" w:sz="4" w:space="0" w:color="auto"/>
            </w:tcBorders>
            <w:shd w:val="clear" w:color="auto" w:fill="D9D9D9"/>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r w:rsidRPr="00466073">
              <w:rPr>
                <w:rFonts w:asciiTheme="minorHAnsi" w:eastAsia="Arial Unicode MS" w:hAnsiTheme="minorHAnsi" w:cstheme="minorHAnsi"/>
                <w:b/>
                <w:bCs/>
              </w:rPr>
              <w:t>2018</w:t>
            </w:r>
          </w:p>
        </w:tc>
        <w:tc>
          <w:tcPr>
            <w:tcW w:w="1116" w:type="dxa"/>
            <w:tcBorders>
              <w:top w:val="double" w:sz="4" w:space="0" w:color="auto"/>
              <w:bottom w:val="double" w:sz="4" w:space="0" w:color="auto"/>
            </w:tcBorders>
            <w:shd w:val="clear" w:color="auto" w:fill="D9D9D9"/>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r w:rsidRPr="00466073">
              <w:rPr>
                <w:rFonts w:asciiTheme="minorHAnsi" w:eastAsia="Arial Unicode MS" w:hAnsiTheme="minorHAnsi" w:cstheme="minorHAnsi"/>
                <w:b/>
                <w:bCs/>
              </w:rPr>
              <w:t>2019</w:t>
            </w:r>
          </w:p>
        </w:tc>
        <w:tc>
          <w:tcPr>
            <w:tcW w:w="1116" w:type="dxa"/>
            <w:tcBorders>
              <w:top w:val="double" w:sz="4" w:space="0" w:color="auto"/>
              <w:bottom w:val="double" w:sz="4" w:space="0" w:color="auto"/>
            </w:tcBorders>
            <w:shd w:val="clear" w:color="auto" w:fill="D9D9D9"/>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r w:rsidRPr="00466073">
              <w:rPr>
                <w:rFonts w:asciiTheme="minorHAnsi" w:eastAsia="Arial Unicode MS" w:hAnsiTheme="minorHAnsi" w:cstheme="minorHAnsi"/>
                <w:b/>
                <w:bCs/>
              </w:rPr>
              <w:t>2020</w:t>
            </w:r>
          </w:p>
        </w:tc>
        <w:tc>
          <w:tcPr>
            <w:tcW w:w="1116" w:type="dxa"/>
            <w:tcBorders>
              <w:top w:val="double" w:sz="4" w:space="0" w:color="auto"/>
              <w:bottom w:val="double" w:sz="4" w:space="0" w:color="auto"/>
            </w:tcBorders>
            <w:shd w:val="clear" w:color="auto" w:fill="D9D9D9"/>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r w:rsidRPr="00466073">
              <w:rPr>
                <w:rFonts w:asciiTheme="minorHAnsi" w:eastAsia="Arial Unicode MS" w:hAnsiTheme="minorHAnsi" w:cstheme="minorHAnsi"/>
                <w:b/>
                <w:bCs/>
              </w:rPr>
              <w:t>2021</w:t>
            </w:r>
          </w:p>
        </w:tc>
        <w:tc>
          <w:tcPr>
            <w:tcW w:w="1220" w:type="dxa"/>
            <w:tcBorders>
              <w:top w:val="double" w:sz="4" w:space="0" w:color="auto"/>
              <w:bottom w:val="double" w:sz="4" w:space="0" w:color="auto"/>
            </w:tcBorders>
            <w:shd w:val="clear" w:color="auto" w:fill="D9D9D9"/>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r w:rsidRPr="00466073">
              <w:rPr>
                <w:rFonts w:asciiTheme="minorHAnsi" w:eastAsia="Arial Unicode MS" w:hAnsiTheme="minorHAnsi" w:cstheme="minorHAnsi"/>
                <w:b/>
                <w:bCs/>
              </w:rPr>
              <w:t>2022</w:t>
            </w:r>
          </w:p>
        </w:tc>
      </w:tr>
      <w:tr w:rsidR="00A12B30" w:rsidRPr="00466073" w:rsidTr="006929C5">
        <w:tc>
          <w:tcPr>
            <w:tcW w:w="1673" w:type="dxa"/>
            <w:tcBorders>
              <w:top w:val="double" w:sz="4" w:space="0" w:color="auto"/>
              <w:left w:val="double" w:sz="4" w:space="0" w:color="auto"/>
              <w:bottom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r w:rsidRPr="00466073">
              <w:rPr>
                <w:rFonts w:asciiTheme="minorHAnsi" w:eastAsia="Arial Unicode MS" w:hAnsiTheme="minorHAnsi" w:cstheme="minorHAnsi"/>
                <w:b/>
                <w:bCs/>
              </w:rPr>
              <w:t>ΣΥΝΟΛΟ</w:t>
            </w:r>
          </w:p>
        </w:tc>
        <w:tc>
          <w:tcPr>
            <w:tcW w:w="1016" w:type="dxa"/>
            <w:tcBorders>
              <w:top w:val="double" w:sz="4" w:space="0" w:color="auto"/>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9.951.722</w:t>
            </w:r>
          </w:p>
        </w:tc>
        <w:tc>
          <w:tcPr>
            <w:tcW w:w="1116" w:type="dxa"/>
            <w:tcBorders>
              <w:top w:val="double" w:sz="4" w:space="0" w:color="auto"/>
              <w:bottom w:val="double" w:sz="4" w:space="0" w:color="auto"/>
            </w:tcBorders>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12.312.843</w:t>
            </w:r>
          </w:p>
        </w:tc>
        <w:tc>
          <w:tcPr>
            <w:tcW w:w="1116" w:type="dxa"/>
            <w:tcBorders>
              <w:top w:val="double" w:sz="4" w:space="0" w:color="auto"/>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12.724.472</w:t>
            </w:r>
          </w:p>
        </w:tc>
        <w:tc>
          <w:tcPr>
            <w:tcW w:w="1116" w:type="dxa"/>
            <w:tcBorders>
              <w:top w:val="double" w:sz="4" w:space="0" w:color="auto"/>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11.508.975</w:t>
            </w:r>
          </w:p>
        </w:tc>
        <w:tc>
          <w:tcPr>
            <w:tcW w:w="1116" w:type="dxa"/>
            <w:tcBorders>
              <w:top w:val="double" w:sz="4" w:space="0" w:color="auto"/>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11.371.001</w:t>
            </w:r>
          </w:p>
        </w:tc>
        <w:tc>
          <w:tcPr>
            <w:tcW w:w="1116" w:type="dxa"/>
            <w:tcBorders>
              <w:top w:val="double" w:sz="4" w:space="0" w:color="auto"/>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12.053.447</w:t>
            </w:r>
          </w:p>
        </w:tc>
        <w:tc>
          <w:tcPr>
            <w:tcW w:w="1220" w:type="dxa"/>
            <w:tcBorders>
              <w:top w:val="double" w:sz="4" w:space="0" w:color="auto"/>
              <w:bottom w:val="double" w:sz="4" w:space="0" w:color="auto"/>
            </w:tcBorders>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14.541.369</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Ιταλία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3.161.707</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2.960.266</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3.710.839</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4.776.243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5.373.235</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5.539.804</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6.086.053</w:t>
            </w:r>
          </w:p>
        </w:tc>
      </w:tr>
      <w:tr w:rsidR="00A12B30" w:rsidRPr="00466073" w:rsidTr="006929C5">
        <w:tc>
          <w:tcPr>
            <w:tcW w:w="1673" w:type="dxa"/>
            <w:tcBorders>
              <w:top w:val="double" w:sz="4" w:space="0" w:color="auto"/>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Ισπανία</w:t>
            </w:r>
            <w:proofErr w:type="spellEnd"/>
          </w:p>
        </w:tc>
        <w:tc>
          <w:tcPr>
            <w:tcW w:w="1016" w:type="dxa"/>
            <w:tcBorders>
              <w:top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2.954.208</w:t>
            </w:r>
          </w:p>
        </w:tc>
        <w:tc>
          <w:tcPr>
            <w:tcW w:w="1116" w:type="dxa"/>
            <w:tcBorders>
              <w:top w:val="double" w:sz="4" w:space="0" w:color="auto"/>
            </w:tcBorders>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3.648.858</w:t>
            </w:r>
          </w:p>
        </w:tc>
        <w:tc>
          <w:tcPr>
            <w:tcW w:w="1116" w:type="dxa"/>
            <w:tcBorders>
              <w:top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3.757.020</w:t>
            </w:r>
          </w:p>
        </w:tc>
        <w:tc>
          <w:tcPr>
            <w:tcW w:w="1116" w:type="dxa"/>
            <w:tcBorders>
              <w:top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3.350.497</w:t>
            </w:r>
          </w:p>
        </w:tc>
        <w:tc>
          <w:tcPr>
            <w:tcW w:w="1116" w:type="dxa"/>
            <w:tcBorders>
              <w:top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2.443.259</w:t>
            </w:r>
          </w:p>
        </w:tc>
        <w:tc>
          <w:tcPr>
            <w:tcW w:w="1116" w:type="dxa"/>
            <w:tcBorders>
              <w:top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2.777.263</w:t>
            </w:r>
          </w:p>
        </w:tc>
        <w:tc>
          <w:tcPr>
            <w:tcW w:w="1220" w:type="dxa"/>
            <w:tcBorders>
              <w:top w:val="double" w:sz="4" w:space="0" w:color="auto"/>
            </w:tcBorders>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4.493.135</w:t>
            </w:r>
          </w:p>
        </w:tc>
      </w:tr>
      <w:tr w:rsidR="00A12B30" w:rsidRPr="00466073" w:rsidTr="006929C5">
        <w:tc>
          <w:tcPr>
            <w:tcW w:w="1673" w:type="dxa"/>
            <w:tcBorders>
              <w:left w:val="double" w:sz="4" w:space="0" w:color="auto"/>
              <w:right w:val="double" w:sz="4" w:space="0" w:color="auto"/>
            </w:tcBorders>
            <w:shd w:val="clear" w:color="auto" w:fill="FFFFFF"/>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
                <w:bCs/>
              </w:rPr>
            </w:pPr>
            <w:proofErr w:type="spellStart"/>
            <w:r w:rsidRPr="00466073">
              <w:rPr>
                <w:rFonts w:asciiTheme="minorHAnsi" w:eastAsia="Arial Unicode MS" w:hAnsiTheme="minorHAnsi" w:cstheme="minorHAnsi"/>
                <w:b/>
                <w:bCs/>
              </w:rPr>
              <w:t>Ελλάδα</w:t>
            </w:r>
            <w:proofErr w:type="spellEnd"/>
          </w:p>
        </w:tc>
        <w:tc>
          <w:tcPr>
            <w:tcW w:w="10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b/>
                <w:sz w:val="20"/>
                <w:szCs w:val="20"/>
              </w:rPr>
            </w:pPr>
            <w:r w:rsidRPr="0095699B">
              <w:rPr>
                <w:rFonts w:asciiTheme="minorHAnsi" w:hAnsiTheme="minorHAnsi" w:cstheme="minorHAnsi"/>
                <w:b/>
                <w:sz w:val="20"/>
                <w:szCs w:val="20"/>
              </w:rPr>
              <w:t>171.144</w:t>
            </w:r>
          </w:p>
        </w:tc>
        <w:tc>
          <w:tcPr>
            <w:tcW w:w="1116" w:type="dxa"/>
            <w:shd w:val="clear" w:color="auto" w:fill="FFFFFF"/>
          </w:tcPr>
          <w:p w:rsidR="00A12B30" w:rsidRPr="0095699B" w:rsidRDefault="00A12B30" w:rsidP="006929C5">
            <w:pPr>
              <w:autoSpaceDE w:val="0"/>
              <w:autoSpaceDN w:val="0"/>
              <w:adjustRightInd w:val="0"/>
              <w:jc w:val="right"/>
              <w:rPr>
                <w:rFonts w:asciiTheme="minorHAnsi" w:hAnsiTheme="minorHAnsi" w:cstheme="minorHAnsi"/>
                <w:b/>
                <w:sz w:val="20"/>
                <w:szCs w:val="20"/>
              </w:rPr>
            </w:pPr>
            <w:r w:rsidRPr="0095699B">
              <w:rPr>
                <w:rFonts w:asciiTheme="minorHAnsi" w:hAnsiTheme="minorHAnsi" w:cstheme="minorHAnsi"/>
                <w:b/>
                <w:sz w:val="20"/>
                <w:szCs w:val="20"/>
              </w:rPr>
              <w:t>175.350</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b/>
                <w:sz w:val="20"/>
                <w:szCs w:val="20"/>
              </w:rPr>
            </w:pPr>
            <w:r w:rsidRPr="0095699B">
              <w:rPr>
                <w:rFonts w:asciiTheme="minorHAnsi" w:hAnsiTheme="minorHAnsi" w:cstheme="minorHAnsi"/>
                <w:b/>
                <w:sz w:val="20"/>
                <w:szCs w:val="20"/>
              </w:rPr>
              <w:t>266.839</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b/>
                <w:sz w:val="20"/>
                <w:szCs w:val="20"/>
              </w:rPr>
            </w:pPr>
            <w:r w:rsidRPr="0095699B">
              <w:rPr>
                <w:rFonts w:asciiTheme="minorHAnsi" w:hAnsiTheme="minorHAnsi" w:cstheme="minorHAnsi"/>
                <w:b/>
                <w:sz w:val="20"/>
                <w:szCs w:val="20"/>
              </w:rPr>
              <w:t>200.206</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b/>
                <w:sz w:val="20"/>
                <w:szCs w:val="20"/>
              </w:rPr>
            </w:pPr>
            <w:r w:rsidRPr="0095699B">
              <w:rPr>
                <w:rFonts w:asciiTheme="minorHAnsi" w:hAnsiTheme="minorHAnsi" w:cstheme="minorHAnsi"/>
                <w:b/>
                <w:sz w:val="20"/>
                <w:szCs w:val="20"/>
              </w:rPr>
              <w:t>238.830</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b/>
                <w:sz w:val="20"/>
                <w:szCs w:val="20"/>
              </w:rPr>
            </w:pPr>
            <w:r w:rsidRPr="0095699B">
              <w:rPr>
                <w:rFonts w:asciiTheme="minorHAnsi" w:hAnsiTheme="minorHAnsi" w:cstheme="minorHAnsi"/>
                <w:b/>
                <w:sz w:val="20"/>
                <w:szCs w:val="20"/>
              </w:rPr>
              <w:t>506.262</w:t>
            </w:r>
          </w:p>
        </w:tc>
        <w:tc>
          <w:tcPr>
            <w:tcW w:w="1220" w:type="dxa"/>
            <w:shd w:val="clear" w:color="auto" w:fill="FFFFFF"/>
            <w:vAlign w:val="bottom"/>
          </w:tcPr>
          <w:p w:rsidR="00A12B30" w:rsidRPr="0095699B" w:rsidRDefault="00A12B30" w:rsidP="006929C5">
            <w:pPr>
              <w:jc w:val="right"/>
              <w:rPr>
                <w:rFonts w:asciiTheme="minorHAnsi" w:hAnsiTheme="minorHAnsi" w:cstheme="minorHAnsi"/>
                <w:b/>
                <w:color w:val="000000"/>
                <w:sz w:val="20"/>
                <w:szCs w:val="20"/>
                <w:lang w:val="hu-HU"/>
              </w:rPr>
            </w:pPr>
            <w:r w:rsidRPr="0095699B">
              <w:rPr>
                <w:rFonts w:asciiTheme="minorHAnsi" w:hAnsiTheme="minorHAnsi" w:cstheme="minorHAnsi"/>
                <w:b/>
                <w:color w:val="000000"/>
                <w:sz w:val="20"/>
                <w:szCs w:val="20"/>
              </w:rPr>
              <w:t>970.620</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Γερμανία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1.407.864</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2.132.973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2.158.662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1.468.809</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1.724.337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1.055.660</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882.493</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Αυστρία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358.971</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353.032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254.528</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58.567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77.066</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787.489</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798.864</w:t>
            </w:r>
          </w:p>
        </w:tc>
      </w:tr>
      <w:tr w:rsidR="00A12B30" w:rsidRPr="00466073" w:rsidTr="006929C5">
        <w:tc>
          <w:tcPr>
            <w:tcW w:w="1673" w:type="dxa"/>
            <w:tcBorders>
              <w:left w:val="double" w:sz="4" w:space="0" w:color="auto"/>
              <w:right w:val="double" w:sz="4" w:space="0" w:color="auto"/>
            </w:tcBorders>
            <w:shd w:val="clear" w:color="auto" w:fill="FFFFFF"/>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Σλοβακία</w:t>
            </w:r>
            <w:proofErr w:type="spellEnd"/>
          </w:p>
        </w:tc>
        <w:tc>
          <w:tcPr>
            <w:tcW w:w="10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130.764</w:t>
            </w:r>
          </w:p>
        </w:tc>
        <w:tc>
          <w:tcPr>
            <w:tcW w:w="1116" w:type="dxa"/>
            <w:shd w:val="clear" w:color="auto" w:fill="FFFFFF"/>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416.978</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262.574</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88.504</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589.714</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737.923</w:t>
            </w:r>
          </w:p>
        </w:tc>
        <w:tc>
          <w:tcPr>
            <w:tcW w:w="1220" w:type="dxa"/>
            <w:shd w:val="clear" w:color="auto" w:fill="FFFFFF"/>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720.060</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Ολλανδία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287.356</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371.084</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334.961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209.811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256.254</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215.506</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224.340</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Γαλλία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30.481</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159.749</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86.181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1.573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11.391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20.805</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177.367</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Πορτογαλία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325.940</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373.669</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460.947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380.593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253.739</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218.538</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74.868</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Βέλγιο</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514.671</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736.683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374.061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63.033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1.437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57.489</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41.785</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Σλοβενία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20.625</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57.642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45.822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20.557</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Τσεχία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72.734</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208.992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284.511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128.806</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19.726</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25.481</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19.856</w:t>
            </w:r>
          </w:p>
        </w:tc>
      </w:tr>
      <w:tr w:rsidR="00A12B30" w:rsidRPr="00466073" w:rsidTr="006929C5">
        <w:tc>
          <w:tcPr>
            <w:tcW w:w="1673" w:type="dxa"/>
            <w:tcBorders>
              <w:left w:val="double" w:sz="4" w:space="0" w:color="auto"/>
              <w:right w:val="double" w:sz="4" w:space="0" w:color="auto"/>
            </w:tcBorders>
            <w:shd w:val="clear" w:color="auto" w:fill="FFFFFF"/>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Ην</w:t>
            </w:r>
            <w:proofErr w:type="spellEnd"/>
            <w:r w:rsidRPr="00466073">
              <w:rPr>
                <w:rFonts w:asciiTheme="minorHAnsi" w:eastAsia="Arial Unicode MS" w:hAnsiTheme="minorHAnsi" w:cstheme="minorHAnsi"/>
                <w:bCs/>
              </w:rPr>
              <w:t xml:space="preserve">. </w:t>
            </w:r>
            <w:proofErr w:type="spellStart"/>
            <w:r w:rsidRPr="00466073">
              <w:rPr>
                <w:rFonts w:asciiTheme="minorHAnsi" w:eastAsia="Arial Unicode MS" w:hAnsiTheme="minorHAnsi" w:cstheme="minorHAnsi"/>
                <w:bCs/>
              </w:rPr>
              <w:t>Βασίλειο</w:t>
            </w:r>
            <w:proofErr w:type="spellEnd"/>
          </w:p>
        </w:tc>
        <w:tc>
          <w:tcPr>
            <w:tcW w:w="10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284.914</w:t>
            </w:r>
          </w:p>
        </w:tc>
        <w:tc>
          <w:tcPr>
            <w:tcW w:w="1116" w:type="dxa"/>
            <w:shd w:val="clear" w:color="auto" w:fill="FFFFFF"/>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246.077</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352.837</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393.698</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329.470</w:t>
            </w:r>
          </w:p>
        </w:tc>
        <w:tc>
          <w:tcPr>
            <w:tcW w:w="1116" w:type="dxa"/>
            <w:shd w:val="clear" w:color="auto" w:fill="FFFFFF"/>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8.852</w:t>
            </w:r>
          </w:p>
        </w:tc>
        <w:tc>
          <w:tcPr>
            <w:tcW w:w="1220" w:type="dxa"/>
            <w:shd w:val="clear" w:color="auto" w:fill="FFFFFF"/>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10.350</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Ρουμανία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48.475</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134.980</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96.327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373.567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2.181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9.062</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Πολωνία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73.420</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208.597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174.691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1.181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337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1.704</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6.823</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Συρία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19</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5.071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14.813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1.263</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2.286</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r w:rsidRPr="00466073">
              <w:rPr>
                <w:rFonts w:asciiTheme="minorHAnsi" w:eastAsia="Arial Unicode MS" w:hAnsiTheme="minorHAnsi" w:cstheme="minorHAnsi"/>
                <w:bCs/>
              </w:rPr>
              <w:t>ΗΑΕ</w:t>
            </w:r>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1.450</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jc w:val="right"/>
              <w:rPr>
                <w:rFonts w:asciiTheme="minorHAnsi" w:hAnsiTheme="minorHAnsi" w:cstheme="minorHAnsi"/>
                <w:color w:val="000000"/>
                <w:sz w:val="20"/>
                <w:szCs w:val="20"/>
                <w:lang w:val="hu-HU"/>
              </w:rPr>
            </w:pPr>
            <w:r w:rsidRPr="0095699B">
              <w:rPr>
                <w:rFonts w:asciiTheme="minorHAnsi" w:hAnsiTheme="minorHAnsi" w:cstheme="minorHAnsi"/>
                <w:color w:val="000000"/>
                <w:sz w:val="20"/>
                <w:szCs w:val="20"/>
              </w:rPr>
              <w:t>1.832</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Κροατία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10.195</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29.547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29.734</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8.203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lang w:val="hu-HU"/>
              </w:rPr>
            </w:pPr>
            <w:r w:rsidRPr="0095699B">
              <w:rPr>
                <w:rFonts w:asciiTheme="minorHAnsi" w:hAnsiTheme="minorHAnsi" w:cstheme="minorHAnsi"/>
                <w:sz w:val="20"/>
                <w:szCs w:val="20"/>
                <w:lang w:val="hu-HU"/>
              </w:rPr>
              <w:t>750</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Ιορδανία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35</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577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lang w:val="hu-HU"/>
              </w:rPr>
            </w:pPr>
            <w:r w:rsidRPr="0095699B">
              <w:rPr>
                <w:rFonts w:asciiTheme="minorHAnsi" w:hAnsiTheme="minorHAnsi" w:cstheme="minorHAnsi"/>
                <w:sz w:val="20"/>
                <w:szCs w:val="20"/>
                <w:lang w:val="hu-HU"/>
              </w:rPr>
              <w:t>112</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r w:rsidRPr="00466073">
              <w:rPr>
                <w:rFonts w:asciiTheme="minorHAnsi" w:eastAsia="Arial Unicode MS" w:hAnsiTheme="minorHAnsi" w:cstheme="minorHAnsi"/>
                <w:bCs/>
              </w:rPr>
              <w:t>ΗΠΑ</w:t>
            </w:r>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676</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939</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96</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174</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211</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lang w:val="hu-HU"/>
              </w:rPr>
            </w:pPr>
            <w:r w:rsidRPr="0095699B">
              <w:rPr>
                <w:rFonts w:asciiTheme="minorHAnsi" w:hAnsiTheme="minorHAnsi" w:cstheme="minorHAnsi"/>
                <w:sz w:val="20"/>
                <w:szCs w:val="20"/>
                <w:lang w:val="hu-HU"/>
              </w:rPr>
              <w:t>57</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Τυνησία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 </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68</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9</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lang w:val="hu-HU"/>
              </w:rPr>
            </w:pPr>
            <w:r w:rsidRPr="0095699B">
              <w:rPr>
                <w:rFonts w:asciiTheme="minorHAnsi" w:hAnsiTheme="minorHAnsi" w:cstheme="minorHAnsi"/>
                <w:sz w:val="20"/>
                <w:szCs w:val="20"/>
                <w:lang w:val="hu-HU"/>
              </w:rPr>
              <w:t>37</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lang w:val="hu-HU"/>
              </w:rPr>
              <w:t>Ελβετ</w:t>
            </w:r>
            <w:r w:rsidRPr="00466073">
              <w:rPr>
                <w:rFonts w:asciiTheme="minorHAnsi" w:eastAsia="Arial Unicode MS" w:hAnsiTheme="minorHAnsi" w:cstheme="minorHAnsi"/>
                <w:bCs/>
              </w:rPr>
              <w:t>ία</w:t>
            </w:r>
            <w:proofErr w:type="spellEnd"/>
            <w:r w:rsidRPr="00466073">
              <w:rPr>
                <w:rFonts w:asciiTheme="minorHAnsi" w:eastAsia="Arial Unicode MS" w:hAnsiTheme="minorHAnsi" w:cstheme="minorHAnsi"/>
                <w:bCs/>
              </w:rPr>
              <w:t xml:space="preserve"> </w:t>
            </w:r>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 </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 </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jc w:val="right"/>
              <w:rPr>
                <w:rFonts w:asciiTheme="minorHAnsi" w:hAnsiTheme="minorHAnsi" w:cstheme="minorHAnsi"/>
                <w:color w:val="000000"/>
                <w:sz w:val="20"/>
                <w:szCs w:val="20"/>
              </w:rPr>
            </w:pPr>
            <w:r w:rsidRPr="0095699B">
              <w:rPr>
                <w:rFonts w:asciiTheme="minorHAnsi" w:hAnsiTheme="minorHAnsi" w:cstheme="minorHAnsi"/>
                <w:color w:val="000000"/>
                <w:sz w:val="20"/>
                <w:szCs w:val="20"/>
              </w:rPr>
              <w:t>33</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Ισραήλ</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859</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1.286</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374</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149</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11</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Μαρόκο</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3.182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16.211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Τουρκία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 </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3.302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3.085</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15.114</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Ιρλανδία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1.253</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7.237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3.885</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82.532</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Λίβανος</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3.161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bottom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Αλγερία</w:t>
            </w:r>
            <w:proofErr w:type="spellEnd"/>
          </w:p>
        </w:tc>
        <w:tc>
          <w:tcPr>
            <w:tcW w:w="1016" w:type="dxa"/>
            <w:tcBorders>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Borders>
              <w:bottom w:val="double" w:sz="4" w:space="0" w:color="auto"/>
            </w:tcBorders>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Borders>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Borders>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Borders>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3.138</w:t>
            </w:r>
          </w:p>
        </w:tc>
        <w:tc>
          <w:tcPr>
            <w:tcW w:w="1116" w:type="dxa"/>
            <w:tcBorders>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tcBorders>
              <w:bottom w:val="doub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bottom w:val="sing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Κίνα</w:t>
            </w:r>
            <w:proofErr w:type="spellEnd"/>
          </w:p>
        </w:tc>
        <w:tc>
          <w:tcPr>
            <w:tcW w:w="1016" w:type="dxa"/>
            <w:tcBorders>
              <w:bottom w:val="sing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Borders>
              <w:bottom w:val="single" w:sz="4" w:space="0" w:color="auto"/>
            </w:tcBorders>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209</w:t>
            </w:r>
          </w:p>
        </w:tc>
        <w:tc>
          <w:tcPr>
            <w:tcW w:w="1116" w:type="dxa"/>
            <w:tcBorders>
              <w:bottom w:val="sing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Borders>
              <w:bottom w:val="sing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Borders>
              <w:bottom w:val="sing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16</w:t>
            </w:r>
          </w:p>
        </w:tc>
        <w:tc>
          <w:tcPr>
            <w:tcW w:w="1116" w:type="dxa"/>
            <w:tcBorders>
              <w:bottom w:val="sing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tcBorders>
              <w:bottom w:val="single" w:sz="4" w:space="0" w:color="auto"/>
            </w:tcBorders>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Καναδάς</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 </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421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Σουηδία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10.974</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25.721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19.430</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Δανία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6.920</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21.401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14.403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Βουλγαρία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6.346</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17.187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14.923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Λιθουανία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1.092</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7.452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4.321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Φινλανδία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2.143</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7.194</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4.943</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Λετονία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382</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5.610</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808</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Εσθονία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1.416</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605</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Κύπρος</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 </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1.327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311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Λουξεμβούργο</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978</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517</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r w:rsidR="00A12B30" w:rsidRPr="00466073" w:rsidTr="006929C5">
        <w:tc>
          <w:tcPr>
            <w:tcW w:w="1673" w:type="dxa"/>
            <w:tcBorders>
              <w:left w:val="double" w:sz="4" w:space="0" w:color="auto"/>
              <w:right w:val="double" w:sz="4" w:space="0" w:color="auto"/>
            </w:tcBorders>
            <w:vAlign w:val="center"/>
          </w:tcPr>
          <w:p w:rsidR="00A12B30" w:rsidRPr="00466073" w:rsidRDefault="00A12B30" w:rsidP="006929C5">
            <w:pPr>
              <w:autoSpaceDE w:val="0"/>
              <w:autoSpaceDN w:val="0"/>
              <w:adjustRightInd w:val="0"/>
              <w:jc w:val="center"/>
              <w:rPr>
                <w:rFonts w:asciiTheme="minorHAnsi" w:eastAsia="Arial Unicode MS" w:hAnsiTheme="minorHAnsi" w:cstheme="minorHAnsi"/>
                <w:bCs/>
              </w:rPr>
            </w:pPr>
            <w:proofErr w:type="spellStart"/>
            <w:r w:rsidRPr="00466073">
              <w:rPr>
                <w:rFonts w:asciiTheme="minorHAnsi" w:eastAsia="Arial Unicode MS" w:hAnsiTheme="minorHAnsi" w:cstheme="minorHAnsi"/>
                <w:bCs/>
              </w:rPr>
              <w:t>Μάλτα</w:t>
            </w:r>
            <w:proofErr w:type="spellEnd"/>
          </w:p>
        </w:tc>
        <w:tc>
          <w:tcPr>
            <w:tcW w:w="10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341</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212</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116"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c>
          <w:tcPr>
            <w:tcW w:w="1220" w:type="dxa"/>
            <w:vAlign w:val="bottom"/>
          </w:tcPr>
          <w:p w:rsidR="00A12B30" w:rsidRPr="0095699B" w:rsidRDefault="00A12B30" w:rsidP="006929C5">
            <w:pPr>
              <w:autoSpaceDE w:val="0"/>
              <w:autoSpaceDN w:val="0"/>
              <w:adjustRightInd w:val="0"/>
              <w:jc w:val="right"/>
              <w:rPr>
                <w:rFonts w:asciiTheme="minorHAnsi" w:hAnsiTheme="minorHAnsi" w:cstheme="minorHAnsi"/>
                <w:sz w:val="20"/>
                <w:szCs w:val="20"/>
              </w:rPr>
            </w:pPr>
            <w:r w:rsidRPr="0095699B">
              <w:rPr>
                <w:rFonts w:asciiTheme="minorHAnsi" w:hAnsiTheme="minorHAnsi" w:cstheme="minorHAnsi"/>
                <w:sz w:val="20"/>
                <w:szCs w:val="20"/>
              </w:rPr>
              <w:t>-</w:t>
            </w:r>
          </w:p>
        </w:tc>
      </w:tr>
    </w:tbl>
    <w:p w:rsidR="00A12B30" w:rsidRPr="00466073" w:rsidRDefault="00A12B30" w:rsidP="00A12B30">
      <w:pPr>
        <w:ind w:firstLine="720"/>
        <w:rPr>
          <w:rFonts w:asciiTheme="minorHAnsi" w:hAnsiTheme="minorHAnsi" w:cstheme="minorHAnsi"/>
          <w:lang w:val="el-GR"/>
        </w:rPr>
      </w:pPr>
      <w:r w:rsidRPr="00466073">
        <w:rPr>
          <w:rFonts w:asciiTheme="minorHAnsi" w:hAnsiTheme="minorHAnsi" w:cstheme="minorHAnsi"/>
          <w:u w:val="single"/>
          <w:lang w:val="el-GR"/>
        </w:rPr>
        <w:lastRenderedPageBreak/>
        <w:t>Πηγή</w:t>
      </w:r>
      <w:r w:rsidRPr="00466073">
        <w:rPr>
          <w:rFonts w:asciiTheme="minorHAnsi" w:hAnsiTheme="minorHAnsi" w:cstheme="minorHAnsi"/>
          <w:lang w:val="el-GR"/>
        </w:rPr>
        <w:t>: Εθνική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A12B30" w:rsidRPr="00466073" w:rsidRDefault="00A12B30" w:rsidP="002C700B">
      <w:pPr>
        <w:ind w:firstLine="720"/>
        <w:rPr>
          <w:rFonts w:asciiTheme="minorHAnsi" w:hAnsiTheme="minorHAnsi" w:cstheme="minorHAnsi"/>
          <w:lang w:val="el-GR"/>
        </w:rPr>
      </w:pPr>
    </w:p>
    <w:p w:rsidR="007769CE" w:rsidRPr="00466073" w:rsidRDefault="007769CE" w:rsidP="00191659">
      <w:pPr>
        <w:jc w:val="both"/>
        <w:rPr>
          <w:rFonts w:asciiTheme="minorHAnsi" w:hAnsiTheme="minorHAnsi" w:cstheme="minorHAnsi"/>
          <w:lang w:val="el-GR"/>
        </w:rPr>
      </w:pPr>
    </w:p>
    <w:p w:rsidR="006B6BDE" w:rsidRPr="00466073" w:rsidRDefault="006B6BDE" w:rsidP="006B6BDE">
      <w:pPr>
        <w:jc w:val="both"/>
        <w:outlineLvl w:val="0"/>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Οι εξαγωγές ελληνικού ελαιολάδου στην Ουγγαρία, εμφανίζονται να έχουν ανοδική πορεία τα τελευταία έτη, αν και όπως παρατηρούμε στον παραπάνω πίνακα, η χώρα μας υπολείπεται στην κατάταξη προμηθευτών ελαιολάδου της Ουγγαρίας και βρίσκεται πίσω από χώρες των οποίων η παραγωγή ελαιολάδου είναι ελάχιστη σε σχέση με την ελληνική. Το 2022, η Ιταλία καλύπτει το 41,8% των εισαγωγών ελαιολάδου Σ.Ο.1509 της Ουγγαρίας, η Ισπανία το 30,9%, η Ελλάδα μόλις το 6,6%, και η Γερμανία το 6,6%. Σε κάθε περίπτωση ωστόσο, οι δυναμική των ελληνικών εξαγωγών του προϊόντος είναι σημαντική,  αφού το 2021 και το 2022,  οι ελληνικές εξαγωγές σχεδόν διπλασιάστηκαν σε σχέση με τα προηγούμενα έτη (2021 : αύξηση 112%, 2022 : αύξηση 91,7%,).</w:t>
      </w:r>
    </w:p>
    <w:p w:rsidR="006B6BDE" w:rsidRPr="00466073" w:rsidRDefault="006B6BDE" w:rsidP="006B6BDE">
      <w:pPr>
        <w:jc w:val="both"/>
        <w:rPr>
          <w:rFonts w:asciiTheme="minorHAnsi" w:hAnsiTheme="minorHAnsi" w:cstheme="minorHAnsi"/>
          <w:color w:val="000000" w:themeColor="text1"/>
          <w:lang w:val="el-GR"/>
        </w:rPr>
      </w:pPr>
    </w:p>
    <w:p w:rsidR="006B6BDE" w:rsidRPr="00466073" w:rsidRDefault="006B6BDE" w:rsidP="006B6BDE">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Εντούτοις, επισημαίνεται ότι τα στατιστικά στοιχεία εισαγωγών ελαιολάδου, πολύ πιθανόν να μην αποδίδουν την πραγματική εικόνα, δεδομένου ότι ελληνικό ελαιόλαδο εισάγεται στην Ουγγαρία και από την Γερμανία (π.χ. περίπτωση καταστημάτων LIDL), αλλά και από μεμονωμένους εισαγωγείς που το προμηθεύονται από την γειτονική Αυστρία. Συνεπώς, σε αυτές τις περιπτώσεις, το ελληνικό ελαιόλαδο που διακινείται στην Ουγγαρία «καταγράφεται ως ελληνική εξαγωγή στην Γερμανία ή στην Αυστρία). </w:t>
      </w:r>
    </w:p>
    <w:p w:rsidR="006B6BDE" w:rsidRPr="00466073" w:rsidRDefault="006B6BDE" w:rsidP="006B6BDE">
      <w:pPr>
        <w:jc w:val="both"/>
        <w:rPr>
          <w:rFonts w:asciiTheme="minorHAnsi" w:hAnsiTheme="minorHAnsi" w:cstheme="minorHAnsi"/>
          <w:color w:val="000000" w:themeColor="text1"/>
          <w:lang w:val="el-GR"/>
        </w:rPr>
      </w:pPr>
    </w:p>
    <w:p w:rsidR="006B6BDE" w:rsidRPr="00466073" w:rsidRDefault="006B6BDE" w:rsidP="003A2400">
      <w:pPr>
        <w:pStyle w:val="NormalWeb"/>
        <w:spacing w:before="0" w:beforeAutospacing="0"/>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Είναι αλήθεια ότι το ελαιόλαδο, τα τελευταία χρόνια, έχει αρχίσει να αποτελεί μέρος των γαστρονομικών συνηθειών των Ούγγρων καταναλωτών που το χρησιμοποιούν κυρίως σε νωπή μορφή (π.χ. σε σαλάτες εποχής). Στη μαγειρική δεν χρησιμοποιείται εκτεταμένα, κυρίως εξαιτίας της μαζικής ουγγρικής παραγωγής -και χρήσης- ζωικών λιπών και σπορέλαιων, αλλά και εξαιτίας της μεγάλης διαφοράς στη λιανική τιμή μεταξύ ελαιολάδου και των προαναφερθέντων προϊόντων. Ωστόσο, την τελευταία πενταετία, συναντάμε αυξανόμενο ενδιαφέρον για την χρήση του ελαιολάδου σαν αποτέλεσμα και της στροφής των καταναλωτών προς ένα υγιέστερο τρόπο διατροφής, σε συνδυασμό πάντα και με τη σημειωθείσα αύξηση του εισοδήματος των νοικοκυριών.   </w:t>
      </w:r>
    </w:p>
    <w:p w:rsidR="00305741" w:rsidRPr="00466073" w:rsidRDefault="00305741" w:rsidP="00C32CC3">
      <w:pPr>
        <w:pStyle w:val="NormalWeb"/>
        <w:spacing w:before="0" w:beforeAutospacing="0" w:after="0" w:afterAutospacing="0"/>
        <w:jc w:val="both"/>
        <w:rPr>
          <w:rFonts w:asciiTheme="minorHAnsi" w:hAnsiTheme="minorHAnsi" w:cstheme="minorHAnsi"/>
          <w:b/>
          <w:lang w:val="el-GR"/>
        </w:rPr>
      </w:pPr>
    </w:p>
    <w:p w:rsidR="007D6D8E" w:rsidRPr="00466073" w:rsidRDefault="007D6D8E" w:rsidP="00C32CC3">
      <w:pPr>
        <w:pStyle w:val="NormalWeb"/>
        <w:spacing w:before="0" w:beforeAutospacing="0" w:after="0" w:afterAutospacing="0"/>
        <w:jc w:val="both"/>
        <w:rPr>
          <w:rFonts w:asciiTheme="minorHAnsi" w:hAnsiTheme="minorHAnsi" w:cstheme="minorHAnsi"/>
          <w:b/>
          <w:lang w:val="el-GR"/>
        </w:rPr>
      </w:pPr>
      <w:r w:rsidRPr="00466073">
        <w:rPr>
          <w:rFonts w:asciiTheme="minorHAnsi" w:hAnsiTheme="minorHAnsi" w:cstheme="minorHAnsi"/>
          <w:b/>
          <w:lang w:val="el-GR"/>
        </w:rPr>
        <w:t>ΚΕΦΑΛΑΙΟ 20</w:t>
      </w:r>
    </w:p>
    <w:p w:rsidR="006B6BDE" w:rsidRPr="00466073" w:rsidRDefault="006B6BDE" w:rsidP="00C32CC3">
      <w:pPr>
        <w:jc w:val="both"/>
        <w:rPr>
          <w:rFonts w:asciiTheme="minorHAnsi" w:hAnsiTheme="minorHAnsi" w:cstheme="minorHAnsi"/>
          <w:lang w:val="el-GR"/>
        </w:rPr>
      </w:pPr>
    </w:p>
    <w:p w:rsidR="007D6D8E" w:rsidRPr="00466073" w:rsidRDefault="007D6D8E" w:rsidP="00C32CC3">
      <w:pPr>
        <w:jc w:val="both"/>
        <w:rPr>
          <w:rFonts w:asciiTheme="minorHAnsi" w:hAnsiTheme="minorHAnsi" w:cstheme="minorHAnsi"/>
          <w:lang w:val="el-GR"/>
        </w:rPr>
      </w:pPr>
      <w:r w:rsidRPr="00466073">
        <w:rPr>
          <w:rFonts w:asciiTheme="minorHAnsi" w:hAnsiTheme="minorHAnsi" w:cstheme="minorHAnsi"/>
          <w:lang w:val="el-GR"/>
        </w:rPr>
        <w:t>Η Ελλάδα, εξάγει στην Ουγγαρία προϊόντα</w:t>
      </w:r>
      <w:r w:rsidR="00DD2500" w:rsidRPr="00466073">
        <w:rPr>
          <w:rFonts w:asciiTheme="minorHAnsi" w:hAnsiTheme="minorHAnsi" w:cstheme="minorHAnsi"/>
          <w:lang w:val="el-GR"/>
        </w:rPr>
        <w:t xml:space="preserve"> που καλύπτουν το 2</w:t>
      </w:r>
      <w:r w:rsidR="00A43F5C" w:rsidRPr="00466073">
        <w:rPr>
          <w:rFonts w:asciiTheme="minorHAnsi" w:hAnsiTheme="minorHAnsi" w:cstheme="minorHAnsi"/>
          <w:lang w:val="el-GR"/>
        </w:rPr>
        <w:t>,</w:t>
      </w:r>
      <w:r w:rsidR="006929C5" w:rsidRPr="00466073">
        <w:rPr>
          <w:rFonts w:asciiTheme="minorHAnsi" w:hAnsiTheme="minorHAnsi" w:cstheme="minorHAnsi"/>
          <w:lang w:val="el-GR"/>
        </w:rPr>
        <w:t>68</w:t>
      </w:r>
      <w:r w:rsidRPr="00466073">
        <w:rPr>
          <w:rFonts w:asciiTheme="minorHAnsi" w:hAnsiTheme="minorHAnsi" w:cstheme="minorHAnsi"/>
          <w:lang w:val="el-GR"/>
        </w:rPr>
        <w:t>% των εισαγωγών της Ουγγαρίας στα προϊόντα του Κεφαλαίου 20. Κύριοι ανταγωνιστές μας είναι οι: Γερμανία</w:t>
      </w:r>
      <w:r w:rsidR="00DD2500" w:rsidRPr="00466073">
        <w:rPr>
          <w:rFonts w:asciiTheme="minorHAnsi" w:hAnsiTheme="minorHAnsi" w:cstheme="minorHAnsi"/>
          <w:lang w:val="el-GR"/>
        </w:rPr>
        <w:t xml:space="preserve"> (</w:t>
      </w:r>
      <w:r w:rsidR="00B61668" w:rsidRPr="00466073">
        <w:rPr>
          <w:rFonts w:asciiTheme="minorHAnsi" w:hAnsiTheme="minorHAnsi" w:cstheme="minorHAnsi"/>
          <w:lang w:val="el-GR"/>
        </w:rPr>
        <w:t>2</w:t>
      </w:r>
      <w:r w:rsidR="006929C5" w:rsidRPr="00466073">
        <w:rPr>
          <w:rFonts w:asciiTheme="minorHAnsi" w:hAnsiTheme="minorHAnsi" w:cstheme="minorHAnsi"/>
          <w:lang w:val="el-GR"/>
        </w:rPr>
        <w:t>1,3</w:t>
      </w:r>
      <w:r w:rsidR="00DD2500" w:rsidRPr="00466073">
        <w:rPr>
          <w:rFonts w:asciiTheme="minorHAnsi" w:hAnsiTheme="minorHAnsi" w:cstheme="minorHAnsi"/>
          <w:lang w:val="el-GR"/>
        </w:rPr>
        <w:t>%)</w:t>
      </w:r>
      <w:r w:rsidRPr="00466073">
        <w:rPr>
          <w:rFonts w:asciiTheme="minorHAnsi" w:hAnsiTheme="minorHAnsi" w:cstheme="minorHAnsi"/>
          <w:lang w:val="el-GR"/>
        </w:rPr>
        <w:t>, Πολωνία</w:t>
      </w:r>
      <w:r w:rsidR="0064042D" w:rsidRPr="00466073">
        <w:rPr>
          <w:rFonts w:asciiTheme="minorHAnsi" w:hAnsiTheme="minorHAnsi" w:cstheme="minorHAnsi"/>
          <w:lang w:val="el-GR"/>
        </w:rPr>
        <w:t xml:space="preserve"> (1</w:t>
      </w:r>
      <w:r w:rsidR="006929C5" w:rsidRPr="00466073">
        <w:rPr>
          <w:rFonts w:asciiTheme="minorHAnsi" w:hAnsiTheme="minorHAnsi" w:cstheme="minorHAnsi"/>
          <w:lang w:val="el-GR"/>
        </w:rPr>
        <w:t>6</w:t>
      </w:r>
      <w:r w:rsidR="0064042D" w:rsidRPr="00466073">
        <w:rPr>
          <w:rFonts w:asciiTheme="minorHAnsi" w:hAnsiTheme="minorHAnsi" w:cstheme="minorHAnsi"/>
          <w:lang w:val="el-GR"/>
        </w:rPr>
        <w:t>,</w:t>
      </w:r>
      <w:r w:rsidR="006929C5" w:rsidRPr="00466073">
        <w:rPr>
          <w:rFonts w:asciiTheme="minorHAnsi" w:hAnsiTheme="minorHAnsi" w:cstheme="minorHAnsi"/>
          <w:lang w:val="el-GR"/>
        </w:rPr>
        <w:t>84</w:t>
      </w:r>
      <w:r w:rsidR="00B61668" w:rsidRPr="00466073">
        <w:rPr>
          <w:rFonts w:asciiTheme="minorHAnsi" w:hAnsiTheme="minorHAnsi" w:cstheme="minorHAnsi"/>
          <w:lang w:val="el-GR"/>
        </w:rPr>
        <w:t>%)</w:t>
      </w:r>
      <w:r w:rsidRPr="00466073">
        <w:rPr>
          <w:rFonts w:asciiTheme="minorHAnsi" w:hAnsiTheme="minorHAnsi" w:cstheme="minorHAnsi"/>
          <w:lang w:val="el-GR"/>
        </w:rPr>
        <w:t>, Ολλανδία</w:t>
      </w:r>
      <w:r w:rsidR="0064042D" w:rsidRPr="00466073">
        <w:rPr>
          <w:rFonts w:asciiTheme="minorHAnsi" w:hAnsiTheme="minorHAnsi" w:cstheme="minorHAnsi"/>
          <w:lang w:val="el-GR"/>
        </w:rPr>
        <w:t xml:space="preserve"> (1</w:t>
      </w:r>
      <w:r w:rsidR="006929C5" w:rsidRPr="00466073">
        <w:rPr>
          <w:rFonts w:asciiTheme="minorHAnsi" w:hAnsiTheme="minorHAnsi" w:cstheme="minorHAnsi"/>
          <w:lang w:val="el-GR"/>
        </w:rPr>
        <w:t>2,04</w:t>
      </w:r>
      <w:r w:rsidR="00B61668" w:rsidRPr="00466073">
        <w:rPr>
          <w:rFonts w:asciiTheme="minorHAnsi" w:hAnsiTheme="minorHAnsi" w:cstheme="minorHAnsi"/>
          <w:lang w:val="el-GR"/>
        </w:rPr>
        <w:t>%)</w:t>
      </w:r>
      <w:r w:rsidRPr="00466073">
        <w:rPr>
          <w:rFonts w:asciiTheme="minorHAnsi" w:hAnsiTheme="minorHAnsi" w:cstheme="minorHAnsi"/>
          <w:lang w:val="el-GR"/>
        </w:rPr>
        <w:t xml:space="preserve">, Αυστρία, </w:t>
      </w:r>
      <w:r w:rsidR="00B61668" w:rsidRPr="00466073">
        <w:rPr>
          <w:rFonts w:asciiTheme="minorHAnsi" w:hAnsiTheme="minorHAnsi" w:cstheme="minorHAnsi"/>
          <w:lang w:val="el-GR"/>
        </w:rPr>
        <w:t xml:space="preserve">Ιταλία, Γαλλία, </w:t>
      </w:r>
      <w:r w:rsidRPr="00466073">
        <w:rPr>
          <w:rFonts w:asciiTheme="minorHAnsi" w:hAnsiTheme="minorHAnsi" w:cstheme="minorHAnsi"/>
          <w:lang w:val="el-GR"/>
        </w:rPr>
        <w:t xml:space="preserve">Τσεχία, Βέλγιο. </w:t>
      </w:r>
    </w:p>
    <w:p w:rsidR="005D33F5" w:rsidRPr="00466073" w:rsidRDefault="00AC391F" w:rsidP="00AC391F">
      <w:pPr>
        <w:jc w:val="both"/>
        <w:rPr>
          <w:rFonts w:asciiTheme="minorHAnsi" w:hAnsiTheme="minorHAnsi" w:cstheme="minorHAnsi"/>
          <w:lang w:val="el-GR"/>
        </w:rPr>
      </w:pPr>
      <w:r w:rsidRPr="00466073">
        <w:rPr>
          <w:rFonts w:asciiTheme="minorHAnsi" w:hAnsiTheme="minorHAnsi" w:cstheme="minorHAnsi"/>
          <w:lang w:val="el-GR"/>
        </w:rPr>
        <w:t>Τα προϊόντα του Κεφ.20 δεν αποτελούν παρά μικρό μόνο μέρος του συνόλου των εισαγωγών της Ουγγαρίας. Εντούτοις</w:t>
      </w:r>
      <w:r w:rsidR="007D6D8E" w:rsidRPr="00466073">
        <w:rPr>
          <w:rFonts w:asciiTheme="minorHAnsi" w:hAnsiTheme="minorHAnsi" w:cstheme="minorHAnsi"/>
          <w:lang w:val="el-GR"/>
        </w:rPr>
        <w:t>,</w:t>
      </w:r>
      <w:r w:rsidRPr="00466073">
        <w:rPr>
          <w:rFonts w:asciiTheme="minorHAnsi" w:hAnsiTheme="minorHAnsi" w:cstheme="minorHAnsi"/>
          <w:lang w:val="el-GR"/>
        </w:rPr>
        <w:t xml:space="preserve"> για την </w:t>
      </w:r>
      <w:r w:rsidR="00A15C73" w:rsidRPr="00466073">
        <w:rPr>
          <w:rFonts w:asciiTheme="minorHAnsi" w:hAnsiTheme="minorHAnsi" w:cstheme="minorHAnsi"/>
          <w:lang w:val="el-GR"/>
        </w:rPr>
        <w:t xml:space="preserve">Ελλάδα </w:t>
      </w:r>
      <w:r w:rsidRPr="00466073">
        <w:rPr>
          <w:rFonts w:asciiTheme="minorHAnsi" w:hAnsiTheme="minorHAnsi" w:cstheme="minorHAnsi"/>
          <w:lang w:val="el-GR"/>
        </w:rPr>
        <w:t xml:space="preserve">ανακύπτουν δυνατότητες αύξησης του μεριδίου </w:t>
      </w:r>
      <w:r w:rsidR="00A15C73" w:rsidRPr="00466073">
        <w:rPr>
          <w:rFonts w:asciiTheme="minorHAnsi" w:hAnsiTheme="minorHAnsi" w:cstheme="minorHAnsi"/>
          <w:lang w:val="el-GR"/>
        </w:rPr>
        <w:t>της στην ουγγρική αγορά</w:t>
      </w:r>
      <w:r w:rsidRPr="00466073">
        <w:rPr>
          <w:rFonts w:asciiTheme="minorHAnsi" w:hAnsiTheme="minorHAnsi" w:cstheme="minorHAnsi"/>
          <w:lang w:val="el-GR"/>
        </w:rPr>
        <w:t>, δεδομέν</w:t>
      </w:r>
      <w:r w:rsidR="00A15C73" w:rsidRPr="00466073">
        <w:rPr>
          <w:rFonts w:asciiTheme="minorHAnsi" w:hAnsiTheme="minorHAnsi" w:cstheme="minorHAnsi"/>
          <w:lang w:val="el-GR"/>
        </w:rPr>
        <w:t xml:space="preserve">ου ότι η παραγωγική δυναμικότητα του συγκεκριμένου κλάδου στην Ελλάδα βρίσκεται σε υψηλά επίπεδα. </w:t>
      </w:r>
      <w:r w:rsidR="00A43F5C" w:rsidRPr="00466073">
        <w:rPr>
          <w:rFonts w:asciiTheme="minorHAnsi" w:hAnsiTheme="minorHAnsi" w:cstheme="minorHAnsi"/>
          <w:lang w:val="el-GR"/>
        </w:rPr>
        <w:t>Τα</w:t>
      </w:r>
      <w:r w:rsidR="009D0FA1" w:rsidRPr="00466073">
        <w:rPr>
          <w:rFonts w:asciiTheme="minorHAnsi" w:hAnsiTheme="minorHAnsi" w:cstheme="minorHAnsi"/>
          <w:lang w:val="el-GR"/>
        </w:rPr>
        <w:t xml:space="preserve"> </w:t>
      </w:r>
      <w:r w:rsidR="009D0FA1" w:rsidRPr="00466073">
        <w:rPr>
          <w:rFonts w:asciiTheme="minorHAnsi" w:hAnsiTheme="minorHAnsi" w:cstheme="minorHAnsi"/>
          <w:b/>
          <w:lang w:val="el-GR"/>
        </w:rPr>
        <w:t xml:space="preserve">παρασκευασμένα </w:t>
      </w:r>
      <w:r w:rsidR="00A43F5C" w:rsidRPr="00466073">
        <w:rPr>
          <w:rFonts w:asciiTheme="minorHAnsi" w:hAnsiTheme="minorHAnsi" w:cstheme="minorHAnsi"/>
          <w:b/>
          <w:lang w:val="el-GR"/>
        </w:rPr>
        <w:t xml:space="preserve">ροδάκινα </w:t>
      </w:r>
      <w:r w:rsidR="00A43F5C" w:rsidRPr="00466073">
        <w:rPr>
          <w:rFonts w:asciiTheme="minorHAnsi" w:hAnsiTheme="minorHAnsi" w:cstheme="minorHAnsi"/>
          <w:lang w:val="el-GR"/>
        </w:rPr>
        <w:t>(ή διατηρημένα –Σ.Ο.200870) αποτελούν</w:t>
      </w:r>
      <w:r w:rsidR="00781559" w:rsidRPr="00466073">
        <w:rPr>
          <w:rFonts w:asciiTheme="minorHAnsi" w:hAnsiTheme="minorHAnsi" w:cstheme="minorHAnsi"/>
          <w:lang w:val="el-GR"/>
        </w:rPr>
        <w:t>, διαχρονικά,</w:t>
      </w:r>
      <w:r w:rsidR="00A43F5C" w:rsidRPr="00466073">
        <w:rPr>
          <w:rFonts w:asciiTheme="minorHAnsi" w:hAnsiTheme="minorHAnsi" w:cstheme="minorHAnsi"/>
          <w:lang w:val="el-GR"/>
        </w:rPr>
        <w:t xml:space="preserve"> τ</w:t>
      </w:r>
      <w:r w:rsidR="00781559" w:rsidRPr="00466073">
        <w:rPr>
          <w:rFonts w:asciiTheme="minorHAnsi" w:hAnsiTheme="minorHAnsi" w:cstheme="minorHAnsi"/>
          <w:lang w:val="el-GR"/>
        </w:rPr>
        <w:t xml:space="preserve">ο </w:t>
      </w:r>
      <w:r w:rsidR="00A43F5C" w:rsidRPr="00466073">
        <w:rPr>
          <w:rFonts w:asciiTheme="minorHAnsi" w:hAnsiTheme="minorHAnsi" w:cstheme="minorHAnsi"/>
          <w:lang w:val="el-GR"/>
        </w:rPr>
        <w:t>κύρι</w:t>
      </w:r>
      <w:r w:rsidR="00781559" w:rsidRPr="00466073">
        <w:rPr>
          <w:rFonts w:asciiTheme="minorHAnsi" w:hAnsiTheme="minorHAnsi" w:cstheme="minorHAnsi"/>
          <w:lang w:val="el-GR"/>
        </w:rPr>
        <w:t>ο</w:t>
      </w:r>
      <w:r w:rsidR="00A43F5C" w:rsidRPr="00466073">
        <w:rPr>
          <w:rFonts w:asciiTheme="minorHAnsi" w:hAnsiTheme="minorHAnsi" w:cstheme="minorHAnsi"/>
          <w:lang w:val="el-GR"/>
        </w:rPr>
        <w:t xml:space="preserve"> ελληνικ</w:t>
      </w:r>
      <w:r w:rsidR="00781559" w:rsidRPr="00466073">
        <w:rPr>
          <w:rFonts w:asciiTheme="minorHAnsi" w:hAnsiTheme="minorHAnsi" w:cstheme="minorHAnsi"/>
          <w:lang w:val="el-GR"/>
        </w:rPr>
        <w:t>ό</w:t>
      </w:r>
      <w:r w:rsidR="00A43F5C" w:rsidRPr="00466073">
        <w:rPr>
          <w:rFonts w:asciiTheme="minorHAnsi" w:hAnsiTheme="minorHAnsi" w:cstheme="minorHAnsi"/>
          <w:lang w:val="el-GR"/>
        </w:rPr>
        <w:t xml:space="preserve"> εξαγόμεν</w:t>
      </w:r>
      <w:r w:rsidR="00781559" w:rsidRPr="00466073">
        <w:rPr>
          <w:rFonts w:asciiTheme="minorHAnsi" w:hAnsiTheme="minorHAnsi" w:cstheme="minorHAnsi"/>
          <w:lang w:val="el-GR"/>
        </w:rPr>
        <w:t>ο</w:t>
      </w:r>
      <w:r w:rsidR="00A43F5C" w:rsidRPr="00466073">
        <w:rPr>
          <w:rFonts w:asciiTheme="minorHAnsi" w:hAnsiTheme="minorHAnsi" w:cstheme="minorHAnsi"/>
          <w:lang w:val="el-GR"/>
        </w:rPr>
        <w:t xml:space="preserve"> στη</w:t>
      </w:r>
      <w:r w:rsidR="00DF1615" w:rsidRPr="00466073">
        <w:rPr>
          <w:rFonts w:asciiTheme="minorHAnsi" w:hAnsiTheme="minorHAnsi" w:cstheme="minorHAnsi"/>
          <w:lang w:val="el-GR"/>
        </w:rPr>
        <w:t xml:space="preserve">ν Ουγγαρία προϊόν του Κεφ.20 (με μερίδιο </w:t>
      </w:r>
      <w:r w:rsidR="006F4464" w:rsidRPr="00466073">
        <w:rPr>
          <w:rFonts w:asciiTheme="minorHAnsi" w:hAnsiTheme="minorHAnsi" w:cstheme="minorHAnsi"/>
          <w:lang w:val="el-GR"/>
        </w:rPr>
        <w:t>59</w:t>
      </w:r>
      <w:r w:rsidR="0064042D" w:rsidRPr="00466073">
        <w:rPr>
          <w:rFonts w:asciiTheme="minorHAnsi" w:hAnsiTheme="minorHAnsi" w:cstheme="minorHAnsi"/>
          <w:lang w:val="el-GR"/>
        </w:rPr>
        <w:t xml:space="preserve">,6 </w:t>
      </w:r>
      <w:r w:rsidR="00A43F5C" w:rsidRPr="00466073">
        <w:rPr>
          <w:rFonts w:asciiTheme="minorHAnsi" w:hAnsiTheme="minorHAnsi" w:cstheme="minorHAnsi"/>
          <w:lang w:val="el-GR"/>
        </w:rPr>
        <w:t>%</w:t>
      </w:r>
      <w:r w:rsidR="00DF1615" w:rsidRPr="00466073">
        <w:rPr>
          <w:rFonts w:asciiTheme="minorHAnsi" w:hAnsiTheme="minorHAnsi" w:cstheme="minorHAnsi"/>
          <w:lang w:val="el-GR"/>
        </w:rPr>
        <w:t xml:space="preserve"> επί του συνόλου των ελληνικών εξαγωγών του Κεφ.20</w:t>
      </w:r>
      <w:r w:rsidR="00A43F5C" w:rsidRPr="00466073">
        <w:rPr>
          <w:rFonts w:asciiTheme="minorHAnsi" w:hAnsiTheme="minorHAnsi" w:cstheme="minorHAnsi"/>
          <w:lang w:val="el-GR"/>
        </w:rPr>
        <w:t>). Με αξία εξαγωγών €</w:t>
      </w:r>
      <w:r w:rsidR="006F4464" w:rsidRPr="00466073">
        <w:rPr>
          <w:rFonts w:asciiTheme="minorHAnsi" w:hAnsiTheme="minorHAnsi" w:cstheme="minorHAnsi"/>
          <w:lang w:val="el-GR"/>
        </w:rPr>
        <w:t xml:space="preserve"> 5</w:t>
      </w:r>
      <w:r w:rsidR="00A43F5C" w:rsidRPr="00466073">
        <w:rPr>
          <w:rFonts w:asciiTheme="minorHAnsi" w:hAnsiTheme="minorHAnsi" w:cstheme="minorHAnsi"/>
          <w:lang w:val="el-GR"/>
        </w:rPr>
        <w:t>,</w:t>
      </w:r>
      <w:r w:rsidR="006F4464" w:rsidRPr="00466073">
        <w:rPr>
          <w:rFonts w:asciiTheme="minorHAnsi" w:hAnsiTheme="minorHAnsi" w:cstheme="minorHAnsi"/>
          <w:lang w:val="el-GR"/>
        </w:rPr>
        <w:t>82</w:t>
      </w:r>
      <w:r w:rsidR="0064042D" w:rsidRPr="00466073">
        <w:rPr>
          <w:rFonts w:asciiTheme="minorHAnsi" w:hAnsiTheme="minorHAnsi" w:cstheme="minorHAnsi"/>
          <w:lang w:val="el-GR"/>
        </w:rPr>
        <w:t xml:space="preserve"> </w:t>
      </w:r>
      <w:r w:rsidR="00A43F5C" w:rsidRPr="00466073">
        <w:rPr>
          <w:rFonts w:asciiTheme="minorHAnsi" w:hAnsiTheme="minorHAnsi" w:cstheme="minorHAnsi"/>
          <w:lang w:val="el-GR"/>
        </w:rPr>
        <w:t>εκ.</w:t>
      </w:r>
      <w:r w:rsidR="00FF3249" w:rsidRPr="00466073">
        <w:rPr>
          <w:rFonts w:asciiTheme="minorHAnsi" w:hAnsiTheme="minorHAnsi" w:cstheme="minorHAnsi"/>
          <w:lang w:val="el-GR"/>
        </w:rPr>
        <w:t>, η Ελλάδα ανακηρύσσεται το 20</w:t>
      </w:r>
      <w:r w:rsidR="0064042D" w:rsidRPr="00466073">
        <w:rPr>
          <w:rFonts w:asciiTheme="minorHAnsi" w:hAnsiTheme="minorHAnsi" w:cstheme="minorHAnsi"/>
          <w:lang w:val="el-GR"/>
        </w:rPr>
        <w:t>2</w:t>
      </w:r>
      <w:r w:rsidR="006F4464" w:rsidRPr="00466073">
        <w:rPr>
          <w:rFonts w:asciiTheme="minorHAnsi" w:hAnsiTheme="minorHAnsi" w:cstheme="minorHAnsi"/>
          <w:lang w:val="el-GR"/>
        </w:rPr>
        <w:t>2</w:t>
      </w:r>
      <w:r w:rsidR="00FF3249" w:rsidRPr="00466073">
        <w:rPr>
          <w:rFonts w:asciiTheme="minorHAnsi" w:hAnsiTheme="minorHAnsi" w:cstheme="minorHAnsi"/>
          <w:lang w:val="el-GR"/>
        </w:rPr>
        <w:t xml:space="preserve"> (όπως και τις προηγούμενες χρονιές) </w:t>
      </w:r>
      <w:r w:rsidR="00A43F5C" w:rsidRPr="00466073">
        <w:rPr>
          <w:rFonts w:asciiTheme="minorHAnsi" w:hAnsiTheme="minorHAnsi" w:cstheme="minorHAnsi"/>
          <w:lang w:val="el-GR"/>
        </w:rPr>
        <w:t>στον μεγαλύτερο προμηθευτή της Ουγγαρίας</w:t>
      </w:r>
      <w:r w:rsidR="00FF3249" w:rsidRPr="00466073">
        <w:rPr>
          <w:rFonts w:asciiTheme="minorHAnsi" w:hAnsiTheme="minorHAnsi" w:cstheme="minorHAnsi"/>
          <w:lang w:val="el-GR"/>
        </w:rPr>
        <w:t xml:space="preserve"> (</w:t>
      </w:r>
      <w:r w:rsidR="006F4464" w:rsidRPr="00466073">
        <w:rPr>
          <w:rFonts w:asciiTheme="minorHAnsi" w:hAnsiTheme="minorHAnsi" w:cstheme="minorHAnsi"/>
          <w:lang w:val="el-GR"/>
        </w:rPr>
        <w:t xml:space="preserve">€5,84 εκ. το 2021, </w:t>
      </w:r>
      <w:r w:rsidR="0064042D" w:rsidRPr="00466073">
        <w:rPr>
          <w:rFonts w:asciiTheme="minorHAnsi" w:hAnsiTheme="minorHAnsi" w:cstheme="minorHAnsi"/>
          <w:lang w:val="el-GR"/>
        </w:rPr>
        <w:t xml:space="preserve">€5,0 εκ. το 2020, </w:t>
      </w:r>
      <w:r w:rsidR="00FF3249" w:rsidRPr="00466073">
        <w:rPr>
          <w:rFonts w:asciiTheme="minorHAnsi" w:hAnsiTheme="minorHAnsi" w:cstheme="minorHAnsi"/>
          <w:lang w:val="el-GR"/>
        </w:rPr>
        <w:t>€</w:t>
      </w:r>
      <w:r w:rsidR="00DF1615" w:rsidRPr="00466073">
        <w:rPr>
          <w:rFonts w:asciiTheme="minorHAnsi" w:hAnsiTheme="minorHAnsi" w:cstheme="minorHAnsi"/>
          <w:lang w:val="el-GR"/>
        </w:rPr>
        <w:t>5,3 εκ. το 2019, €</w:t>
      </w:r>
      <w:r w:rsidR="00FF3249" w:rsidRPr="00466073">
        <w:rPr>
          <w:rFonts w:asciiTheme="minorHAnsi" w:hAnsiTheme="minorHAnsi" w:cstheme="minorHAnsi"/>
          <w:lang w:val="el-GR"/>
        </w:rPr>
        <w:t>3,19 εκ. το 2018, €3,2 εκ. το 2017 και €3,6 εκ. το 2016)</w:t>
      </w:r>
      <w:r w:rsidR="00A43F5C" w:rsidRPr="00466073">
        <w:rPr>
          <w:rFonts w:asciiTheme="minorHAnsi" w:hAnsiTheme="minorHAnsi" w:cstheme="minorHAnsi"/>
          <w:lang w:val="el-GR"/>
        </w:rPr>
        <w:t xml:space="preserve">. Ακολουθούν κατά σειρά αξίας </w:t>
      </w:r>
      <w:r w:rsidR="00FF3249" w:rsidRPr="00466073">
        <w:rPr>
          <w:rFonts w:asciiTheme="minorHAnsi" w:hAnsiTheme="minorHAnsi" w:cstheme="minorHAnsi"/>
          <w:lang w:val="el-GR"/>
        </w:rPr>
        <w:t>για το 20</w:t>
      </w:r>
      <w:r w:rsidR="006F4464" w:rsidRPr="00466073">
        <w:rPr>
          <w:rFonts w:asciiTheme="minorHAnsi" w:hAnsiTheme="minorHAnsi" w:cstheme="minorHAnsi"/>
          <w:lang w:val="el-GR"/>
        </w:rPr>
        <w:t>22</w:t>
      </w:r>
      <w:r w:rsidR="00FF3249" w:rsidRPr="00466073">
        <w:rPr>
          <w:rFonts w:asciiTheme="minorHAnsi" w:hAnsiTheme="minorHAnsi" w:cstheme="minorHAnsi"/>
          <w:lang w:val="el-GR"/>
        </w:rPr>
        <w:t xml:space="preserve"> </w:t>
      </w:r>
      <w:r w:rsidR="00A43F5C" w:rsidRPr="00466073">
        <w:rPr>
          <w:rFonts w:asciiTheme="minorHAnsi" w:hAnsiTheme="minorHAnsi" w:cstheme="minorHAnsi"/>
          <w:lang w:val="el-GR"/>
        </w:rPr>
        <w:t>οι: Γερμανία (</w:t>
      </w:r>
      <w:r w:rsidR="00DF1615" w:rsidRPr="00466073">
        <w:rPr>
          <w:rFonts w:asciiTheme="minorHAnsi" w:hAnsiTheme="minorHAnsi" w:cstheme="minorHAnsi"/>
          <w:lang w:val="el-GR"/>
        </w:rPr>
        <w:t>€</w:t>
      </w:r>
      <w:r w:rsidR="006F4464" w:rsidRPr="00466073">
        <w:rPr>
          <w:rFonts w:asciiTheme="minorHAnsi" w:hAnsiTheme="minorHAnsi" w:cstheme="minorHAnsi"/>
          <w:lang w:val="el-GR"/>
        </w:rPr>
        <w:t>2</w:t>
      </w:r>
      <w:r w:rsidR="00A43F5C" w:rsidRPr="00466073">
        <w:rPr>
          <w:rFonts w:asciiTheme="minorHAnsi" w:hAnsiTheme="minorHAnsi" w:cstheme="minorHAnsi"/>
          <w:lang w:val="el-GR"/>
        </w:rPr>
        <w:t>,</w:t>
      </w:r>
      <w:r w:rsidR="006F4464" w:rsidRPr="00466073">
        <w:rPr>
          <w:rFonts w:asciiTheme="minorHAnsi" w:hAnsiTheme="minorHAnsi" w:cstheme="minorHAnsi"/>
          <w:lang w:val="el-GR"/>
        </w:rPr>
        <w:t>19</w:t>
      </w:r>
      <w:r w:rsidR="00A43F5C" w:rsidRPr="00466073">
        <w:rPr>
          <w:rFonts w:asciiTheme="minorHAnsi" w:hAnsiTheme="minorHAnsi" w:cstheme="minorHAnsi"/>
          <w:lang w:val="el-GR"/>
        </w:rPr>
        <w:t xml:space="preserve"> εκ.), </w:t>
      </w:r>
      <w:r w:rsidR="00DF1615" w:rsidRPr="00466073">
        <w:rPr>
          <w:rFonts w:asciiTheme="minorHAnsi" w:hAnsiTheme="minorHAnsi" w:cstheme="minorHAnsi"/>
          <w:lang w:val="el-GR"/>
        </w:rPr>
        <w:t>Βουλγαρία (€</w:t>
      </w:r>
      <w:r w:rsidR="006F4464" w:rsidRPr="00466073">
        <w:rPr>
          <w:rFonts w:asciiTheme="minorHAnsi" w:hAnsiTheme="minorHAnsi" w:cstheme="minorHAnsi"/>
          <w:lang w:val="el-GR"/>
        </w:rPr>
        <w:t xml:space="preserve">1,41 εκ.), η Τουρκία (€1,27 εκ.) </w:t>
      </w:r>
      <w:r w:rsidR="00DF1615" w:rsidRPr="00466073">
        <w:rPr>
          <w:rFonts w:asciiTheme="minorHAnsi" w:hAnsiTheme="minorHAnsi" w:cstheme="minorHAnsi"/>
          <w:lang w:val="el-GR"/>
        </w:rPr>
        <w:t xml:space="preserve">και </w:t>
      </w:r>
      <w:r w:rsidR="006F4464" w:rsidRPr="00466073">
        <w:rPr>
          <w:rFonts w:asciiTheme="minorHAnsi" w:hAnsiTheme="minorHAnsi" w:cstheme="minorHAnsi"/>
          <w:lang w:val="el-GR"/>
        </w:rPr>
        <w:t xml:space="preserve">η </w:t>
      </w:r>
      <w:r w:rsidR="00DF1615" w:rsidRPr="00466073">
        <w:rPr>
          <w:rFonts w:asciiTheme="minorHAnsi" w:hAnsiTheme="minorHAnsi" w:cstheme="minorHAnsi"/>
          <w:lang w:val="el-GR"/>
        </w:rPr>
        <w:t>Ιταλία (€</w:t>
      </w:r>
      <w:r w:rsidR="006F4464" w:rsidRPr="00466073">
        <w:rPr>
          <w:rFonts w:asciiTheme="minorHAnsi" w:hAnsiTheme="minorHAnsi" w:cstheme="minorHAnsi"/>
          <w:lang w:val="el-GR"/>
        </w:rPr>
        <w:t xml:space="preserve"> 0,49</w:t>
      </w:r>
      <w:r w:rsidR="00DF1615" w:rsidRPr="00466073">
        <w:rPr>
          <w:rFonts w:asciiTheme="minorHAnsi" w:hAnsiTheme="minorHAnsi" w:cstheme="minorHAnsi"/>
          <w:lang w:val="el-GR"/>
        </w:rPr>
        <w:t xml:space="preserve"> εκ.).</w:t>
      </w:r>
    </w:p>
    <w:p w:rsidR="00781559" w:rsidRPr="00466073" w:rsidRDefault="00781559" w:rsidP="00AC391F">
      <w:pPr>
        <w:jc w:val="both"/>
        <w:rPr>
          <w:rFonts w:asciiTheme="minorHAnsi" w:hAnsiTheme="minorHAnsi" w:cstheme="minorHAnsi"/>
          <w:lang w:val="el-GR"/>
        </w:rPr>
      </w:pPr>
    </w:p>
    <w:p w:rsidR="002E7491" w:rsidRDefault="002E7491" w:rsidP="00AC391F">
      <w:pPr>
        <w:jc w:val="both"/>
        <w:rPr>
          <w:rFonts w:asciiTheme="minorHAnsi" w:hAnsiTheme="minorHAnsi" w:cstheme="minorHAnsi"/>
          <w:lang w:val="el-GR"/>
        </w:rPr>
      </w:pPr>
    </w:p>
    <w:p w:rsidR="002E7491" w:rsidRDefault="002E7491" w:rsidP="00AC391F">
      <w:pPr>
        <w:jc w:val="both"/>
        <w:rPr>
          <w:rFonts w:asciiTheme="minorHAnsi" w:hAnsiTheme="minorHAnsi" w:cstheme="minorHAnsi"/>
          <w:lang w:val="el-GR"/>
        </w:rPr>
      </w:pPr>
    </w:p>
    <w:p w:rsidR="00671693" w:rsidRPr="00466073" w:rsidRDefault="009B144B" w:rsidP="00AC391F">
      <w:pPr>
        <w:jc w:val="both"/>
        <w:rPr>
          <w:rFonts w:asciiTheme="minorHAnsi" w:hAnsiTheme="minorHAnsi" w:cstheme="minorHAnsi"/>
          <w:lang w:val="el-GR"/>
        </w:rPr>
      </w:pPr>
      <w:r w:rsidRPr="00466073">
        <w:rPr>
          <w:rFonts w:asciiTheme="minorHAnsi" w:hAnsiTheme="minorHAnsi" w:cstheme="minorHAnsi"/>
          <w:lang w:val="el-GR"/>
        </w:rPr>
        <w:lastRenderedPageBreak/>
        <w:t>Εξαιρετική προοπτική έχουν οι ελληνικές εξαγωγές επιτραπέζιων</w:t>
      </w:r>
      <w:r w:rsidR="00A714E9" w:rsidRPr="00466073">
        <w:rPr>
          <w:rFonts w:asciiTheme="minorHAnsi" w:hAnsiTheme="minorHAnsi" w:cstheme="minorHAnsi"/>
          <w:lang w:val="el-GR"/>
        </w:rPr>
        <w:t>/βρώσιμων</w:t>
      </w:r>
      <w:r w:rsidRPr="00466073">
        <w:rPr>
          <w:rFonts w:asciiTheme="minorHAnsi" w:hAnsiTheme="minorHAnsi" w:cstheme="minorHAnsi"/>
          <w:lang w:val="el-GR"/>
        </w:rPr>
        <w:t xml:space="preserve"> </w:t>
      </w:r>
      <w:r w:rsidRPr="00466073">
        <w:rPr>
          <w:rFonts w:asciiTheme="minorHAnsi" w:hAnsiTheme="minorHAnsi" w:cstheme="minorHAnsi"/>
          <w:b/>
          <w:lang w:val="el-GR"/>
        </w:rPr>
        <w:t>ελιών</w:t>
      </w:r>
      <w:r w:rsidRPr="00466073">
        <w:rPr>
          <w:rFonts w:asciiTheme="minorHAnsi" w:hAnsiTheme="minorHAnsi" w:cstheme="minorHAnsi"/>
          <w:lang w:val="el-GR"/>
        </w:rPr>
        <w:t xml:space="preserve"> (Σ.Ο.200570)</w:t>
      </w:r>
      <w:r w:rsidR="00781559" w:rsidRPr="00466073">
        <w:rPr>
          <w:rFonts w:asciiTheme="minorHAnsi" w:hAnsiTheme="minorHAnsi" w:cstheme="minorHAnsi"/>
          <w:lang w:val="el-GR"/>
        </w:rPr>
        <w:t xml:space="preserve"> στην Ουγγαρία,</w:t>
      </w:r>
      <w:r w:rsidRPr="00466073">
        <w:rPr>
          <w:rFonts w:asciiTheme="minorHAnsi" w:hAnsiTheme="minorHAnsi" w:cstheme="minorHAnsi"/>
          <w:lang w:val="el-GR"/>
        </w:rPr>
        <w:t xml:space="preserve"> </w:t>
      </w:r>
      <w:r w:rsidR="00781559" w:rsidRPr="00466073">
        <w:rPr>
          <w:rFonts w:asciiTheme="minorHAnsi" w:hAnsiTheme="minorHAnsi" w:cstheme="minorHAnsi"/>
          <w:lang w:val="el-GR"/>
        </w:rPr>
        <w:t>οι οποίες</w:t>
      </w:r>
      <w:r w:rsidRPr="00466073">
        <w:rPr>
          <w:rFonts w:asciiTheme="minorHAnsi" w:hAnsiTheme="minorHAnsi" w:cstheme="minorHAnsi"/>
          <w:lang w:val="el-GR"/>
        </w:rPr>
        <w:t xml:space="preserve"> τα τελευταία έτη </w:t>
      </w:r>
      <w:r w:rsidR="00781559" w:rsidRPr="00466073">
        <w:rPr>
          <w:rFonts w:asciiTheme="minorHAnsi" w:hAnsiTheme="minorHAnsi" w:cstheme="minorHAnsi"/>
          <w:lang w:val="el-GR"/>
        </w:rPr>
        <w:t xml:space="preserve">έχουν </w:t>
      </w:r>
      <w:r w:rsidRPr="00466073">
        <w:rPr>
          <w:rFonts w:asciiTheme="minorHAnsi" w:hAnsiTheme="minorHAnsi" w:cstheme="minorHAnsi"/>
          <w:lang w:val="el-GR"/>
        </w:rPr>
        <w:t>σημειώ</w:t>
      </w:r>
      <w:r w:rsidR="00781559" w:rsidRPr="00466073">
        <w:rPr>
          <w:rFonts w:asciiTheme="minorHAnsi" w:hAnsiTheme="minorHAnsi" w:cstheme="minorHAnsi"/>
          <w:lang w:val="el-GR"/>
        </w:rPr>
        <w:t>σει</w:t>
      </w:r>
      <w:r w:rsidRPr="00466073">
        <w:rPr>
          <w:rFonts w:asciiTheme="minorHAnsi" w:hAnsiTheme="minorHAnsi" w:cstheme="minorHAnsi"/>
          <w:lang w:val="el-GR"/>
        </w:rPr>
        <w:t xml:space="preserve"> αξιόλογη αύξηση, τόσο σε αξία όσο και σε ποσότητα. </w:t>
      </w:r>
      <w:r w:rsidR="005D33F5" w:rsidRPr="00466073">
        <w:rPr>
          <w:rFonts w:asciiTheme="minorHAnsi" w:hAnsiTheme="minorHAnsi" w:cstheme="minorHAnsi"/>
          <w:lang w:val="el-GR"/>
        </w:rPr>
        <w:t xml:space="preserve">Εντούτοις, υπάρχουν σημαντικά περιθώρια </w:t>
      </w:r>
      <w:r w:rsidR="00781559" w:rsidRPr="00466073">
        <w:rPr>
          <w:rFonts w:asciiTheme="minorHAnsi" w:hAnsiTheme="minorHAnsi" w:cstheme="minorHAnsi"/>
          <w:lang w:val="el-GR"/>
        </w:rPr>
        <w:t xml:space="preserve">περαιτέρω </w:t>
      </w:r>
      <w:r w:rsidR="005D33F5" w:rsidRPr="00466073">
        <w:rPr>
          <w:rFonts w:asciiTheme="minorHAnsi" w:hAnsiTheme="minorHAnsi" w:cstheme="minorHAnsi"/>
          <w:lang w:val="el-GR"/>
        </w:rPr>
        <w:t xml:space="preserve">αύξησης των εξαγωγών </w:t>
      </w:r>
      <w:r w:rsidR="00781559" w:rsidRPr="00466073">
        <w:rPr>
          <w:rFonts w:asciiTheme="minorHAnsi" w:hAnsiTheme="minorHAnsi" w:cstheme="minorHAnsi"/>
          <w:lang w:val="el-GR"/>
        </w:rPr>
        <w:t>μας,</w:t>
      </w:r>
      <w:r w:rsidR="005D33F5" w:rsidRPr="00466073">
        <w:rPr>
          <w:rFonts w:asciiTheme="minorHAnsi" w:hAnsiTheme="minorHAnsi" w:cstheme="minorHAnsi"/>
          <w:lang w:val="el-GR"/>
        </w:rPr>
        <w:t xml:space="preserve"> δεδομένου ότι τα τελευταία χρόνια </w:t>
      </w:r>
      <w:r w:rsidR="00781559" w:rsidRPr="00466073">
        <w:rPr>
          <w:rFonts w:asciiTheme="minorHAnsi" w:hAnsiTheme="minorHAnsi" w:cstheme="minorHAnsi"/>
          <w:lang w:val="el-GR"/>
        </w:rPr>
        <w:t xml:space="preserve">η ζήτηση και οι εισαγωγές </w:t>
      </w:r>
      <w:r w:rsidR="00A2056E" w:rsidRPr="00466073">
        <w:rPr>
          <w:rFonts w:asciiTheme="minorHAnsi" w:hAnsiTheme="minorHAnsi" w:cstheme="minorHAnsi"/>
          <w:lang w:val="el-GR"/>
        </w:rPr>
        <w:t xml:space="preserve">βρώσιμων ελιών </w:t>
      </w:r>
      <w:r w:rsidR="00781559" w:rsidRPr="00466073">
        <w:rPr>
          <w:rFonts w:asciiTheme="minorHAnsi" w:hAnsiTheme="minorHAnsi" w:cstheme="minorHAnsi"/>
          <w:lang w:val="el-GR"/>
        </w:rPr>
        <w:t xml:space="preserve">στην Ουγγαρία έχουν αυξηθεί. </w:t>
      </w:r>
      <w:r w:rsidR="00C32CC3" w:rsidRPr="00466073">
        <w:rPr>
          <w:rFonts w:asciiTheme="minorHAnsi" w:hAnsiTheme="minorHAnsi" w:cstheme="minorHAnsi"/>
          <w:lang w:val="el-GR"/>
        </w:rPr>
        <w:t xml:space="preserve">Μεταξύ των ετών 2002-2020 υπήρξε αύξηση 70% των εισαγωγών ελιών στην Ουγγαρία. Την ίδια χρονική περίοδο, οι εξαγωγές ελληνικών ελιών στην </w:t>
      </w:r>
      <w:r w:rsidR="0064042D" w:rsidRPr="00466073">
        <w:rPr>
          <w:rFonts w:asciiTheme="minorHAnsi" w:hAnsiTheme="minorHAnsi" w:cstheme="minorHAnsi"/>
          <w:lang w:val="el-GR"/>
        </w:rPr>
        <w:t>Ουγγαρία αυξήθηκαν πλέον του 750</w:t>
      </w:r>
      <w:r w:rsidR="00C32CC3" w:rsidRPr="00466073">
        <w:rPr>
          <w:rFonts w:asciiTheme="minorHAnsi" w:hAnsiTheme="minorHAnsi" w:cstheme="minorHAnsi"/>
          <w:lang w:val="el-GR"/>
        </w:rPr>
        <w:t>%.</w:t>
      </w:r>
    </w:p>
    <w:p w:rsidR="00F94A87" w:rsidRPr="00466073" w:rsidRDefault="00F94A87" w:rsidP="00AC391F">
      <w:pPr>
        <w:jc w:val="both"/>
        <w:rPr>
          <w:rFonts w:asciiTheme="minorHAnsi" w:hAnsiTheme="minorHAnsi" w:cstheme="minorHAnsi"/>
          <w:lang w:val="el-GR"/>
        </w:rPr>
      </w:pPr>
    </w:p>
    <w:p w:rsidR="00671693" w:rsidRPr="00466073" w:rsidRDefault="00671693" w:rsidP="00671693">
      <w:pPr>
        <w:widowControl w:val="0"/>
        <w:overflowPunct w:val="0"/>
        <w:autoSpaceDE w:val="0"/>
        <w:autoSpaceDN w:val="0"/>
        <w:adjustRightInd w:val="0"/>
        <w:spacing w:line="235" w:lineRule="auto"/>
        <w:jc w:val="center"/>
        <w:rPr>
          <w:rFonts w:asciiTheme="minorHAnsi" w:hAnsiTheme="minorHAnsi" w:cstheme="minorHAnsi"/>
          <w:noProof/>
          <w:lang w:val="el-GR"/>
        </w:rPr>
      </w:pPr>
    </w:p>
    <w:p w:rsidR="006F4464" w:rsidRPr="00466073" w:rsidRDefault="006F4464" w:rsidP="006F4464">
      <w:pPr>
        <w:widowControl w:val="0"/>
        <w:overflowPunct w:val="0"/>
        <w:autoSpaceDE w:val="0"/>
        <w:autoSpaceDN w:val="0"/>
        <w:adjustRightInd w:val="0"/>
        <w:spacing w:line="235" w:lineRule="auto"/>
        <w:jc w:val="both"/>
        <w:rPr>
          <w:rFonts w:asciiTheme="minorHAnsi" w:hAnsiTheme="minorHAnsi" w:cstheme="minorHAnsi"/>
          <w:lang w:val="el-GR"/>
        </w:rPr>
      </w:pPr>
      <w:r w:rsidRPr="00466073">
        <w:rPr>
          <w:rFonts w:asciiTheme="minorHAnsi" w:hAnsiTheme="minorHAnsi" w:cstheme="minorHAnsi"/>
          <w:lang w:val="el-GR"/>
        </w:rPr>
        <w:t xml:space="preserve">Ο ρυθμός αύξησης των ελληνικών εξαγωγών </w:t>
      </w:r>
      <w:r w:rsidRPr="00466073">
        <w:rPr>
          <w:rFonts w:asciiTheme="minorHAnsi" w:hAnsiTheme="minorHAnsi" w:cstheme="minorHAnsi"/>
          <w:b/>
          <w:lang w:val="el-GR"/>
        </w:rPr>
        <w:t xml:space="preserve">ελιών </w:t>
      </w:r>
      <w:r w:rsidR="00D466AB" w:rsidRPr="00466073">
        <w:rPr>
          <w:rFonts w:asciiTheme="minorHAnsi" w:hAnsiTheme="minorHAnsi" w:cstheme="minorHAnsi"/>
          <w:lang w:val="el-GR"/>
        </w:rPr>
        <w:t>(Σ.Ο. : 200570)</w:t>
      </w:r>
      <w:r w:rsidR="00D466AB" w:rsidRPr="00466073">
        <w:rPr>
          <w:rFonts w:asciiTheme="minorHAnsi" w:hAnsiTheme="minorHAnsi" w:cstheme="minorHAnsi"/>
          <w:b/>
          <w:lang w:val="el-GR"/>
        </w:rPr>
        <w:t xml:space="preserve"> </w:t>
      </w:r>
      <w:r w:rsidRPr="00466073">
        <w:rPr>
          <w:rFonts w:asciiTheme="minorHAnsi" w:hAnsiTheme="minorHAnsi" w:cstheme="minorHAnsi"/>
          <w:lang w:val="el-GR"/>
        </w:rPr>
        <w:t xml:space="preserve">στην Ουγγαρία είναι ραγδαίος. Το 2012 σημειώθηκε αύξηση των ελληνικών εξαγωγών κατά 11,9% σε σχέση με το προηγούμενο έτος, ενώ το 2013 σημειώθηκε αύξηση 194,5% σε σχέση με το 2012. Η τάση αυτή διατηρήθηκε και τα επόμενα έτη. Το 2016 σημειώθηκε εκ νέου αλματώδης αύξηση σχεδόν 162% σε σχέση με το 2015, η οποία συνεχίστηκε και το 2017 (25% αύξηση σε σχέση με το 2016). Η αυξητική πορεία των ελληνικών εξαγωγών επιτραπέζιων ελιών στην Ουγγαρία, φαίνεται παραστατικά στο ανωτέρω γράφημα. </w:t>
      </w:r>
      <w:proofErr w:type="spellStart"/>
      <w:r w:rsidRPr="00466073">
        <w:rPr>
          <w:rFonts w:asciiTheme="minorHAnsi" w:hAnsiTheme="minorHAnsi" w:cstheme="minorHAnsi"/>
          <w:lang w:val="el-GR"/>
        </w:rPr>
        <w:t>To</w:t>
      </w:r>
      <w:proofErr w:type="spellEnd"/>
      <w:r w:rsidRPr="00466073">
        <w:rPr>
          <w:rFonts w:asciiTheme="minorHAnsi" w:hAnsiTheme="minorHAnsi" w:cstheme="minorHAnsi"/>
          <w:lang w:val="el-GR"/>
        </w:rPr>
        <w:t xml:space="preserve"> 2018 οι ελληνικές εξαγωγές σημείωσαν νέα αύξηση 29,9% σε σχέση με το 2017. </w:t>
      </w:r>
      <w:proofErr w:type="spellStart"/>
      <w:r w:rsidRPr="00466073">
        <w:rPr>
          <w:rFonts w:asciiTheme="minorHAnsi" w:hAnsiTheme="minorHAnsi" w:cstheme="minorHAnsi"/>
          <w:lang w:val="el-GR"/>
        </w:rPr>
        <w:t>To</w:t>
      </w:r>
      <w:proofErr w:type="spellEnd"/>
      <w:r w:rsidRPr="00466073">
        <w:rPr>
          <w:rFonts w:asciiTheme="minorHAnsi" w:hAnsiTheme="minorHAnsi" w:cstheme="minorHAnsi"/>
          <w:lang w:val="el-GR"/>
        </w:rPr>
        <w:t xml:space="preserve"> 2019 υπήρξε μικρή κάμψη (σε σχέση με το 2018) της τάξεως του 6,1% στις εξαγωγές μας στην Ουγγαρία, που αποδίδεται, κυρίως, στην υποτίμηση του εθνικού νομίσματος της Ουγγαρίας έναντι του ευρώ. Το 2020, οι εξαγωγές ελληνικών ελιών στην Ουγγαρία διατηρήθηκαν σχεδόν στα ίδια επίπεδα με το 2019, παρά το γεγονός της κατά 12,4% μείωσης των συνολικών εισαγωγών ελιών που πραγματοποίησε η Ουγγαρία. Έτσι, παρά την ελαφριά μείωση των ελληνικών εξαγωγών σε αξίες, από €369 χιλ. το 2019, σε €367 χιλ. το 2020, το μερίδιο των ελληνικών ελιών στην ουγγρική αγορά αυξάνεται περί τα 8 % ετησίως, </w:t>
      </w:r>
      <w:r w:rsidR="009F38A8" w:rsidRPr="00466073">
        <w:rPr>
          <w:rFonts w:asciiTheme="minorHAnsi" w:hAnsiTheme="minorHAnsi" w:cstheme="minorHAnsi"/>
          <w:lang w:val="el-GR"/>
        </w:rPr>
        <w:t xml:space="preserve">το ίδιο συνέβη και το 2021 όπου </w:t>
      </w:r>
      <w:r w:rsidRPr="00466073">
        <w:rPr>
          <w:rFonts w:asciiTheme="minorHAnsi" w:hAnsiTheme="minorHAnsi" w:cstheme="minorHAnsi"/>
          <w:lang w:val="el-GR"/>
        </w:rPr>
        <w:t xml:space="preserve">η χώρα μας </w:t>
      </w:r>
      <w:r w:rsidR="009F38A8" w:rsidRPr="00466073">
        <w:rPr>
          <w:rFonts w:asciiTheme="minorHAnsi" w:hAnsiTheme="minorHAnsi" w:cstheme="minorHAnsi"/>
          <w:lang w:val="el-GR"/>
        </w:rPr>
        <w:t xml:space="preserve">εξήγαγε </w:t>
      </w:r>
      <w:r w:rsidRPr="00466073">
        <w:rPr>
          <w:rFonts w:asciiTheme="minorHAnsi" w:hAnsiTheme="minorHAnsi" w:cstheme="minorHAnsi"/>
          <w:lang w:val="el-GR"/>
        </w:rPr>
        <w:t>επιτραπέζιες ελιές αξίας € 397,3 χιλ (αύ</w:t>
      </w:r>
      <w:r w:rsidR="009F38A8" w:rsidRPr="00466073">
        <w:rPr>
          <w:rFonts w:asciiTheme="minorHAnsi" w:hAnsiTheme="minorHAnsi" w:cstheme="minorHAnsi"/>
          <w:lang w:val="el-GR"/>
        </w:rPr>
        <w:t xml:space="preserve">ξηση 8,2% σε σχέση με το 2020.). Το 2022, η χώρα μας </w:t>
      </w:r>
      <w:r w:rsidR="000907D1" w:rsidRPr="00466073">
        <w:rPr>
          <w:rFonts w:asciiTheme="minorHAnsi" w:hAnsiTheme="minorHAnsi" w:cstheme="minorHAnsi"/>
          <w:lang w:val="el-GR"/>
        </w:rPr>
        <w:t xml:space="preserve">εξήγαγε ελιές αξίας € </w:t>
      </w:r>
      <w:r w:rsidR="00D466AB" w:rsidRPr="00466073">
        <w:rPr>
          <w:rFonts w:asciiTheme="minorHAnsi" w:hAnsiTheme="minorHAnsi" w:cstheme="minorHAnsi"/>
          <w:lang w:val="el-GR"/>
        </w:rPr>
        <w:t>491,3</w:t>
      </w:r>
      <w:r w:rsidR="000907D1" w:rsidRPr="00466073">
        <w:rPr>
          <w:rFonts w:asciiTheme="minorHAnsi" w:hAnsiTheme="minorHAnsi" w:cstheme="minorHAnsi"/>
          <w:lang w:val="el-GR"/>
        </w:rPr>
        <w:t xml:space="preserve"> χιλ (αύξηση </w:t>
      </w:r>
      <w:r w:rsidR="00D466AB" w:rsidRPr="00466073">
        <w:rPr>
          <w:rFonts w:asciiTheme="minorHAnsi" w:hAnsiTheme="minorHAnsi" w:cstheme="minorHAnsi"/>
          <w:lang w:val="el-GR"/>
        </w:rPr>
        <w:t>2</w:t>
      </w:r>
      <w:r w:rsidR="000907D1" w:rsidRPr="00466073">
        <w:rPr>
          <w:rFonts w:asciiTheme="minorHAnsi" w:hAnsiTheme="minorHAnsi" w:cstheme="minorHAnsi"/>
          <w:lang w:val="el-GR"/>
        </w:rPr>
        <w:t>3,</w:t>
      </w:r>
      <w:r w:rsidR="00D466AB" w:rsidRPr="00466073">
        <w:rPr>
          <w:rFonts w:asciiTheme="minorHAnsi" w:hAnsiTheme="minorHAnsi" w:cstheme="minorHAnsi"/>
          <w:lang w:val="el-GR"/>
        </w:rPr>
        <w:t>6</w:t>
      </w:r>
      <w:r w:rsidR="000907D1" w:rsidRPr="00466073">
        <w:rPr>
          <w:rFonts w:asciiTheme="minorHAnsi" w:hAnsiTheme="minorHAnsi" w:cstheme="minorHAnsi"/>
          <w:lang w:val="el-GR"/>
        </w:rPr>
        <w:t>% σε σχέση με το 2021)</w:t>
      </w:r>
      <w:r w:rsidR="00ED4B67" w:rsidRPr="00466073">
        <w:rPr>
          <w:rFonts w:asciiTheme="minorHAnsi" w:hAnsiTheme="minorHAnsi" w:cstheme="minorHAnsi"/>
          <w:lang w:val="el-GR"/>
        </w:rPr>
        <w:t>, καταλαμβάνοντας την 3</w:t>
      </w:r>
      <w:r w:rsidR="00ED4B67" w:rsidRPr="00466073">
        <w:rPr>
          <w:rFonts w:asciiTheme="minorHAnsi" w:hAnsiTheme="minorHAnsi" w:cstheme="minorHAnsi"/>
          <w:vertAlign w:val="superscript"/>
          <w:lang w:val="el-GR"/>
        </w:rPr>
        <w:t>η</w:t>
      </w:r>
      <w:r w:rsidR="00ED4B67" w:rsidRPr="00466073">
        <w:rPr>
          <w:rFonts w:asciiTheme="minorHAnsi" w:hAnsiTheme="minorHAnsi" w:cstheme="minorHAnsi"/>
          <w:lang w:val="el-GR"/>
        </w:rPr>
        <w:t xml:space="preserve"> θέση στις εισαγωγές της Ουγγαρίας στο συγκεκριμένο προϊόν με μερίδιο 10%, μετά την Ισπανία (μερίδιο 47,4%) και την Ιταλία (μερίδιο 15,3%). </w:t>
      </w:r>
    </w:p>
    <w:p w:rsidR="006F4464" w:rsidRPr="00466073" w:rsidRDefault="006F4464" w:rsidP="006F4464">
      <w:pPr>
        <w:widowControl w:val="0"/>
        <w:overflowPunct w:val="0"/>
        <w:autoSpaceDE w:val="0"/>
        <w:autoSpaceDN w:val="0"/>
        <w:adjustRightInd w:val="0"/>
        <w:spacing w:line="235" w:lineRule="auto"/>
        <w:jc w:val="both"/>
        <w:rPr>
          <w:rFonts w:asciiTheme="minorHAnsi" w:hAnsiTheme="minorHAnsi" w:cstheme="minorHAnsi"/>
          <w:lang w:val="el-GR"/>
        </w:rPr>
      </w:pPr>
    </w:p>
    <w:p w:rsidR="005C375F" w:rsidRPr="00466073" w:rsidRDefault="005C375F" w:rsidP="00671693">
      <w:pPr>
        <w:widowControl w:val="0"/>
        <w:overflowPunct w:val="0"/>
        <w:autoSpaceDE w:val="0"/>
        <w:autoSpaceDN w:val="0"/>
        <w:adjustRightInd w:val="0"/>
        <w:spacing w:line="235" w:lineRule="auto"/>
        <w:jc w:val="center"/>
        <w:rPr>
          <w:rFonts w:asciiTheme="minorHAnsi" w:hAnsiTheme="minorHAnsi" w:cstheme="minorHAnsi"/>
          <w:noProof/>
          <w:lang w:val="el-GR"/>
        </w:rPr>
      </w:pPr>
    </w:p>
    <w:p w:rsidR="00D466AB" w:rsidRPr="00466073" w:rsidRDefault="00D466AB" w:rsidP="005C375F">
      <w:pPr>
        <w:ind w:firstLine="720"/>
        <w:rPr>
          <w:rFonts w:asciiTheme="minorHAnsi" w:hAnsiTheme="minorHAnsi" w:cstheme="minorHAnsi"/>
          <w:u w:val="single"/>
        </w:rPr>
      </w:pPr>
      <w:r w:rsidRPr="00466073">
        <w:rPr>
          <w:rFonts w:asciiTheme="minorHAnsi" w:hAnsiTheme="minorHAnsi" w:cstheme="minorHAnsi"/>
          <w:noProof/>
          <w:u w:val="single"/>
        </w:rPr>
        <w:drawing>
          <wp:inline distT="0" distB="0" distL="0" distR="0">
            <wp:extent cx="5486400" cy="2798445"/>
            <wp:effectExtent l="19050" t="0" r="19050" b="1905"/>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A2B3D" w:rsidRPr="00466073" w:rsidRDefault="00E63306" w:rsidP="005C375F">
      <w:pPr>
        <w:ind w:firstLine="720"/>
        <w:rPr>
          <w:rFonts w:asciiTheme="minorHAnsi" w:hAnsiTheme="minorHAnsi" w:cstheme="minorHAnsi"/>
          <w:lang w:val="el-GR"/>
        </w:rPr>
      </w:pPr>
      <w:r w:rsidRPr="00466073">
        <w:rPr>
          <w:rFonts w:asciiTheme="minorHAnsi" w:hAnsiTheme="minorHAnsi" w:cstheme="minorHAnsi"/>
          <w:lang w:val="el-GR"/>
        </w:rPr>
        <w:t xml:space="preserve">Πηγή </w:t>
      </w:r>
      <w:r w:rsidR="007A2B3D" w:rsidRPr="00466073">
        <w:rPr>
          <w:rFonts w:asciiTheme="minorHAnsi" w:hAnsiTheme="minorHAnsi" w:cstheme="minorHAnsi"/>
          <w:lang w:val="el-GR"/>
        </w:rPr>
        <w:t>: Εθνική Στατιστική Υπηρεσία Ουγγαρίας (</w:t>
      </w:r>
      <w:r w:rsidR="007A2B3D" w:rsidRPr="00466073">
        <w:rPr>
          <w:rFonts w:asciiTheme="minorHAnsi" w:hAnsiTheme="minorHAnsi" w:cstheme="minorHAnsi"/>
        </w:rPr>
        <w:t>KSH</w:t>
      </w:r>
      <w:r w:rsidR="007A2B3D" w:rsidRPr="00466073">
        <w:rPr>
          <w:rFonts w:asciiTheme="minorHAnsi" w:hAnsiTheme="minorHAnsi" w:cstheme="minorHAnsi"/>
          <w:lang w:val="el-GR"/>
        </w:rPr>
        <w:t>)</w:t>
      </w:r>
    </w:p>
    <w:p w:rsidR="00EE6E1D" w:rsidRPr="00466073" w:rsidRDefault="00EE6E1D" w:rsidP="00997117">
      <w:pPr>
        <w:widowControl w:val="0"/>
        <w:overflowPunct w:val="0"/>
        <w:autoSpaceDE w:val="0"/>
        <w:autoSpaceDN w:val="0"/>
        <w:adjustRightInd w:val="0"/>
        <w:spacing w:line="235" w:lineRule="auto"/>
        <w:jc w:val="both"/>
        <w:rPr>
          <w:rFonts w:asciiTheme="minorHAnsi" w:hAnsiTheme="minorHAnsi" w:cstheme="minorHAnsi"/>
          <w:lang w:val="el-GR"/>
        </w:rPr>
      </w:pPr>
    </w:p>
    <w:p w:rsidR="007A2B3D" w:rsidRPr="00466073" w:rsidRDefault="00997117" w:rsidP="00997117">
      <w:pPr>
        <w:widowControl w:val="0"/>
        <w:overflowPunct w:val="0"/>
        <w:autoSpaceDE w:val="0"/>
        <w:autoSpaceDN w:val="0"/>
        <w:adjustRightInd w:val="0"/>
        <w:spacing w:line="235" w:lineRule="auto"/>
        <w:jc w:val="both"/>
        <w:rPr>
          <w:rFonts w:asciiTheme="minorHAnsi" w:hAnsiTheme="minorHAnsi" w:cstheme="minorHAnsi"/>
          <w:lang w:val="el-GR"/>
        </w:rPr>
      </w:pPr>
      <w:r w:rsidRPr="00466073">
        <w:rPr>
          <w:rFonts w:asciiTheme="minorHAnsi" w:hAnsiTheme="minorHAnsi" w:cstheme="minorHAnsi"/>
          <w:lang w:val="el-GR"/>
        </w:rPr>
        <w:t xml:space="preserve">Τα εξαγόμενα ελληνικά αγροτικά προϊόντα τροφίμων στην Ουγγαρία, αντιμετωπίζουν ισχυρό ανταγωνισμό τόσο από την σημαντική εγχώρια παραγωγή σε τυροκομικά, σε σπορέλαια, σε φρούτα </w:t>
      </w:r>
      <w:r w:rsidRPr="00466073">
        <w:rPr>
          <w:rFonts w:asciiTheme="minorHAnsi" w:hAnsiTheme="minorHAnsi" w:cstheme="minorHAnsi"/>
          <w:lang w:val="el-GR"/>
        </w:rPr>
        <w:lastRenderedPageBreak/>
        <w:t xml:space="preserve">(φράουλες, καρπούζια, κλπ) και κηπευτικά (πιπεριές, ντομάτες, αγγούρια, λάχανα, κολοκύθια, μαρούλια, κ.ά.), όσο και από ευρωπαϊκές χώρες με ομοειδή εξαγωγικά αγροτικά προϊόντα (όπως η Ιταλία, η Ισπανία, η Ολλανδία, η Σλοβακία και η Ρουμανία). Έντονος είναι και ο ανταγωνισμός από χώρες εκτός Ε.Ε. (Τουρκία, Σερβία, Ουκρανία). </w:t>
      </w:r>
    </w:p>
    <w:p w:rsidR="00EE6E1D" w:rsidRPr="00466073" w:rsidRDefault="007A2B3D" w:rsidP="00997117">
      <w:pPr>
        <w:widowControl w:val="0"/>
        <w:overflowPunct w:val="0"/>
        <w:autoSpaceDE w:val="0"/>
        <w:autoSpaceDN w:val="0"/>
        <w:adjustRightInd w:val="0"/>
        <w:spacing w:line="235" w:lineRule="auto"/>
        <w:jc w:val="both"/>
        <w:rPr>
          <w:rFonts w:asciiTheme="minorHAnsi" w:hAnsiTheme="minorHAnsi" w:cstheme="minorHAnsi"/>
          <w:lang w:val="el-GR"/>
        </w:rPr>
      </w:pPr>
      <w:r w:rsidRPr="00466073">
        <w:rPr>
          <w:rFonts w:asciiTheme="minorHAnsi" w:hAnsiTheme="minorHAnsi" w:cstheme="minorHAnsi"/>
          <w:lang w:val="el-GR"/>
        </w:rPr>
        <w:t>Ιδιαίτερο ε</w:t>
      </w:r>
      <w:r w:rsidR="00997117" w:rsidRPr="00466073">
        <w:rPr>
          <w:rFonts w:asciiTheme="minorHAnsi" w:hAnsiTheme="minorHAnsi" w:cstheme="minorHAnsi"/>
          <w:lang w:val="el-GR"/>
        </w:rPr>
        <w:t>νδιαφέρον παρουσιάζει η περίπτωση ισχυρού ανταγωνισμού από χώρες που δεν παράγουν αγροτικά προϊόντα (π.χ. πορτοκάλια, ροδάκινα), αλλά που όμως, διαθέτουν μεγάλα κέντρα συγκέντρωσης</w:t>
      </w:r>
      <w:r w:rsidR="00A204D8" w:rsidRPr="00466073">
        <w:rPr>
          <w:rFonts w:asciiTheme="minorHAnsi" w:hAnsiTheme="minorHAnsi" w:cstheme="minorHAnsi"/>
          <w:lang w:val="el-GR"/>
        </w:rPr>
        <w:t>, συσκευασίας</w:t>
      </w:r>
      <w:r w:rsidR="00997117" w:rsidRPr="00466073">
        <w:rPr>
          <w:rFonts w:asciiTheme="minorHAnsi" w:hAnsiTheme="minorHAnsi" w:cstheme="minorHAnsi"/>
          <w:lang w:val="el-GR"/>
        </w:rPr>
        <w:t xml:space="preserve"> και διανομής-</w:t>
      </w:r>
      <w:r w:rsidR="00997117" w:rsidRPr="00466073">
        <w:rPr>
          <w:rFonts w:asciiTheme="minorHAnsi" w:hAnsiTheme="minorHAnsi" w:cstheme="minorHAnsi"/>
        </w:rPr>
        <w:t>logistics</w:t>
      </w:r>
      <w:r w:rsidR="00997117" w:rsidRPr="00466073">
        <w:rPr>
          <w:rFonts w:asciiTheme="minorHAnsi" w:hAnsiTheme="minorHAnsi" w:cstheme="minorHAnsi"/>
          <w:lang w:val="el-GR"/>
        </w:rPr>
        <w:t xml:space="preserve"> (π.χ. Γερμανία) και ως εκ τούτου λειτουργούν ως σημεία </w:t>
      </w:r>
      <w:r w:rsidR="00A204D8" w:rsidRPr="00466073">
        <w:rPr>
          <w:rFonts w:asciiTheme="minorHAnsi" w:hAnsiTheme="minorHAnsi" w:cstheme="minorHAnsi"/>
          <w:lang w:val="el-GR"/>
        </w:rPr>
        <w:t xml:space="preserve">μεταποίησης και </w:t>
      </w:r>
      <w:r w:rsidR="00997117" w:rsidRPr="00466073">
        <w:rPr>
          <w:rFonts w:asciiTheme="minorHAnsi" w:hAnsiTheme="minorHAnsi" w:cstheme="minorHAnsi"/>
          <w:lang w:val="el-GR"/>
        </w:rPr>
        <w:t>μεταφόρτωσης.</w:t>
      </w:r>
      <w:r w:rsidR="00F94A87" w:rsidRPr="00466073">
        <w:rPr>
          <w:rFonts w:asciiTheme="minorHAnsi" w:hAnsiTheme="minorHAnsi" w:cstheme="minorHAnsi"/>
          <w:lang w:val="el-GR"/>
        </w:rPr>
        <w:t xml:space="preserve"> </w:t>
      </w:r>
      <w:r w:rsidR="00997117" w:rsidRPr="00466073">
        <w:rPr>
          <w:rFonts w:asciiTheme="minorHAnsi" w:hAnsiTheme="minorHAnsi" w:cstheme="minorHAnsi"/>
          <w:lang w:val="el-GR"/>
        </w:rPr>
        <w:t>Επισημαίνεται επίσης και η συνήθης πρακτική του μέσου Ούγγρου καταναλωτή να προτιμά τα εγχώρια αγροτικά προϊόντα έναντι των εισαγόμενων, συνήθως λόγω κόστους, αλά και νοοτροπίας.</w:t>
      </w:r>
    </w:p>
    <w:p w:rsidR="00E63306" w:rsidRPr="00466073" w:rsidRDefault="00E63306" w:rsidP="00E22BDD">
      <w:pPr>
        <w:widowControl w:val="0"/>
        <w:overflowPunct w:val="0"/>
        <w:autoSpaceDE w:val="0"/>
        <w:autoSpaceDN w:val="0"/>
        <w:adjustRightInd w:val="0"/>
        <w:spacing w:line="231" w:lineRule="auto"/>
        <w:jc w:val="both"/>
        <w:rPr>
          <w:rFonts w:asciiTheme="minorHAnsi" w:hAnsiTheme="minorHAnsi" w:cstheme="minorHAnsi"/>
          <w:lang w:val="el-GR"/>
        </w:rPr>
      </w:pPr>
    </w:p>
    <w:p w:rsidR="00D466AB" w:rsidRPr="00466073" w:rsidRDefault="007E06A2" w:rsidP="00E22BDD">
      <w:pPr>
        <w:widowControl w:val="0"/>
        <w:overflowPunct w:val="0"/>
        <w:autoSpaceDE w:val="0"/>
        <w:autoSpaceDN w:val="0"/>
        <w:adjustRightInd w:val="0"/>
        <w:spacing w:line="231" w:lineRule="auto"/>
        <w:jc w:val="both"/>
        <w:rPr>
          <w:rFonts w:asciiTheme="minorHAnsi" w:hAnsiTheme="minorHAnsi" w:cstheme="minorHAnsi"/>
          <w:lang w:val="el-GR"/>
        </w:rPr>
      </w:pPr>
      <w:r w:rsidRPr="00466073">
        <w:rPr>
          <w:rFonts w:asciiTheme="minorHAnsi" w:hAnsiTheme="minorHAnsi" w:cstheme="minorHAnsi"/>
          <w:lang w:val="el-GR"/>
        </w:rPr>
        <w:t xml:space="preserve">Στο παρακάτω γράφημα φαίνονται παραστατικά τα περιθώρια αύξησης των ελληνικών εξαγωγών ελιών στην Ουγγαρία. </w:t>
      </w:r>
    </w:p>
    <w:p w:rsidR="00D466AB" w:rsidRPr="00466073" w:rsidRDefault="00E63306" w:rsidP="00E22BDD">
      <w:pPr>
        <w:widowControl w:val="0"/>
        <w:overflowPunct w:val="0"/>
        <w:autoSpaceDE w:val="0"/>
        <w:autoSpaceDN w:val="0"/>
        <w:adjustRightInd w:val="0"/>
        <w:spacing w:line="231" w:lineRule="auto"/>
        <w:jc w:val="both"/>
        <w:rPr>
          <w:rFonts w:asciiTheme="minorHAnsi" w:hAnsiTheme="minorHAnsi" w:cstheme="minorHAnsi"/>
          <w:lang w:val="el-GR"/>
        </w:rPr>
      </w:pPr>
      <w:r w:rsidRPr="00466073">
        <w:rPr>
          <w:rFonts w:asciiTheme="minorHAnsi" w:hAnsiTheme="minorHAnsi" w:cstheme="minorHAnsi"/>
          <w:lang w:val="el-GR"/>
        </w:rPr>
        <w:t>_________________________________________________________________________</w:t>
      </w:r>
    </w:p>
    <w:p w:rsidR="00E63306" w:rsidRPr="00466073" w:rsidRDefault="00D466AB" w:rsidP="00E63306">
      <w:pPr>
        <w:widowControl w:val="0"/>
        <w:overflowPunct w:val="0"/>
        <w:autoSpaceDE w:val="0"/>
        <w:autoSpaceDN w:val="0"/>
        <w:adjustRightInd w:val="0"/>
        <w:spacing w:line="231" w:lineRule="auto"/>
        <w:jc w:val="both"/>
        <w:rPr>
          <w:rFonts w:asciiTheme="minorHAnsi" w:hAnsiTheme="minorHAnsi" w:cstheme="minorHAnsi"/>
        </w:rPr>
      </w:pPr>
      <w:r w:rsidRPr="00466073">
        <w:rPr>
          <w:rFonts w:asciiTheme="minorHAnsi" w:hAnsiTheme="minorHAnsi" w:cstheme="minorHAnsi"/>
          <w:noProof/>
        </w:rPr>
        <w:drawing>
          <wp:inline distT="0" distB="0" distL="0" distR="0">
            <wp:extent cx="5605373" cy="2700068"/>
            <wp:effectExtent l="19050" t="0" r="14377" b="5032"/>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63306" w:rsidRPr="00466073" w:rsidRDefault="00E63306" w:rsidP="00E63306">
      <w:pPr>
        <w:rPr>
          <w:rFonts w:asciiTheme="minorHAnsi" w:hAnsiTheme="minorHAnsi" w:cstheme="minorHAnsi"/>
          <w:lang w:val="el-GR"/>
        </w:rPr>
      </w:pPr>
      <w:r w:rsidRPr="00466073">
        <w:rPr>
          <w:rFonts w:asciiTheme="minorHAnsi" w:hAnsiTheme="minorHAnsi" w:cstheme="minorHAnsi"/>
          <w:lang w:val="el-GR"/>
        </w:rPr>
        <w:t>Πηγή : Εθνική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E63306" w:rsidRPr="00466073" w:rsidRDefault="00E63306" w:rsidP="00645FBB">
      <w:pPr>
        <w:jc w:val="both"/>
        <w:rPr>
          <w:rFonts w:asciiTheme="minorHAnsi" w:hAnsiTheme="minorHAnsi" w:cstheme="minorHAnsi"/>
          <w:lang w:val="el-GR"/>
        </w:rPr>
      </w:pPr>
    </w:p>
    <w:p w:rsidR="002F1819" w:rsidRPr="00466073" w:rsidRDefault="000079B8" w:rsidP="00645FBB">
      <w:pPr>
        <w:jc w:val="both"/>
        <w:rPr>
          <w:rFonts w:asciiTheme="minorHAnsi" w:hAnsiTheme="minorHAnsi" w:cstheme="minorHAnsi"/>
          <w:color w:val="000000"/>
          <w:lang w:val="el-GR"/>
        </w:rPr>
      </w:pPr>
      <w:r w:rsidRPr="00466073">
        <w:rPr>
          <w:rFonts w:asciiTheme="minorHAnsi" w:hAnsiTheme="minorHAnsi" w:cstheme="minorHAnsi"/>
          <w:lang w:val="el-GR"/>
        </w:rPr>
        <w:t>Είναι προφανές ότι εξαιτίας του έντονου ανταγωνισμού από χώρες με ομοειδή προϊόντα</w:t>
      </w:r>
      <w:r w:rsidR="00E63306" w:rsidRPr="00466073">
        <w:rPr>
          <w:rFonts w:asciiTheme="minorHAnsi" w:hAnsiTheme="minorHAnsi" w:cstheme="minorHAnsi"/>
          <w:lang w:val="el-GR"/>
        </w:rPr>
        <w:t xml:space="preserve"> (Ισπανία, Ιταλία)</w:t>
      </w:r>
      <w:r w:rsidRPr="00466073">
        <w:rPr>
          <w:rFonts w:asciiTheme="minorHAnsi" w:hAnsiTheme="minorHAnsi" w:cstheme="minorHAnsi"/>
          <w:lang w:val="el-GR"/>
        </w:rPr>
        <w:t>,</w:t>
      </w:r>
      <w:r w:rsidR="00E63306" w:rsidRPr="00466073">
        <w:rPr>
          <w:rFonts w:asciiTheme="minorHAnsi" w:hAnsiTheme="minorHAnsi" w:cstheme="minorHAnsi"/>
          <w:lang w:val="el-GR"/>
        </w:rPr>
        <w:t xml:space="preserve"> </w:t>
      </w:r>
      <w:r w:rsidRPr="00466073">
        <w:rPr>
          <w:rFonts w:asciiTheme="minorHAnsi" w:hAnsiTheme="minorHAnsi" w:cstheme="minorHAnsi"/>
          <w:lang w:val="el-GR"/>
        </w:rPr>
        <w:t>αλλά και των υψηλότερων τιμών των ελληνικών προϊόντων, οι ελληνικές εξαγωγές τυποποιημένων ειδών διατροφής (π.χ. ελιές, ελαιόλαδο, τυροκομικά, προϊόντα ΠΟΠ &amp; ΠΓΕ, κλπ) στην ουγγρική αγορά, καταλαμβάνουν σχετικά μικρά μερίδια αγοράς.</w:t>
      </w:r>
    </w:p>
    <w:p w:rsidR="002F1819" w:rsidRPr="00466073" w:rsidRDefault="002F1819" w:rsidP="002F1819">
      <w:pPr>
        <w:widowControl w:val="0"/>
        <w:autoSpaceDE w:val="0"/>
        <w:autoSpaceDN w:val="0"/>
        <w:adjustRightInd w:val="0"/>
        <w:rPr>
          <w:rFonts w:asciiTheme="minorHAnsi" w:hAnsiTheme="minorHAnsi" w:cstheme="minorHAnsi"/>
          <w:lang w:val="el-GR"/>
        </w:rPr>
      </w:pPr>
    </w:p>
    <w:p w:rsidR="002F1819" w:rsidRPr="00466073" w:rsidRDefault="002F1819" w:rsidP="002F1819">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 xml:space="preserve">Οι ανταγωνίστριες </w:t>
      </w:r>
      <w:r w:rsidR="000079B8" w:rsidRPr="00466073">
        <w:rPr>
          <w:rFonts w:asciiTheme="minorHAnsi" w:hAnsiTheme="minorHAnsi" w:cstheme="minorHAnsi"/>
          <w:lang w:val="el-GR"/>
        </w:rPr>
        <w:t xml:space="preserve">της </w:t>
      </w:r>
      <w:r w:rsidRPr="00466073">
        <w:rPr>
          <w:rFonts w:asciiTheme="minorHAnsi" w:hAnsiTheme="minorHAnsi" w:cstheme="minorHAnsi"/>
          <w:lang w:val="el-GR"/>
        </w:rPr>
        <w:t>Ελλάδα</w:t>
      </w:r>
      <w:r w:rsidR="000079B8" w:rsidRPr="00466073">
        <w:rPr>
          <w:rFonts w:asciiTheme="minorHAnsi" w:hAnsiTheme="minorHAnsi" w:cstheme="minorHAnsi"/>
          <w:lang w:val="el-GR"/>
        </w:rPr>
        <w:t>ς</w:t>
      </w:r>
      <w:r w:rsidRPr="00466073">
        <w:rPr>
          <w:rFonts w:asciiTheme="minorHAnsi" w:hAnsiTheme="minorHAnsi" w:cstheme="minorHAnsi"/>
          <w:lang w:val="el-GR"/>
        </w:rPr>
        <w:t xml:space="preserve"> χώρες, πρ</w:t>
      </w:r>
      <w:r w:rsidR="000079B8" w:rsidRPr="00466073">
        <w:rPr>
          <w:rFonts w:asciiTheme="minorHAnsi" w:hAnsiTheme="minorHAnsi" w:cstheme="minorHAnsi"/>
          <w:lang w:val="el-GR"/>
        </w:rPr>
        <w:t xml:space="preserve">οκειμένου να αυξήσουν τα μερίδιά </w:t>
      </w:r>
      <w:r w:rsidRPr="00466073">
        <w:rPr>
          <w:rFonts w:asciiTheme="minorHAnsi" w:hAnsiTheme="minorHAnsi" w:cstheme="minorHAnsi"/>
          <w:lang w:val="el-GR"/>
        </w:rPr>
        <w:t>του</w:t>
      </w:r>
      <w:r w:rsidR="000079B8" w:rsidRPr="00466073">
        <w:rPr>
          <w:rFonts w:asciiTheme="minorHAnsi" w:hAnsiTheme="minorHAnsi" w:cstheme="minorHAnsi"/>
          <w:lang w:val="el-GR"/>
        </w:rPr>
        <w:t>ς</w:t>
      </w:r>
      <w:r w:rsidRPr="00466073">
        <w:rPr>
          <w:rFonts w:asciiTheme="minorHAnsi" w:hAnsiTheme="minorHAnsi" w:cstheme="minorHAnsi"/>
          <w:lang w:val="el-GR"/>
        </w:rPr>
        <w:t xml:space="preserve"> στην </w:t>
      </w:r>
      <w:r w:rsidR="000079B8" w:rsidRPr="00466073">
        <w:rPr>
          <w:rFonts w:asciiTheme="minorHAnsi" w:hAnsiTheme="minorHAnsi" w:cstheme="minorHAnsi"/>
          <w:lang w:val="el-GR"/>
        </w:rPr>
        <w:t>ο</w:t>
      </w:r>
      <w:r w:rsidRPr="00466073">
        <w:rPr>
          <w:rFonts w:asciiTheme="minorHAnsi" w:hAnsiTheme="minorHAnsi" w:cstheme="minorHAnsi"/>
          <w:lang w:val="el-GR"/>
        </w:rPr>
        <w:t>υγγρ</w:t>
      </w:r>
      <w:r w:rsidR="000079B8" w:rsidRPr="00466073">
        <w:rPr>
          <w:rFonts w:asciiTheme="minorHAnsi" w:hAnsiTheme="minorHAnsi" w:cstheme="minorHAnsi"/>
          <w:lang w:val="el-GR"/>
        </w:rPr>
        <w:t xml:space="preserve">ική αγορά, </w:t>
      </w:r>
      <w:r w:rsidR="00D92521" w:rsidRPr="00466073">
        <w:rPr>
          <w:rFonts w:asciiTheme="minorHAnsi" w:hAnsiTheme="minorHAnsi" w:cstheme="minorHAnsi"/>
          <w:lang w:val="el-GR"/>
        </w:rPr>
        <w:t xml:space="preserve">προωθούν προϊόντα με ανταγωνιστικές τιμές και </w:t>
      </w:r>
      <w:r w:rsidRPr="00466073">
        <w:rPr>
          <w:rFonts w:asciiTheme="minorHAnsi" w:hAnsiTheme="minorHAnsi" w:cstheme="minorHAnsi"/>
          <w:lang w:val="el-GR"/>
        </w:rPr>
        <w:t xml:space="preserve">υιοθετούν συγκεκριμένες προωθητικές ενέργειες διαφήμισης και προβολής των προϊόντων </w:t>
      </w:r>
      <w:r w:rsidR="000079B8" w:rsidRPr="00466073">
        <w:rPr>
          <w:rFonts w:asciiTheme="minorHAnsi" w:hAnsiTheme="minorHAnsi" w:cstheme="minorHAnsi"/>
          <w:lang w:val="el-GR"/>
        </w:rPr>
        <w:t>τους,</w:t>
      </w:r>
      <w:r w:rsidRPr="00466073">
        <w:rPr>
          <w:rFonts w:asciiTheme="minorHAnsi" w:hAnsiTheme="minorHAnsi" w:cstheme="minorHAnsi"/>
          <w:lang w:val="el-GR"/>
        </w:rPr>
        <w:t xml:space="preserve"> οι οποίες περιλαμβάνουν μεταξύ άλλων:</w:t>
      </w:r>
    </w:p>
    <w:p w:rsidR="002F1819" w:rsidRPr="00466073" w:rsidRDefault="002F1819" w:rsidP="002F1819">
      <w:pPr>
        <w:widowControl w:val="0"/>
        <w:autoSpaceDE w:val="0"/>
        <w:autoSpaceDN w:val="0"/>
        <w:adjustRightInd w:val="0"/>
        <w:spacing w:line="2" w:lineRule="exact"/>
        <w:rPr>
          <w:rFonts w:asciiTheme="minorHAnsi" w:hAnsiTheme="minorHAnsi" w:cstheme="minorHAnsi"/>
          <w:lang w:val="el-GR"/>
        </w:rPr>
      </w:pPr>
    </w:p>
    <w:p w:rsidR="002F1819" w:rsidRPr="00466073" w:rsidRDefault="002F1819" w:rsidP="002F1819">
      <w:pPr>
        <w:widowControl w:val="0"/>
        <w:numPr>
          <w:ilvl w:val="0"/>
          <w:numId w:val="14"/>
        </w:numPr>
        <w:tabs>
          <w:tab w:val="clear" w:pos="720"/>
          <w:tab w:val="num" w:pos="270"/>
        </w:tabs>
        <w:overflowPunct w:val="0"/>
        <w:autoSpaceDE w:val="0"/>
        <w:autoSpaceDN w:val="0"/>
        <w:adjustRightInd w:val="0"/>
        <w:ind w:left="274" w:hanging="274"/>
        <w:jc w:val="both"/>
        <w:rPr>
          <w:rFonts w:asciiTheme="minorHAnsi" w:hAnsiTheme="minorHAnsi" w:cstheme="minorHAnsi"/>
          <w:lang w:val="el-GR"/>
        </w:rPr>
      </w:pPr>
      <w:r w:rsidRPr="00466073">
        <w:rPr>
          <w:rFonts w:asciiTheme="minorHAnsi" w:hAnsiTheme="minorHAnsi" w:cstheme="minorHAnsi"/>
          <w:lang w:val="el-GR"/>
        </w:rPr>
        <w:t>καταχωρήσεις στον έντυπο/ηλεκτρονικό τύπο και σε ιστοσελίδες (</w:t>
      </w:r>
      <w:r w:rsidRPr="00466073">
        <w:rPr>
          <w:rFonts w:asciiTheme="minorHAnsi" w:hAnsiTheme="minorHAnsi" w:cstheme="minorHAnsi"/>
        </w:rPr>
        <w:t>websites</w:t>
      </w:r>
      <w:r w:rsidRPr="00466073">
        <w:rPr>
          <w:rFonts w:asciiTheme="minorHAnsi" w:hAnsiTheme="minorHAnsi" w:cstheme="minorHAnsi"/>
          <w:lang w:val="el-GR"/>
        </w:rPr>
        <w:t xml:space="preserve">) </w:t>
      </w:r>
    </w:p>
    <w:p w:rsidR="002F1819" w:rsidRPr="00466073" w:rsidRDefault="002F1819" w:rsidP="002F1819">
      <w:pPr>
        <w:widowControl w:val="0"/>
        <w:numPr>
          <w:ilvl w:val="0"/>
          <w:numId w:val="14"/>
        </w:numPr>
        <w:tabs>
          <w:tab w:val="clear" w:pos="720"/>
          <w:tab w:val="num" w:pos="270"/>
        </w:tabs>
        <w:overflowPunct w:val="0"/>
        <w:autoSpaceDE w:val="0"/>
        <w:autoSpaceDN w:val="0"/>
        <w:adjustRightInd w:val="0"/>
        <w:ind w:left="274" w:hanging="274"/>
        <w:jc w:val="both"/>
        <w:rPr>
          <w:rFonts w:asciiTheme="minorHAnsi" w:hAnsiTheme="minorHAnsi" w:cstheme="minorHAnsi"/>
          <w:lang w:val="el-GR"/>
        </w:rPr>
      </w:pPr>
      <w:r w:rsidRPr="00466073">
        <w:rPr>
          <w:rFonts w:asciiTheme="minorHAnsi" w:hAnsiTheme="minorHAnsi" w:cstheme="minorHAnsi"/>
          <w:lang w:val="el-GR"/>
        </w:rPr>
        <w:t xml:space="preserve">συμπερίληψη στα διαφημιστικά φυλλάδια και πραγματοποίηση </w:t>
      </w:r>
      <w:proofErr w:type="spellStart"/>
      <w:r w:rsidRPr="00466073">
        <w:rPr>
          <w:rFonts w:asciiTheme="minorHAnsi" w:hAnsiTheme="minorHAnsi" w:cstheme="minorHAnsi"/>
          <w:lang w:val="el-GR"/>
        </w:rPr>
        <w:t>γευσιγνωσιών</w:t>
      </w:r>
      <w:proofErr w:type="spellEnd"/>
      <w:r w:rsidRPr="00466073">
        <w:rPr>
          <w:rFonts w:asciiTheme="minorHAnsi" w:hAnsiTheme="minorHAnsi" w:cstheme="minorHAnsi"/>
          <w:lang w:val="el-GR"/>
        </w:rPr>
        <w:t xml:space="preserve"> σε καταστήματα τροφίμων </w:t>
      </w:r>
    </w:p>
    <w:p w:rsidR="002F1819" w:rsidRPr="00466073" w:rsidRDefault="002F1819" w:rsidP="002F1819">
      <w:pPr>
        <w:widowControl w:val="0"/>
        <w:numPr>
          <w:ilvl w:val="0"/>
          <w:numId w:val="14"/>
        </w:numPr>
        <w:tabs>
          <w:tab w:val="clear" w:pos="720"/>
          <w:tab w:val="num" w:pos="270"/>
        </w:tabs>
        <w:overflowPunct w:val="0"/>
        <w:autoSpaceDE w:val="0"/>
        <w:autoSpaceDN w:val="0"/>
        <w:adjustRightInd w:val="0"/>
        <w:ind w:left="274" w:hanging="274"/>
        <w:jc w:val="both"/>
        <w:rPr>
          <w:rFonts w:asciiTheme="minorHAnsi" w:hAnsiTheme="minorHAnsi" w:cstheme="minorHAnsi"/>
          <w:lang w:val="el-GR"/>
        </w:rPr>
      </w:pPr>
      <w:proofErr w:type="spellStart"/>
      <w:r w:rsidRPr="00466073">
        <w:rPr>
          <w:rFonts w:asciiTheme="minorHAnsi" w:hAnsiTheme="minorHAnsi" w:cstheme="minorHAnsi"/>
          <w:lang w:val="el-GR"/>
        </w:rPr>
        <w:t>στοχευμένες</w:t>
      </w:r>
      <w:proofErr w:type="spellEnd"/>
      <w:r w:rsidRPr="00466073">
        <w:rPr>
          <w:rFonts w:asciiTheme="minorHAnsi" w:hAnsiTheme="minorHAnsi" w:cstheme="minorHAnsi"/>
          <w:lang w:val="el-GR"/>
        </w:rPr>
        <w:t xml:space="preserve"> δημοσιεύσεις σε κλαδικά περιοδικά </w:t>
      </w:r>
    </w:p>
    <w:p w:rsidR="002F1819" w:rsidRPr="00466073" w:rsidRDefault="002F1819" w:rsidP="002F1819">
      <w:pPr>
        <w:widowControl w:val="0"/>
        <w:numPr>
          <w:ilvl w:val="0"/>
          <w:numId w:val="14"/>
        </w:numPr>
        <w:tabs>
          <w:tab w:val="clear" w:pos="720"/>
          <w:tab w:val="num" w:pos="270"/>
        </w:tabs>
        <w:overflowPunct w:val="0"/>
        <w:autoSpaceDE w:val="0"/>
        <w:autoSpaceDN w:val="0"/>
        <w:adjustRightInd w:val="0"/>
        <w:ind w:left="274" w:hanging="274"/>
        <w:jc w:val="both"/>
        <w:rPr>
          <w:rFonts w:asciiTheme="minorHAnsi" w:hAnsiTheme="minorHAnsi" w:cstheme="minorHAnsi"/>
          <w:lang w:val="el-GR"/>
        </w:rPr>
      </w:pPr>
      <w:r w:rsidRPr="00466073">
        <w:rPr>
          <w:rFonts w:asciiTheme="minorHAnsi" w:hAnsiTheme="minorHAnsi" w:cstheme="minorHAnsi"/>
          <w:lang w:val="el-GR"/>
        </w:rPr>
        <w:t>πρόσκληση φιλοξενίας των αρμοδίων αγοραστών (</w:t>
      </w:r>
      <w:r w:rsidRPr="00466073">
        <w:rPr>
          <w:rFonts w:asciiTheme="minorHAnsi" w:hAnsiTheme="minorHAnsi" w:cstheme="minorHAnsi"/>
        </w:rPr>
        <w:t>Buyers</w:t>
      </w:r>
      <w:r w:rsidRPr="00466073">
        <w:rPr>
          <w:rFonts w:asciiTheme="minorHAnsi" w:hAnsiTheme="minorHAnsi" w:cstheme="minorHAnsi"/>
          <w:lang w:val="el-GR"/>
        </w:rPr>
        <w:t>) από τη χώρα προέλευσης και παραγωγής των προϊόντων τροφίμων</w:t>
      </w:r>
    </w:p>
    <w:p w:rsidR="002F1819" w:rsidRPr="00466073" w:rsidRDefault="002F1819" w:rsidP="002F1819">
      <w:pPr>
        <w:widowControl w:val="0"/>
        <w:numPr>
          <w:ilvl w:val="0"/>
          <w:numId w:val="14"/>
        </w:numPr>
        <w:tabs>
          <w:tab w:val="clear" w:pos="720"/>
          <w:tab w:val="num" w:pos="270"/>
        </w:tabs>
        <w:overflowPunct w:val="0"/>
        <w:autoSpaceDE w:val="0"/>
        <w:autoSpaceDN w:val="0"/>
        <w:adjustRightInd w:val="0"/>
        <w:ind w:left="274" w:hanging="274"/>
        <w:jc w:val="both"/>
        <w:rPr>
          <w:rFonts w:asciiTheme="minorHAnsi" w:hAnsiTheme="minorHAnsi" w:cstheme="minorHAnsi"/>
          <w:lang w:val="el-GR"/>
        </w:rPr>
      </w:pPr>
      <w:r w:rsidRPr="00466073">
        <w:rPr>
          <w:rFonts w:asciiTheme="minorHAnsi" w:hAnsiTheme="minorHAnsi" w:cstheme="minorHAnsi"/>
          <w:lang w:val="el-GR"/>
        </w:rPr>
        <w:t>συμμετοχή σε εξειδικευμένες κλαδικές εκθέσεις αγροτικών προϊόντων τροφίμων</w:t>
      </w:r>
    </w:p>
    <w:p w:rsidR="002F1819" w:rsidRPr="00466073" w:rsidRDefault="002F1819" w:rsidP="002F1819">
      <w:pPr>
        <w:widowControl w:val="0"/>
        <w:numPr>
          <w:ilvl w:val="0"/>
          <w:numId w:val="14"/>
        </w:numPr>
        <w:tabs>
          <w:tab w:val="clear" w:pos="720"/>
          <w:tab w:val="num" w:pos="270"/>
        </w:tabs>
        <w:overflowPunct w:val="0"/>
        <w:autoSpaceDE w:val="0"/>
        <w:autoSpaceDN w:val="0"/>
        <w:adjustRightInd w:val="0"/>
        <w:ind w:left="274" w:hanging="274"/>
        <w:jc w:val="both"/>
        <w:rPr>
          <w:rFonts w:asciiTheme="minorHAnsi" w:hAnsiTheme="minorHAnsi" w:cstheme="minorHAnsi"/>
          <w:lang w:val="el-GR"/>
        </w:rPr>
      </w:pPr>
      <w:r w:rsidRPr="00466073">
        <w:rPr>
          <w:rFonts w:asciiTheme="minorHAnsi" w:hAnsiTheme="minorHAnsi" w:cstheme="minorHAnsi"/>
          <w:lang w:val="el-GR"/>
        </w:rPr>
        <w:t xml:space="preserve">εκδηλώσεις προβολής  και προώθησης (π.χ. εβδομάδα προσφορών) σε καταστήματα τροφίμων </w:t>
      </w:r>
    </w:p>
    <w:p w:rsidR="002F1819" w:rsidRPr="00466073" w:rsidRDefault="002F1819" w:rsidP="002F1819">
      <w:pPr>
        <w:widowControl w:val="0"/>
        <w:numPr>
          <w:ilvl w:val="0"/>
          <w:numId w:val="14"/>
        </w:numPr>
        <w:tabs>
          <w:tab w:val="clear" w:pos="720"/>
          <w:tab w:val="num" w:pos="270"/>
        </w:tabs>
        <w:overflowPunct w:val="0"/>
        <w:autoSpaceDE w:val="0"/>
        <w:autoSpaceDN w:val="0"/>
        <w:adjustRightInd w:val="0"/>
        <w:ind w:left="274" w:hanging="274"/>
        <w:jc w:val="both"/>
        <w:rPr>
          <w:rFonts w:asciiTheme="minorHAnsi" w:hAnsiTheme="minorHAnsi" w:cstheme="minorHAnsi"/>
          <w:lang w:val="el-GR"/>
        </w:rPr>
      </w:pPr>
      <w:r w:rsidRPr="00466073">
        <w:rPr>
          <w:rFonts w:asciiTheme="minorHAnsi" w:hAnsiTheme="minorHAnsi" w:cstheme="minorHAnsi"/>
          <w:lang w:val="el-GR"/>
        </w:rPr>
        <w:t xml:space="preserve">ενημερωτικές εκδηλώσεις για επαγγελματίες (εισαγωγείς, διανομείς, </w:t>
      </w:r>
      <w:r w:rsidRPr="00466073">
        <w:rPr>
          <w:rFonts w:asciiTheme="minorHAnsi" w:hAnsiTheme="minorHAnsi" w:cstheme="minorHAnsi"/>
        </w:rPr>
        <w:t>buyers</w:t>
      </w:r>
      <w:r w:rsidRPr="00466073">
        <w:rPr>
          <w:rFonts w:asciiTheme="minorHAnsi" w:hAnsiTheme="minorHAnsi" w:cstheme="minorHAnsi"/>
          <w:lang w:val="el-GR"/>
        </w:rPr>
        <w:t>).</w:t>
      </w:r>
    </w:p>
    <w:p w:rsidR="002F1819" w:rsidRPr="00466073" w:rsidRDefault="002F1819" w:rsidP="00645FBB">
      <w:pPr>
        <w:jc w:val="both"/>
        <w:rPr>
          <w:rFonts w:asciiTheme="minorHAnsi" w:hAnsiTheme="minorHAnsi" w:cstheme="minorHAnsi"/>
          <w:color w:val="000000"/>
          <w:lang w:val="el-GR"/>
        </w:rPr>
      </w:pPr>
    </w:p>
    <w:p w:rsidR="00670E3C" w:rsidRPr="00466073" w:rsidRDefault="00670E3C" w:rsidP="00670E3C">
      <w:pPr>
        <w:widowControl w:val="0"/>
        <w:overflowPunct w:val="0"/>
        <w:autoSpaceDE w:val="0"/>
        <w:autoSpaceDN w:val="0"/>
        <w:adjustRightInd w:val="0"/>
        <w:spacing w:line="231" w:lineRule="auto"/>
        <w:jc w:val="both"/>
        <w:rPr>
          <w:rFonts w:asciiTheme="minorHAnsi" w:hAnsiTheme="minorHAnsi" w:cstheme="minorHAnsi"/>
          <w:lang w:val="el-GR"/>
        </w:rPr>
      </w:pPr>
      <w:r w:rsidRPr="00466073">
        <w:rPr>
          <w:rFonts w:asciiTheme="minorHAnsi" w:hAnsiTheme="minorHAnsi" w:cstheme="minorHAnsi"/>
          <w:b/>
          <w:lang w:val="el-GR"/>
        </w:rPr>
        <w:t>Συγκριτικό πλεονέκτημα για τα ελληνικά αγροτικά προϊόντα</w:t>
      </w:r>
      <w:r w:rsidR="00D92521" w:rsidRPr="00466073">
        <w:rPr>
          <w:rFonts w:asciiTheme="minorHAnsi" w:hAnsiTheme="minorHAnsi" w:cstheme="minorHAnsi"/>
          <w:b/>
          <w:lang w:val="el-GR"/>
        </w:rPr>
        <w:t xml:space="preserve"> τροφίμων</w:t>
      </w:r>
      <w:r w:rsidRPr="00466073">
        <w:rPr>
          <w:rFonts w:asciiTheme="minorHAnsi" w:hAnsiTheme="minorHAnsi" w:cstheme="minorHAnsi"/>
          <w:b/>
          <w:lang w:val="el-GR"/>
        </w:rPr>
        <w:t>,</w:t>
      </w:r>
      <w:r w:rsidRPr="00466073">
        <w:rPr>
          <w:rFonts w:asciiTheme="minorHAnsi" w:hAnsiTheme="minorHAnsi" w:cstheme="minorHAnsi"/>
          <w:lang w:val="el-GR"/>
        </w:rPr>
        <w:t xml:space="preserve"> το οποίο και πρέπει να αξιοποιούν οι Έλληνες εξαγωγείς, αποτελεί η πρώιμη παραγωγή, έναντι της ουγγρικής, κυρίως για κηπευτικά/λαχανικά (ντομάτες, αγγούρια, λάχανα, μαρούλια, σπαράγγια) και φρούτα (λεμόνια, μανταρίνια, ακτινίδια, βερίκοκα, σουλτανίνα, καρπούζια). Προοπτικές διείσδυσης στην ουγγρική αγορά παρουσιάζουν επίσης οι ξηροί καρποί, τα όσπρια (φακές, φασόλια) και διάφορα κατεψυγμένα λαχανικά (αρακάς, καρότο, μπρόκολο, σπανάκι, κουνουπίδι).</w:t>
      </w:r>
    </w:p>
    <w:p w:rsidR="00997117" w:rsidRPr="00466073" w:rsidRDefault="00997117" w:rsidP="00645FBB">
      <w:pPr>
        <w:jc w:val="both"/>
        <w:rPr>
          <w:rFonts w:asciiTheme="minorHAnsi" w:hAnsiTheme="minorHAnsi" w:cstheme="minorHAnsi"/>
          <w:color w:val="000000"/>
          <w:lang w:val="el-GR"/>
        </w:rPr>
      </w:pPr>
    </w:p>
    <w:p w:rsidR="00E63306" w:rsidRPr="00466073" w:rsidRDefault="00E63306" w:rsidP="00645FBB">
      <w:pPr>
        <w:jc w:val="both"/>
        <w:rPr>
          <w:rFonts w:asciiTheme="minorHAnsi" w:hAnsiTheme="minorHAnsi" w:cstheme="minorHAnsi"/>
          <w:b/>
          <w:color w:val="000000" w:themeColor="text1"/>
          <w:lang w:val="el-GR"/>
        </w:rPr>
      </w:pPr>
    </w:p>
    <w:p w:rsidR="00C20A17" w:rsidRPr="00466073" w:rsidRDefault="00310AF6" w:rsidP="00645FBB">
      <w:pPr>
        <w:jc w:val="both"/>
        <w:rPr>
          <w:rFonts w:asciiTheme="minorHAnsi" w:hAnsiTheme="minorHAnsi" w:cstheme="minorHAnsi"/>
          <w:b/>
          <w:color w:val="000000" w:themeColor="text1"/>
          <w:lang w:val="el-GR"/>
        </w:rPr>
      </w:pPr>
      <w:r w:rsidRPr="00466073">
        <w:rPr>
          <w:rFonts w:asciiTheme="minorHAnsi" w:hAnsiTheme="minorHAnsi" w:cstheme="minorHAnsi"/>
          <w:b/>
          <w:color w:val="000000" w:themeColor="text1"/>
          <w:lang w:val="el-GR"/>
        </w:rPr>
        <w:t>ΚΕΦΑΛΑΙΟ 30</w:t>
      </w:r>
    </w:p>
    <w:p w:rsidR="00E63306" w:rsidRPr="00466073" w:rsidRDefault="00E63306" w:rsidP="004020BC">
      <w:pPr>
        <w:jc w:val="both"/>
        <w:rPr>
          <w:rFonts w:asciiTheme="minorHAnsi" w:hAnsiTheme="minorHAnsi" w:cstheme="minorHAnsi"/>
          <w:lang w:val="el-GR"/>
        </w:rPr>
      </w:pPr>
    </w:p>
    <w:p w:rsidR="004020BC" w:rsidRPr="00466073" w:rsidRDefault="004020BC" w:rsidP="004020BC">
      <w:pPr>
        <w:jc w:val="both"/>
        <w:rPr>
          <w:rFonts w:asciiTheme="minorHAnsi" w:hAnsiTheme="minorHAnsi" w:cstheme="minorHAnsi"/>
          <w:lang w:val="el-GR"/>
        </w:rPr>
      </w:pPr>
      <w:r w:rsidRPr="00466073">
        <w:rPr>
          <w:rFonts w:asciiTheme="minorHAnsi" w:hAnsiTheme="minorHAnsi" w:cstheme="minorHAnsi"/>
          <w:lang w:val="el-GR"/>
        </w:rPr>
        <w:t xml:space="preserve">Είναι αξιοσημείωτο ότι μέχρι και το 2009 η Ελλάδα διατηρούσε θετικό εμπορικό ισοζύγιο με την Ουγγαρία, με τις ελληνικές εξαγωγές φαρμακευτικών προϊόντων να έχουν ανοδική τάση. Παρά το γεγονός ότι η τάση αυτή συνεχίστηκε μέχρι και το 2011 (αν και με φθίνοντα ρυθμό), οι ουγγρικές εξαγωγές φαρμακευτικών προϊόντων στην Ελλάδα εκτινάχθηκαν και το 2010 ξεπέρασαν σε αξία τις ελληνικές. Το 2012, οι ελληνικές εξαγωγές σημείωσαν κάμψη, όμως οι αντίστοιχες ουγγρικές συνέχισαν την ανοδική τους πορεία. Από το 2009 μέχρι και το 2017, οι ουγγρικές εξαγωγές έχουν </w:t>
      </w:r>
      <w:proofErr w:type="spellStart"/>
      <w:r w:rsidRPr="00466073">
        <w:rPr>
          <w:rFonts w:asciiTheme="minorHAnsi" w:hAnsiTheme="minorHAnsi" w:cstheme="minorHAnsi"/>
          <w:lang w:val="el-GR"/>
        </w:rPr>
        <w:t>υπερ</w:t>
      </w:r>
      <w:proofErr w:type="spellEnd"/>
      <w:r w:rsidRPr="00466073">
        <w:rPr>
          <w:rFonts w:asciiTheme="minorHAnsi" w:hAnsiTheme="minorHAnsi" w:cstheme="minorHAnsi"/>
          <w:lang w:val="el-GR"/>
        </w:rPr>
        <w:t>-δεκαπλασιαστεί σε αξία. Οι ελληνικές εξαγωγές, άρχισαν να ανακάμπτουν και πάλι το 2015 και μέχρι το 2020 (με εξαίρεση το έτος 2018) ακολουθούν ανοδική πορεία. Εντούτοις, ο</w:t>
      </w:r>
      <w:r w:rsidR="00182E17" w:rsidRPr="00466073">
        <w:rPr>
          <w:rFonts w:asciiTheme="minorHAnsi" w:hAnsiTheme="minorHAnsi" w:cstheme="minorHAnsi"/>
          <w:lang w:val="el-GR"/>
        </w:rPr>
        <w:t xml:space="preserve"> λόγος εισαγωγών/εξαγωγών ήταν </w:t>
      </w:r>
      <w:r w:rsidRPr="00466073">
        <w:rPr>
          <w:rFonts w:asciiTheme="minorHAnsi" w:hAnsiTheme="minorHAnsi" w:cstheme="minorHAnsi"/>
          <w:lang w:val="el-GR"/>
        </w:rPr>
        <w:t xml:space="preserve">σχεδόν 3:1 υπέρ της Ουγγαρίας. </w:t>
      </w:r>
    </w:p>
    <w:p w:rsidR="004020BC" w:rsidRPr="00466073" w:rsidRDefault="004020BC" w:rsidP="00645FBB">
      <w:pPr>
        <w:jc w:val="both"/>
        <w:rPr>
          <w:rFonts w:asciiTheme="minorHAnsi" w:hAnsiTheme="minorHAnsi" w:cstheme="minorHAnsi"/>
          <w:lang w:val="el-GR"/>
        </w:rPr>
      </w:pPr>
    </w:p>
    <w:p w:rsidR="00D45368" w:rsidRPr="00466073" w:rsidRDefault="00F66C84" w:rsidP="00F66C84">
      <w:pPr>
        <w:jc w:val="center"/>
        <w:rPr>
          <w:rFonts w:asciiTheme="minorHAnsi" w:hAnsiTheme="minorHAnsi" w:cstheme="minorHAnsi"/>
          <w:b/>
          <w:lang w:val="el-GR"/>
        </w:rPr>
      </w:pPr>
      <w:r w:rsidRPr="00466073">
        <w:rPr>
          <w:rFonts w:asciiTheme="minorHAnsi" w:hAnsiTheme="minorHAnsi" w:cstheme="minorHAnsi"/>
          <w:b/>
          <w:lang w:val="el-GR"/>
        </w:rPr>
        <w:t>Εξωτερικό εμπόριο Ουγγαρίας-Ελλάδος (Φαρμακευτικά προϊόντα – Σ.Ο.30)</w:t>
      </w:r>
    </w:p>
    <w:tbl>
      <w:tblPr>
        <w:tblStyle w:val="TableGrid"/>
        <w:tblW w:w="10063" w:type="dxa"/>
        <w:tblInd w:w="108" w:type="dxa"/>
        <w:tblLook w:val="04A0"/>
      </w:tblPr>
      <w:tblGrid>
        <w:gridCol w:w="1279"/>
        <w:gridCol w:w="1098"/>
        <w:gridCol w:w="1098"/>
        <w:gridCol w:w="1098"/>
        <w:gridCol w:w="1098"/>
        <w:gridCol w:w="1098"/>
        <w:gridCol w:w="1098"/>
        <w:gridCol w:w="1098"/>
        <w:gridCol w:w="1098"/>
      </w:tblGrid>
      <w:tr w:rsidR="00181094" w:rsidRPr="00466073" w:rsidTr="00181094">
        <w:tc>
          <w:tcPr>
            <w:tcW w:w="1135" w:type="dxa"/>
            <w:tcBorders>
              <w:top w:val="double" w:sz="4" w:space="0" w:color="auto"/>
              <w:left w:val="double" w:sz="4" w:space="0" w:color="auto"/>
              <w:bottom w:val="double" w:sz="4" w:space="0" w:color="auto"/>
              <w:right w:val="double" w:sz="4" w:space="0" w:color="auto"/>
            </w:tcBorders>
          </w:tcPr>
          <w:p w:rsidR="00181094" w:rsidRPr="00466073" w:rsidRDefault="00181094" w:rsidP="00645FBB">
            <w:pPr>
              <w:jc w:val="both"/>
              <w:rPr>
                <w:rFonts w:asciiTheme="minorHAnsi" w:hAnsiTheme="minorHAnsi" w:cstheme="minorHAnsi"/>
                <w:lang w:val="el-GR"/>
              </w:rPr>
            </w:pPr>
            <w:r w:rsidRPr="00466073">
              <w:rPr>
                <w:rFonts w:asciiTheme="minorHAnsi" w:hAnsiTheme="minorHAnsi" w:cstheme="minorHAnsi"/>
                <w:lang w:val="el-GR"/>
              </w:rPr>
              <w:t>Σε  €</w:t>
            </w:r>
          </w:p>
        </w:tc>
        <w:tc>
          <w:tcPr>
            <w:tcW w:w="1116" w:type="dxa"/>
            <w:tcBorders>
              <w:top w:val="double" w:sz="4" w:space="0" w:color="auto"/>
              <w:bottom w:val="double" w:sz="4" w:space="0" w:color="auto"/>
            </w:tcBorders>
          </w:tcPr>
          <w:p w:rsidR="00181094" w:rsidRPr="00466073" w:rsidRDefault="00181094" w:rsidP="00A719AA">
            <w:pPr>
              <w:jc w:val="center"/>
              <w:rPr>
                <w:rFonts w:asciiTheme="minorHAnsi" w:hAnsiTheme="minorHAnsi" w:cstheme="minorHAnsi"/>
                <w:b/>
                <w:lang w:val="el-GR"/>
              </w:rPr>
            </w:pPr>
            <w:r w:rsidRPr="00466073">
              <w:rPr>
                <w:rFonts w:asciiTheme="minorHAnsi" w:hAnsiTheme="minorHAnsi" w:cstheme="minorHAnsi"/>
                <w:b/>
                <w:lang w:val="el-GR"/>
              </w:rPr>
              <w:t>2015</w:t>
            </w:r>
          </w:p>
        </w:tc>
        <w:tc>
          <w:tcPr>
            <w:tcW w:w="1116" w:type="dxa"/>
            <w:tcBorders>
              <w:top w:val="double" w:sz="4" w:space="0" w:color="auto"/>
              <w:bottom w:val="double" w:sz="4" w:space="0" w:color="auto"/>
            </w:tcBorders>
          </w:tcPr>
          <w:p w:rsidR="00181094" w:rsidRPr="00466073" w:rsidRDefault="00181094" w:rsidP="00A719AA">
            <w:pPr>
              <w:jc w:val="center"/>
              <w:rPr>
                <w:rFonts w:asciiTheme="minorHAnsi" w:hAnsiTheme="minorHAnsi" w:cstheme="minorHAnsi"/>
                <w:b/>
                <w:lang w:val="el-GR"/>
              </w:rPr>
            </w:pPr>
            <w:r w:rsidRPr="00466073">
              <w:rPr>
                <w:rFonts w:asciiTheme="minorHAnsi" w:hAnsiTheme="minorHAnsi" w:cstheme="minorHAnsi"/>
                <w:b/>
                <w:lang w:val="el-GR"/>
              </w:rPr>
              <w:t>2016</w:t>
            </w:r>
          </w:p>
        </w:tc>
        <w:tc>
          <w:tcPr>
            <w:tcW w:w="1116" w:type="dxa"/>
            <w:tcBorders>
              <w:top w:val="double" w:sz="4" w:space="0" w:color="auto"/>
              <w:bottom w:val="double" w:sz="4" w:space="0" w:color="auto"/>
            </w:tcBorders>
          </w:tcPr>
          <w:p w:rsidR="00181094" w:rsidRPr="00466073" w:rsidRDefault="00181094" w:rsidP="00A719AA">
            <w:pPr>
              <w:jc w:val="center"/>
              <w:rPr>
                <w:rFonts w:asciiTheme="minorHAnsi" w:hAnsiTheme="minorHAnsi" w:cstheme="minorHAnsi"/>
                <w:b/>
                <w:lang w:val="el-GR"/>
              </w:rPr>
            </w:pPr>
            <w:r w:rsidRPr="00466073">
              <w:rPr>
                <w:rFonts w:asciiTheme="minorHAnsi" w:hAnsiTheme="minorHAnsi" w:cstheme="minorHAnsi"/>
                <w:b/>
                <w:lang w:val="el-GR"/>
              </w:rPr>
              <w:t>2017</w:t>
            </w:r>
          </w:p>
        </w:tc>
        <w:tc>
          <w:tcPr>
            <w:tcW w:w="1116" w:type="dxa"/>
            <w:tcBorders>
              <w:top w:val="double" w:sz="4" w:space="0" w:color="auto"/>
              <w:bottom w:val="double" w:sz="4" w:space="0" w:color="auto"/>
            </w:tcBorders>
          </w:tcPr>
          <w:p w:rsidR="00181094" w:rsidRPr="00466073" w:rsidRDefault="00181094" w:rsidP="00A719AA">
            <w:pPr>
              <w:jc w:val="center"/>
              <w:rPr>
                <w:rFonts w:asciiTheme="minorHAnsi" w:hAnsiTheme="minorHAnsi" w:cstheme="minorHAnsi"/>
                <w:b/>
              </w:rPr>
            </w:pPr>
            <w:r w:rsidRPr="00466073">
              <w:rPr>
                <w:rFonts w:asciiTheme="minorHAnsi" w:hAnsiTheme="minorHAnsi" w:cstheme="minorHAnsi"/>
                <w:b/>
              </w:rPr>
              <w:t>2018</w:t>
            </w:r>
          </w:p>
        </w:tc>
        <w:tc>
          <w:tcPr>
            <w:tcW w:w="1116" w:type="dxa"/>
            <w:tcBorders>
              <w:top w:val="double" w:sz="4" w:space="0" w:color="auto"/>
              <w:bottom w:val="double" w:sz="4" w:space="0" w:color="auto"/>
            </w:tcBorders>
          </w:tcPr>
          <w:p w:rsidR="00181094" w:rsidRPr="00466073" w:rsidRDefault="00181094" w:rsidP="00A719AA">
            <w:pPr>
              <w:jc w:val="center"/>
              <w:rPr>
                <w:rFonts w:asciiTheme="minorHAnsi" w:hAnsiTheme="minorHAnsi" w:cstheme="minorHAnsi"/>
                <w:b/>
                <w:lang w:val="el-GR"/>
              </w:rPr>
            </w:pPr>
            <w:r w:rsidRPr="00466073">
              <w:rPr>
                <w:rFonts w:asciiTheme="minorHAnsi" w:hAnsiTheme="minorHAnsi" w:cstheme="minorHAnsi"/>
                <w:b/>
              </w:rPr>
              <w:t>2019</w:t>
            </w:r>
          </w:p>
        </w:tc>
        <w:tc>
          <w:tcPr>
            <w:tcW w:w="1116" w:type="dxa"/>
            <w:tcBorders>
              <w:top w:val="double" w:sz="4" w:space="0" w:color="auto"/>
              <w:bottom w:val="double" w:sz="4" w:space="0" w:color="auto"/>
            </w:tcBorders>
          </w:tcPr>
          <w:p w:rsidR="00181094" w:rsidRPr="00466073" w:rsidRDefault="00181094" w:rsidP="00A719AA">
            <w:pPr>
              <w:jc w:val="center"/>
              <w:rPr>
                <w:rFonts w:asciiTheme="minorHAnsi" w:hAnsiTheme="minorHAnsi" w:cstheme="minorHAnsi"/>
                <w:b/>
                <w:lang w:val="el-GR"/>
              </w:rPr>
            </w:pPr>
            <w:r w:rsidRPr="00466073">
              <w:rPr>
                <w:rFonts w:asciiTheme="minorHAnsi" w:hAnsiTheme="minorHAnsi" w:cstheme="minorHAnsi"/>
                <w:b/>
                <w:lang w:val="el-GR"/>
              </w:rPr>
              <w:t>2020</w:t>
            </w:r>
          </w:p>
        </w:tc>
        <w:tc>
          <w:tcPr>
            <w:tcW w:w="1116" w:type="dxa"/>
            <w:tcBorders>
              <w:top w:val="double" w:sz="4" w:space="0" w:color="auto"/>
              <w:bottom w:val="double" w:sz="4" w:space="0" w:color="auto"/>
            </w:tcBorders>
          </w:tcPr>
          <w:p w:rsidR="00181094" w:rsidRPr="00466073" w:rsidRDefault="00181094" w:rsidP="00A719AA">
            <w:pPr>
              <w:jc w:val="center"/>
              <w:rPr>
                <w:rFonts w:asciiTheme="minorHAnsi" w:hAnsiTheme="minorHAnsi" w:cstheme="minorHAnsi"/>
                <w:b/>
              </w:rPr>
            </w:pPr>
            <w:r w:rsidRPr="00466073">
              <w:rPr>
                <w:rFonts w:asciiTheme="minorHAnsi" w:hAnsiTheme="minorHAnsi" w:cstheme="minorHAnsi"/>
                <w:b/>
                <w:lang w:val="el-GR"/>
              </w:rPr>
              <w:t>202</w:t>
            </w:r>
            <w:r w:rsidRPr="00466073">
              <w:rPr>
                <w:rFonts w:asciiTheme="minorHAnsi" w:hAnsiTheme="minorHAnsi" w:cstheme="minorHAnsi"/>
                <w:b/>
              </w:rPr>
              <w:t>1</w:t>
            </w:r>
          </w:p>
        </w:tc>
        <w:tc>
          <w:tcPr>
            <w:tcW w:w="1116" w:type="dxa"/>
            <w:tcBorders>
              <w:top w:val="double" w:sz="4" w:space="0" w:color="auto"/>
              <w:bottom w:val="double" w:sz="4" w:space="0" w:color="auto"/>
            </w:tcBorders>
          </w:tcPr>
          <w:p w:rsidR="00181094" w:rsidRPr="00466073" w:rsidRDefault="00181094" w:rsidP="0033714C">
            <w:pPr>
              <w:jc w:val="center"/>
              <w:rPr>
                <w:rFonts w:asciiTheme="minorHAnsi" w:hAnsiTheme="minorHAnsi" w:cstheme="minorHAnsi"/>
                <w:b/>
              </w:rPr>
            </w:pPr>
            <w:r w:rsidRPr="00466073">
              <w:rPr>
                <w:rFonts w:asciiTheme="minorHAnsi" w:hAnsiTheme="minorHAnsi" w:cstheme="minorHAnsi"/>
                <w:b/>
                <w:lang w:val="el-GR"/>
              </w:rPr>
              <w:t>202</w:t>
            </w:r>
            <w:r w:rsidRPr="00466073">
              <w:rPr>
                <w:rFonts w:asciiTheme="minorHAnsi" w:hAnsiTheme="minorHAnsi" w:cstheme="minorHAnsi"/>
                <w:b/>
              </w:rPr>
              <w:t>2</w:t>
            </w:r>
          </w:p>
        </w:tc>
      </w:tr>
      <w:tr w:rsidR="00181094" w:rsidRPr="00466073" w:rsidTr="00181094">
        <w:tc>
          <w:tcPr>
            <w:tcW w:w="1135" w:type="dxa"/>
            <w:tcBorders>
              <w:top w:val="double" w:sz="4" w:space="0" w:color="auto"/>
              <w:left w:val="double" w:sz="4" w:space="0" w:color="auto"/>
              <w:right w:val="double" w:sz="4" w:space="0" w:color="auto"/>
            </w:tcBorders>
          </w:tcPr>
          <w:p w:rsidR="00181094" w:rsidRPr="00466073" w:rsidRDefault="00181094" w:rsidP="00645FBB">
            <w:pPr>
              <w:jc w:val="both"/>
              <w:rPr>
                <w:rFonts w:asciiTheme="minorHAnsi" w:hAnsiTheme="minorHAnsi" w:cstheme="minorHAnsi"/>
                <w:lang w:val="el-GR"/>
              </w:rPr>
            </w:pPr>
            <w:proofErr w:type="spellStart"/>
            <w:r w:rsidRPr="00466073">
              <w:rPr>
                <w:rFonts w:asciiTheme="minorHAnsi" w:eastAsia="Arial Unicode MS" w:hAnsiTheme="minorHAnsi" w:cstheme="minorHAnsi"/>
                <w:b/>
                <w:bCs/>
              </w:rPr>
              <w:t>Εξαγωγές</w:t>
            </w:r>
            <w:proofErr w:type="spellEnd"/>
            <w:r w:rsidRPr="00466073">
              <w:rPr>
                <w:rFonts w:asciiTheme="minorHAnsi" w:eastAsia="Arial Unicode MS" w:hAnsiTheme="minorHAnsi" w:cstheme="minorHAnsi"/>
                <w:b/>
                <w:bCs/>
                <w:lang w:val="el-GR"/>
              </w:rPr>
              <w:t xml:space="preserve"> στην Ελλάδα</w:t>
            </w:r>
          </w:p>
        </w:tc>
        <w:tc>
          <w:tcPr>
            <w:tcW w:w="1116" w:type="dxa"/>
            <w:tcBorders>
              <w:top w:val="double" w:sz="4" w:space="0" w:color="auto"/>
            </w:tcBorders>
          </w:tcPr>
          <w:p w:rsidR="00181094" w:rsidRPr="0095699B" w:rsidRDefault="00181094" w:rsidP="00A719AA">
            <w:pPr>
              <w:jc w:val="right"/>
              <w:rPr>
                <w:rFonts w:asciiTheme="minorHAnsi" w:hAnsiTheme="minorHAnsi" w:cstheme="minorHAnsi"/>
                <w:sz w:val="18"/>
                <w:szCs w:val="18"/>
                <w:lang w:val="el-GR"/>
              </w:rPr>
            </w:pPr>
            <w:r w:rsidRPr="0095699B">
              <w:rPr>
                <w:rFonts w:asciiTheme="minorHAnsi" w:hAnsiTheme="minorHAnsi" w:cstheme="minorHAnsi"/>
                <w:sz w:val="18"/>
                <w:szCs w:val="18"/>
              </w:rPr>
              <w:t>33</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025</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461</w:t>
            </w:r>
          </w:p>
        </w:tc>
        <w:tc>
          <w:tcPr>
            <w:tcW w:w="1116" w:type="dxa"/>
            <w:tcBorders>
              <w:top w:val="double" w:sz="4" w:space="0" w:color="auto"/>
            </w:tcBorders>
          </w:tcPr>
          <w:p w:rsidR="00181094" w:rsidRPr="0095699B" w:rsidRDefault="00181094" w:rsidP="00A719AA">
            <w:pPr>
              <w:jc w:val="right"/>
              <w:rPr>
                <w:rFonts w:asciiTheme="minorHAnsi" w:hAnsiTheme="minorHAnsi" w:cstheme="minorHAnsi"/>
                <w:sz w:val="18"/>
                <w:szCs w:val="18"/>
                <w:lang w:val="el-GR"/>
              </w:rPr>
            </w:pPr>
            <w:r w:rsidRPr="0095699B">
              <w:rPr>
                <w:rFonts w:asciiTheme="minorHAnsi" w:hAnsiTheme="minorHAnsi" w:cstheme="minorHAnsi"/>
                <w:sz w:val="18"/>
                <w:szCs w:val="18"/>
              </w:rPr>
              <w:t>35</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037</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504</w:t>
            </w:r>
          </w:p>
        </w:tc>
        <w:tc>
          <w:tcPr>
            <w:tcW w:w="1116" w:type="dxa"/>
            <w:tcBorders>
              <w:top w:val="double" w:sz="4" w:space="0" w:color="auto"/>
            </w:tcBorders>
          </w:tcPr>
          <w:p w:rsidR="00181094" w:rsidRPr="0095699B" w:rsidRDefault="00181094" w:rsidP="00A719AA">
            <w:pPr>
              <w:jc w:val="right"/>
              <w:rPr>
                <w:rFonts w:asciiTheme="minorHAnsi" w:hAnsiTheme="minorHAnsi" w:cstheme="minorHAnsi"/>
                <w:sz w:val="18"/>
                <w:szCs w:val="18"/>
              </w:rPr>
            </w:pPr>
            <w:r w:rsidRPr="0095699B">
              <w:rPr>
                <w:rFonts w:asciiTheme="minorHAnsi" w:hAnsiTheme="minorHAnsi" w:cstheme="minorHAnsi"/>
                <w:sz w:val="18"/>
                <w:szCs w:val="18"/>
              </w:rPr>
              <w:t>33.590.059</w:t>
            </w:r>
          </w:p>
        </w:tc>
        <w:tc>
          <w:tcPr>
            <w:tcW w:w="1116" w:type="dxa"/>
            <w:tcBorders>
              <w:top w:val="double" w:sz="4" w:space="0" w:color="auto"/>
            </w:tcBorders>
          </w:tcPr>
          <w:p w:rsidR="00181094" w:rsidRPr="0095699B" w:rsidRDefault="00181094" w:rsidP="00A719AA">
            <w:pPr>
              <w:jc w:val="right"/>
              <w:rPr>
                <w:rFonts w:asciiTheme="minorHAnsi" w:hAnsiTheme="minorHAnsi" w:cstheme="minorHAnsi"/>
                <w:sz w:val="18"/>
                <w:szCs w:val="18"/>
              </w:rPr>
            </w:pPr>
            <w:r w:rsidRPr="0095699B">
              <w:rPr>
                <w:rFonts w:asciiTheme="minorHAnsi" w:hAnsiTheme="minorHAnsi" w:cstheme="minorHAnsi"/>
                <w:sz w:val="18"/>
                <w:szCs w:val="18"/>
              </w:rPr>
              <w:t>38</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130</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776</w:t>
            </w:r>
          </w:p>
        </w:tc>
        <w:tc>
          <w:tcPr>
            <w:tcW w:w="1116" w:type="dxa"/>
            <w:tcBorders>
              <w:top w:val="double" w:sz="4" w:space="0" w:color="auto"/>
            </w:tcBorders>
          </w:tcPr>
          <w:p w:rsidR="00181094" w:rsidRPr="0095699B" w:rsidRDefault="00181094" w:rsidP="00A719AA">
            <w:pPr>
              <w:jc w:val="right"/>
              <w:rPr>
                <w:rFonts w:asciiTheme="minorHAnsi" w:hAnsiTheme="minorHAnsi" w:cstheme="minorHAnsi"/>
                <w:sz w:val="18"/>
                <w:szCs w:val="18"/>
              </w:rPr>
            </w:pPr>
            <w:r w:rsidRPr="0095699B">
              <w:rPr>
                <w:rFonts w:asciiTheme="minorHAnsi" w:hAnsiTheme="minorHAnsi" w:cstheme="minorHAnsi"/>
                <w:sz w:val="18"/>
                <w:szCs w:val="18"/>
              </w:rPr>
              <w:t>31</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529</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108</w:t>
            </w:r>
          </w:p>
        </w:tc>
        <w:tc>
          <w:tcPr>
            <w:tcW w:w="1116" w:type="dxa"/>
            <w:tcBorders>
              <w:top w:val="double" w:sz="4" w:space="0" w:color="auto"/>
            </w:tcBorders>
          </w:tcPr>
          <w:p w:rsidR="00181094" w:rsidRPr="0095699B" w:rsidRDefault="00181094" w:rsidP="00A719AA">
            <w:pPr>
              <w:jc w:val="right"/>
              <w:rPr>
                <w:rFonts w:asciiTheme="minorHAnsi" w:hAnsiTheme="minorHAnsi" w:cstheme="minorHAnsi"/>
                <w:sz w:val="18"/>
                <w:szCs w:val="18"/>
              </w:rPr>
            </w:pPr>
            <w:r w:rsidRPr="0095699B">
              <w:rPr>
                <w:rFonts w:asciiTheme="minorHAnsi" w:hAnsiTheme="minorHAnsi" w:cstheme="minorHAnsi"/>
                <w:sz w:val="18"/>
                <w:szCs w:val="18"/>
              </w:rPr>
              <w:t>30</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843</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674</w:t>
            </w:r>
          </w:p>
        </w:tc>
        <w:tc>
          <w:tcPr>
            <w:tcW w:w="1116" w:type="dxa"/>
            <w:tcBorders>
              <w:top w:val="double" w:sz="4" w:space="0" w:color="auto"/>
            </w:tcBorders>
          </w:tcPr>
          <w:p w:rsidR="00181094" w:rsidRPr="0095699B" w:rsidRDefault="00181094" w:rsidP="00A719AA">
            <w:pPr>
              <w:jc w:val="right"/>
              <w:rPr>
                <w:rFonts w:asciiTheme="minorHAnsi" w:hAnsiTheme="minorHAnsi" w:cstheme="minorHAnsi"/>
                <w:sz w:val="18"/>
                <w:szCs w:val="18"/>
              </w:rPr>
            </w:pPr>
            <w:r w:rsidRPr="0095699B">
              <w:rPr>
                <w:rFonts w:asciiTheme="minorHAnsi" w:hAnsiTheme="minorHAnsi" w:cstheme="minorHAnsi"/>
                <w:color w:val="3C3C3C"/>
                <w:sz w:val="18"/>
                <w:szCs w:val="18"/>
                <w:shd w:val="clear" w:color="auto" w:fill="FFFFFF"/>
              </w:rPr>
              <w:t>42.076.696</w:t>
            </w:r>
          </w:p>
        </w:tc>
        <w:tc>
          <w:tcPr>
            <w:tcW w:w="1116" w:type="dxa"/>
            <w:tcBorders>
              <w:top w:val="double" w:sz="4" w:space="0" w:color="auto"/>
            </w:tcBorders>
          </w:tcPr>
          <w:p w:rsidR="00181094" w:rsidRPr="0095699B" w:rsidRDefault="00181094" w:rsidP="0033714C">
            <w:pPr>
              <w:jc w:val="right"/>
              <w:rPr>
                <w:rFonts w:asciiTheme="minorHAnsi" w:hAnsiTheme="minorHAnsi" w:cstheme="minorHAnsi"/>
                <w:sz w:val="18"/>
                <w:szCs w:val="18"/>
              </w:rPr>
            </w:pPr>
            <w:r w:rsidRPr="0095699B">
              <w:rPr>
                <w:rFonts w:asciiTheme="minorHAnsi" w:hAnsiTheme="minorHAnsi" w:cstheme="minorHAnsi"/>
                <w:color w:val="3C3C3C"/>
                <w:sz w:val="18"/>
                <w:szCs w:val="18"/>
                <w:shd w:val="clear" w:color="auto" w:fill="FFFFFF"/>
              </w:rPr>
              <w:t>60.716.106</w:t>
            </w:r>
          </w:p>
        </w:tc>
      </w:tr>
      <w:tr w:rsidR="00181094" w:rsidRPr="00466073" w:rsidTr="00181094">
        <w:tc>
          <w:tcPr>
            <w:tcW w:w="1135" w:type="dxa"/>
            <w:tcBorders>
              <w:left w:val="double" w:sz="4" w:space="0" w:color="auto"/>
              <w:bottom w:val="double" w:sz="4" w:space="0" w:color="auto"/>
              <w:right w:val="double" w:sz="4" w:space="0" w:color="auto"/>
            </w:tcBorders>
          </w:tcPr>
          <w:p w:rsidR="00181094" w:rsidRPr="00466073" w:rsidRDefault="00181094" w:rsidP="00645FBB">
            <w:pPr>
              <w:jc w:val="both"/>
              <w:rPr>
                <w:rFonts w:asciiTheme="minorHAnsi" w:hAnsiTheme="minorHAnsi" w:cstheme="minorHAnsi"/>
                <w:lang w:val="el-GR"/>
              </w:rPr>
            </w:pPr>
            <w:proofErr w:type="spellStart"/>
            <w:r w:rsidRPr="00466073">
              <w:rPr>
                <w:rFonts w:asciiTheme="minorHAnsi" w:eastAsia="Arial Unicode MS" w:hAnsiTheme="minorHAnsi" w:cstheme="minorHAnsi"/>
                <w:b/>
                <w:bCs/>
              </w:rPr>
              <w:t>Εισαγωγές</w:t>
            </w:r>
            <w:proofErr w:type="spellEnd"/>
            <w:r w:rsidRPr="00466073">
              <w:rPr>
                <w:rFonts w:asciiTheme="minorHAnsi" w:eastAsia="Arial Unicode MS" w:hAnsiTheme="minorHAnsi" w:cstheme="minorHAnsi"/>
                <w:b/>
                <w:bCs/>
                <w:lang w:val="el-GR"/>
              </w:rPr>
              <w:t xml:space="preserve"> από Ελλάδα</w:t>
            </w:r>
          </w:p>
        </w:tc>
        <w:tc>
          <w:tcPr>
            <w:tcW w:w="1116" w:type="dxa"/>
            <w:tcBorders>
              <w:bottom w:val="double" w:sz="4" w:space="0" w:color="auto"/>
            </w:tcBorders>
          </w:tcPr>
          <w:p w:rsidR="00181094" w:rsidRPr="0095699B" w:rsidRDefault="00181094" w:rsidP="00A719AA">
            <w:pPr>
              <w:jc w:val="right"/>
              <w:rPr>
                <w:rFonts w:asciiTheme="minorHAnsi" w:hAnsiTheme="minorHAnsi" w:cstheme="minorHAnsi"/>
                <w:sz w:val="18"/>
                <w:szCs w:val="18"/>
                <w:lang w:val="el-GR"/>
              </w:rPr>
            </w:pPr>
            <w:r w:rsidRPr="0095699B">
              <w:rPr>
                <w:rFonts w:asciiTheme="minorHAnsi" w:hAnsiTheme="minorHAnsi" w:cstheme="minorHAnsi"/>
                <w:sz w:val="18"/>
                <w:szCs w:val="18"/>
              </w:rPr>
              <w:t>6</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217</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014</w:t>
            </w:r>
          </w:p>
        </w:tc>
        <w:tc>
          <w:tcPr>
            <w:tcW w:w="1116" w:type="dxa"/>
            <w:tcBorders>
              <w:bottom w:val="double" w:sz="4" w:space="0" w:color="auto"/>
            </w:tcBorders>
          </w:tcPr>
          <w:p w:rsidR="00181094" w:rsidRPr="0095699B" w:rsidRDefault="00181094" w:rsidP="00A719AA">
            <w:pPr>
              <w:jc w:val="right"/>
              <w:rPr>
                <w:rFonts w:asciiTheme="minorHAnsi" w:hAnsiTheme="minorHAnsi" w:cstheme="minorHAnsi"/>
                <w:sz w:val="18"/>
                <w:szCs w:val="18"/>
                <w:lang w:val="el-GR"/>
              </w:rPr>
            </w:pPr>
            <w:r w:rsidRPr="0095699B">
              <w:rPr>
                <w:rFonts w:asciiTheme="minorHAnsi" w:hAnsiTheme="minorHAnsi" w:cstheme="minorHAnsi"/>
                <w:color w:val="3C3C3C"/>
                <w:sz w:val="18"/>
                <w:szCs w:val="18"/>
              </w:rPr>
              <w:t>8</w:t>
            </w:r>
            <w:r w:rsidRPr="0095699B">
              <w:rPr>
                <w:rFonts w:asciiTheme="minorHAnsi" w:hAnsiTheme="minorHAnsi" w:cstheme="minorHAnsi"/>
                <w:color w:val="3C3C3C"/>
                <w:sz w:val="18"/>
                <w:szCs w:val="18"/>
                <w:lang w:val="el-GR"/>
              </w:rPr>
              <w:t>.</w:t>
            </w:r>
            <w:r w:rsidRPr="0095699B">
              <w:rPr>
                <w:rFonts w:asciiTheme="minorHAnsi" w:hAnsiTheme="minorHAnsi" w:cstheme="minorHAnsi"/>
                <w:color w:val="3C3C3C"/>
                <w:sz w:val="18"/>
                <w:szCs w:val="18"/>
              </w:rPr>
              <w:t>317</w:t>
            </w:r>
            <w:r w:rsidRPr="0095699B">
              <w:rPr>
                <w:rFonts w:asciiTheme="minorHAnsi" w:hAnsiTheme="minorHAnsi" w:cstheme="minorHAnsi"/>
                <w:color w:val="3C3C3C"/>
                <w:sz w:val="18"/>
                <w:szCs w:val="18"/>
                <w:lang w:val="el-GR"/>
              </w:rPr>
              <w:t>.</w:t>
            </w:r>
            <w:r w:rsidRPr="0095699B">
              <w:rPr>
                <w:rFonts w:asciiTheme="minorHAnsi" w:hAnsiTheme="minorHAnsi" w:cstheme="minorHAnsi"/>
                <w:color w:val="3C3C3C"/>
                <w:sz w:val="18"/>
                <w:szCs w:val="18"/>
              </w:rPr>
              <w:t>663</w:t>
            </w:r>
          </w:p>
        </w:tc>
        <w:tc>
          <w:tcPr>
            <w:tcW w:w="1116" w:type="dxa"/>
            <w:tcBorders>
              <w:bottom w:val="double" w:sz="4" w:space="0" w:color="auto"/>
            </w:tcBorders>
          </w:tcPr>
          <w:p w:rsidR="00181094" w:rsidRPr="0095699B" w:rsidRDefault="00181094" w:rsidP="00A719AA">
            <w:pPr>
              <w:jc w:val="right"/>
              <w:rPr>
                <w:rFonts w:asciiTheme="minorHAnsi" w:hAnsiTheme="minorHAnsi" w:cstheme="minorHAnsi"/>
                <w:color w:val="3C3C3C"/>
                <w:sz w:val="18"/>
                <w:szCs w:val="18"/>
              </w:rPr>
            </w:pPr>
            <w:r w:rsidRPr="0095699B">
              <w:rPr>
                <w:rFonts w:asciiTheme="minorHAnsi" w:hAnsiTheme="minorHAnsi" w:cstheme="minorHAnsi"/>
                <w:sz w:val="18"/>
                <w:szCs w:val="18"/>
              </w:rPr>
              <w:t>8.353.676</w:t>
            </w:r>
          </w:p>
        </w:tc>
        <w:tc>
          <w:tcPr>
            <w:tcW w:w="1116" w:type="dxa"/>
            <w:tcBorders>
              <w:bottom w:val="double" w:sz="4" w:space="0" w:color="auto"/>
            </w:tcBorders>
          </w:tcPr>
          <w:p w:rsidR="00181094" w:rsidRPr="0095699B" w:rsidRDefault="00181094" w:rsidP="00A719AA">
            <w:pPr>
              <w:jc w:val="right"/>
              <w:rPr>
                <w:rFonts w:asciiTheme="minorHAnsi" w:hAnsiTheme="minorHAnsi" w:cstheme="minorHAnsi"/>
                <w:sz w:val="18"/>
                <w:szCs w:val="18"/>
              </w:rPr>
            </w:pPr>
            <w:r w:rsidRPr="0095699B">
              <w:rPr>
                <w:rFonts w:asciiTheme="minorHAnsi" w:hAnsiTheme="minorHAnsi" w:cstheme="minorHAnsi"/>
                <w:sz w:val="18"/>
                <w:szCs w:val="18"/>
              </w:rPr>
              <w:t>6</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659</w:t>
            </w:r>
            <w:r w:rsidRPr="0095699B">
              <w:rPr>
                <w:rFonts w:asciiTheme="minorHAnsi" w:hAnsiTheme="minorHAnsi" w:cstheme="minorHAnsi"/>
                <w:sz w:val="18"/>
                <w:szCs w:val="18"/>
                <w:lang w:val="el-GR"/>
              </w:rPr>
              <w:t>.</w:t>
            </w:r>
            <w:r w:rsidRPr="0095699B">
              <w:rPr>
                <w:rFonts w:asciiTheme="minorHAnsi" w:hAnsiTheme="minorHAnsi" w:cstheme="minorHAnsi"/>
                <w:sz w:val="18"/>
                <w:szCs w:val="18"/>
              </w:rPr>
              <w:t>002</w:t>
            </w:r>
          </w:p>
        </w:tc>
        <w:tc>
          <w:tcPr>
            <w:tcW w:w="1116" w:type="dxa"/>
            <w:tcBorders>
              <w:bottom w:val="double" w:sz="4" w:space="0" w:color="auto"/>
            </w:tcBorders>
          </w:tcPr>
          <w:p w:rsidR="00181094" w:rsidRPr="0095699B" w:rsidRDefault="00181094" w:rsidP="00A719AA">
            <w:pPr>
              <w:jc w:val="right"/>
              <w:rPr>
                <w:rFonts w:asciiTheme="minorHAnsi" w:hAnsiTheme="minorHAnsi" w:cstheme="minorHAnsi"/>
                <w:sz w:val="18"/>
                <w:szCs w:val="18"/>
                <w:lang w:val="el-GR"/>
              </w:rPr>
            </w:pPr>
            <w:r w:rsidRPr="0095699B">
              <w:rPr>
                <w:rFonts w:asciiTheme="minorHAnsi" w:hAnsiTheme="minorHAnsi" w:cstheme="minorHAnsi"/>
                <w:sz w:val="18"/>
                <w:szCs w:val="18"/>
                <w:lang w:val="el-GR"/>
              </w:rPr>
              <w:t>10.003.867</w:t>
            </w:r>
          </w:p>
        </w:tc>
        <w:tc>
          <w:tcPr>
            <w:tcW w:w="1116" w:type="dxa"/>
            <w:tcBorders>
              <w:bottom w:val="double" w:sz="4" w:space="0" w:color="auto"/>
            </w:tcBorders>
          </w:tcPr>
          <w:p w:rsidR="00181094" w:rsidRPr="0095699B" w:rsidRDefault="00181094" w:rsidP="00A719AA">
            <w:pPr>
              <w:jc w:val="right"/>
              <w:rPr>
                <w:rFonts w:asciiTheme="minorHAnsi" w:hAnsiTheme="minorHAnsi" w:cstheme="minorHAnsi"/>
                <w:sz w:val="18"/>
                <w:szCs w:val="18"/>
                <w:lang w:val="el-GR"/>
              </w:rPr>
            </w:pPr>
            <w:r w:rsidRPr="0095699B">
              <w:rPr>
                <w:rFonts w:asciiTheme="minorHAnsi" w:hAnsiTheme="minorHAnsi" w:cstheme="minorHAnsi"/>
                <w:sz w:val="18"/>
                <w:szCs w:val="18"/>
                <w:lang w:val="el-GR"/>
              </w:rPr>
              <w:t>11.255.109</w:t>
            </w:r>
          </w:p>
        </w:tc>
        <w:tc>
          <w:tcPr>
            <w:tcW w:w="1116" w:type="dxa"/>
            <w:tcBorders>
              <w:bottom w:val="double" w:sz="4" w:space="0" w:color="auto"/>
            </w:tcBorders>
          </w:tcPr>
          <w:p w:rsidR="00181094" w:rsidRPr="0095699B" w:rsidRDefault="00181094" w:rsidP="00A719AA">
            <w:pPr>
              <w:jc w:val="right"/>
              <w:rPr>
                <w:rFonts w:asciiTheme="minorHAnsi" w:hAnsiTheme="minorHAnsi" w:cstheme="minorHAnsi"/>
                <w:sz w:val="18"/>
                <w:szCs w:val="18"/>
                <w:lang w:val="el-GR"/>
              </w:rPr>
            </w:pPr>
            <w:r w:rsidRPr="0095699B">
              <w:rPr>
                <w:rFonts w:asciiTheme="minorHAnsi" w:hAnsiTheme="minorHAnsi" w:cstheme="minorHAnsi"/>
                <w:color w:val="3C3C3C"/>
                <w:sz w:val="18"/>
                <w:szCs w:val="18"/>
                <w:shd w:val="clear" w:color="auto" w:fill="FFFFFF"/>
              </w:rPr>
              <w:t>13.909.297</w:t>
            </w:r>
          </w:p>
        </w:tc>
        <w:tc>
          <w:tcPr>
            <w:tcW w:w="1116" w:type="dxa"/>
            <w:tcBorders>
              <w:bottom w:val="double" w:sz="4" w:space="0" w:color="auto"/>
            </w:tcBorders>
          </w:tcPr>
          <w:p w:rsidR="00181094" w:rsidRPr="0095699B" w:rsidRDefault="00181094" w:rsidP="0033714C">
            <w:pPr>
              <w:jc w:val="right"/>
              <w:rPr>
                <w:rFonts w:asciiTheme="minorHAnsi" w:hAnsiTheme="minorHAnsi" w:cstheme="minorHAnsi"/>
                <w:sz w:val="18"/>
                <w:szCs w:val="18"/>
                <w:lang w:val="el-GR"/>
              </w:rPr>
            </w:pPr>
            <w:r w:rsidRPr="0095699B">
              <w:rPr>
                <w:rFonts w:asciiTheme="minorHAnsi" w:hAnsiTheme="minorHAnsi" w:cstheme="minorHAnsi"/>
                <w:color w:val="3C3C3C"/>
                <w:sz w:val="18"/>
                <w:szCs w:val="18"/>
                <w:shd w:val="clear" w:color="auto" w:fill="FFFFFF"/>
              </w:rPr>
              <w:t>10.867.170</w:t>
            </w:r>
          </w:p>
        </w:tc>
      </w:tr>
      <w:tr w:rsidR="00181094" w:rsidRPr="00466073" w:rsidTr="00181094">
        <w:tc>
          <w:tcPr>
            <w:tcW w:w="1135" w:type="dxa"/>
            <w:tcBorders>
              <w:top w:val="double" w:sz="4" w:space="0" w:color="auto"/>
              <w:left w:val="double" w:sz="4" w:space="0" w:color="auto"/>
              <w:bottom w:val="double" w:sz="4" w:space="0" w:color="auto"/>
              <w:right w:val="double" w:sz="4" w:space="0" w:color="auto"/>
            </w:tcBorders>
          </w:tcPr>
          <w:p w:rsidR="00181094" w:rsidRPr="00466073" w:rsidRDefault="00181094" w:rsidP="00645FBB">
            <w:pPr>
              <w:jc w:val="both"/>
              <w:rPr>
                <w:rFonts w:asciiTheme="minorHAnsi" w:eastAsia="Arial Unicode MS" w:hAnsiTheme="minorHAnsi" w:cstheme="minorHAnsi"/>
                <w:b/>
                <w:bCs/>
                <w:lang w:val="el-GR"/>
              </w:rPr>
            </w:pPr>
            <w:r w:rsidRPr="00466073">
              <w:rPr>
                <w:rFonts w:asciiTheme="minorHAnsi" w:eastAsia="Arial Unicode MS" w:hAnsiTheme="minorHAnsi" w:cstheme="minorHAnsi"/>
                <w:b/>
                <w:bCs/>
                <w:lang w:val="el-GR"/>
              </w:rPr>
              <w:t>Ισοζύγιο</w:t>
            </w:r>
          </w:p>
        </w:tc>
        <w:tc>
          <w:tcPr>
            <w:tcW w:w="1116" w:type="dxa"/>
            <w:tcBorders>
              <w:top w:val="double" w:sz="4" w:space="0" w:color="auto"/>
              <w:bottom w:val="double" w:sz="4" w:space="0" w:color="auto"/>
            </w:tcBorders>
          </w:tcPr>
          <w:p w:rsidR="00181094" w:rsidRPr="0095699B" w:rsidRDefault="00181094" w:rsidP="00A719AA">
            <w:pPr>
              <w:jc w:val="right"/>
              <w:rPr>
                <w:rFonts w:asciiTheme="minorHAnsi" w:hAnsiTheme="minorHAnsi" w:cstheme="minorHAnsi"/>
                <w:b/>
                <w:sz w:val="18"/>
                <w:szCs w:val="18"/>
                <w:lang w:val="el-GR"/>
              </w:rPr>
            </w:pPr>
            <w:r w:rsidRPr="0095699B">
              <w:rPr>
                <w:rFonts w:asciiTheme="minorHAnsi" w:hAnsiTheme="minorHAnsi" w:cstheme="minorHAnsi"/>
                <w:b/>
                <w:sz w:val="18"/>
                <w:szCs w:val="18"/>
                <w:lang w:val="el-GR"/>
              </w:rPr>
              <w:t>26.808.447</w:t>
            </w:r>
          </w:p>
        </w:tc>
        <w:tc>
          <w:tcPr>
            <w:tcW w:w="1116" w:type="dxa"/>
            <w:tcBorders>
              <w:top w:val="double" w:sz="4" w:space="0" w:color="auto"/>
              <w:bottom w:val="double" w:sz="4" w:space="0" w:color="auto"/>
            </w:tcBorders>
          </w:tcPr>
          <w:p w:rsidR="00181094" w:rsidRPr="0095699B" w:rsidRDefault="00181094" w:rsidP="00A719AA">
            <w:pPr>
              <w:jc w:val="right"/>
              <w:rPr>
                <w:rFonts w:asciiTheme="minorHAnsi" w:hAnsiTheme="minorHAnsi" w:cstheme="minorHAnsi"/>
                <w:b/>
                <w:sz w:val="18"/>
                <w:szCs w:val="18"/>
                <w:lang w:val="el-GR"/>
              </w:rPr>
            </w:pPr>
            <w:r w:rsidRPr="0095699B">
              <w:rPr>
                <w:rFonts w:asciiTheme="minorHAnsi" w:hAnsiTheme="minorHAnsi" w:cstheme="minorHAnsi"/>
                <w:b/>
                <w:sz w:val="18"/>
                <w:szCs w:val="18"/>
                <w:lang w:val="el-GR"/>
              </w:rPr>
              <w:t>26.719.841</w:t>
            </w:r>
          </w:p>
        </w:tc>
        <w:tc>
          <w:tcPr>
            <w:tcW w:w="1116" w:type="dxa"/>
            <w:tcBorders>
              <w:top w:val="double" w:sz="4" w:space="0" w:color="auto"/>
              <w:bottom w:val="double" w:sz="4" w:space="0" w:color="auto"/>
            </w:tcBorders>
          </w:tcPr>
          <w:p w:rsidR="00181094" w:rsidRPr="0095699B" w:rsidRDefault="00181094" w:rsidP="00A719AA">
            <w:pPr>
              <w:jc w:val="right"/>
              <w:rPr>
                <w:rFonts w:asciiTheme="minorHAnsi" w:hAnsiTheme="minorHAnsi" w:cstheme="minorHAnsi"/>
                <w:b/>
                <w:sz w:val="18"/>
                <w:szCs w:val="18"/>
                <w:lang w:val="el-GR"/>
              </w:rPr>
            </w:pPr>
            <w:r w:rsidRPr="0095699B">
              <w:rPr>
                <w:rFonts w:asciiTheme="minorHAnsi" w:hAnsiTheme="minorHAnsi" w:cstheme="minorHAnsi"/>
                <w:b/>
                <w:sz w:val="18"/>
                <w:szCs w:val="18"/>
                <w:lang w:val="el-GR"/>
              </w:rPr>
              <w:t>25.236.383</w:t>
            </w:r>
          </w:p>
        </w:tc>
        <w:tc>
          <w:tcPr>
            <w:tcW w:w="1116" w:type="dxa"/>
            <w:tcBorders>
              <w:top w:val="double" w:sz="4" w:space="0" w:color="auto"/>
              <w:bottom w:val="double" w:sz="4" w:space="0" w:color="auto"/>
            </w:tcBorders>
          </w:tcPr>
          <w:p w:rsidR="00181094" w:rsidRPr="0095699B" w:rsidRDefault="00181094" w:rsidP="00A719AA">
            <w:pPr>
              <w:jc w:val="center"/>
              <w:rPr>
                <w:rFonts w:asciiTheme="minorHAnsi" w:hAnsiTheme="minorHAnsi" w:cstheme="minorHAnsi"/>
                <w:b/>
                <w:sz w:val="18"/>
                <w:szCs w:val="18"/>
                <w:lang w:val="el-GR"/>
              </w:rPr>
            </w:pPr>
            <w:r w:rsidRPr="0095699B">
              <w:rPr>
                <w:rFonts w:asciiTheme="minorHAnsi" w:hAnsiTheme="minorHAnsi" w:cstheme="minorHAnsi"/>
                <w:b/>
                <w:sz w:val="18"/>
                <w:szCs w:val="18"/>
                <w:lang w:val="el-GR"/>
              </w:rPr>
              <w:t>31.471.774</w:t>
            </w:r>
          </w:p>
        </w:tc>
        <w:tc>
          <w:tcPr>
            <w:tcW w:w="1116" w:type="dxa"/>
            <w:tcBorders>
              <w:top w:val="double" w:sz="4" w:space="0" w:color="auto"/>
              <w:bottom w:val="double" w:sz="4" w:space="0" w:color="auto"/>
            </w:tcBorders>
          </w:tcPr>
          <w:p w:rsidR="00181094" w:rsidRPr="0095699B" w:rsidRDefault="00181094" w:rsidP="00A719AA">
            <w:pPr>
              <w:jc w:val="center"/>
              <w:rPr>
                <w:rFonts w:asciiTheme="minorHAnsi" w:hAnsiTheme="minorHAnsi" w:cstheme="minorHAnsi"/>
                <w:b/>
                <w:sz w:val="18"/>
                <w:szCs w:val="18"/>
                <w:lang w:val="el-GR"/>
              </w:rPr>
            </w:pPr>
            <w:r w:rsidRPr="0095699B">
              <w:rPr>
                <w:rFonts w:asciiTheme="minorHAnsi" w:hAnsiTheme="minorHAnsi" w:cstheme="minorHAnsi"/>
                <w:b/>
                <w:sz w:val="18"/>
                <w:szCs w:val="18"/>
                <w:lang w:val="el-GR"/>
              </w:rPr>
              <w:t>21.525.241</w:t>
            </w:r>
          </w:p>
        </w:tc>
        <w:tc>
          <w:tcPr>
            <w:tcW w:w="1116" w:type="dxa"/>
            <w:tcBorders>
              <w:top w:val="double" w:sz="4" w:space="0" w:color="auto"/>
              <w:bottom w:val="double" w:sz="4" w:space="0" w:color="auto"/>
            </w:tcBorders>
          </w:tcPr>
          <w:p w:rsidR="00181094" w:rsidRPr="0095699B" w:rsidRDefault="00181094" w:rsidP="00A719AA">
            <w:pPr>
              <w:jc w:val="right"/>
              <w:rPr>
                <w:rFonts w:asciiTheme="minorHAnsi" w:hAnsiTheme="minorHAnsi" w:cstheme="minorHAnsi"/>
                <w:b/>
                <w:sz w:val="18"/>
                <w:szCs w:val="18"/>
                <w:lang w:val="el-GR"/>
              </w:rPr>
            </w:pPr>
            <w:r w:rsidRPr="0095699B">
              <w:rPr>
                <w:rFonts w:asciiTheme="minorHAnsi" w:hAnsiTheme="minorHAnsi" w:cstheme="minorHAnsi"/>
                <w:b/>
                <w:sz w:val="18"/>
                <w:szCs w:val="18"/>
                <w:lang w:val="el-GR"/>
              </w:rPr>
              <w:t>19.588.565</w:t>
            </w:r>
          </w:p>
        </w:tc>
        <w:tc>
          <w:tcPr>
            <w:tcW w:w="1116" w:type="dxa"/>
            <w:tcBorders>
              <w:top w:val="double" w:sz="4" w:space="0" w:color="auto"/>
              <w:bottom w:val="double" w:sz="4" w:space="0" w:color="auto"/>
            </w:tcBorders>
          </w:tcPr>
          <w:p w:rsidR="00181094" w:rsidRPr="0095699B" w:rsidRDefault="00181094" w:rsidP="00A719AA">
            <w:pPr>
              <w:jc w:val="right"/>
              <w:rPr>
                <w:rFonts w:asciiTheme="minorHAnsi" w:hAnsiTheme="minorHAnsi" w:cstheme="minorHAnsi"/>
                <w:b/>
                <w:sz w:val="18"/>
                <w:szCs w:val="18"/>
              </w:rPr>
            </w:pPr>
            <w:r w:rsidRPr="0095699B">
              <w:rPr>
                <w:rFonts w:asciiTheme="minorHAnsi" w:hAnsiTheme="minorHAnsi" w:cstheme="minorHAnsi"/>
                <w:b/>
                <w:sz w:val="18"/>
                <w:szCs w:val="18"/>
              </w:rPr>
              <w:t>28</w:t>
            </w:r>
            <w:r w:rsidRPr="0095699B">
              <w:rPr>
                <w:rFonts w:asciiTheme="minorHAnsi" w:hAnsiTheme="minorHAnsi" w:cstheme="minorHAnsi"/>
                <w:b/>
                <w:sz w:val="18"/>
                <w:szCs w:val="18"/>
                <w:lang w:val="el-GR"/>
              </w:rPr>
              <w:t>.</w:t>
            </w:r>
            <w:r w:rsidRPr="0095699B">
              <w:rPr>
                <w:rFonts w:asciiTheme="minorHAnsi" w:hAnsiTheme="minorHAnsi" w:cstheme="minorHAnsi"/>
                <w:b/>
                <w:sz w:val="18"/>
                <w:szCs w:val="18"/>
              </w:rPr>
              <w:t>167</w:t>
            </w:r>
            <w:r w:rsidRPr="0095699B">
              <w:rPr>
                <w:rFonts w:asciiTheme="minorHAnsi" w:hAnsiTheme="minorHAnsi" w:cstheme="minorHAnsi"/>
                <w:b/>
                <w:sz w:val="18"/>
                <w:szCs w:val="18"/>
                <w:lang w:val="el-GR"/>
              </w:rPr>
              <w:t>.</w:t>
            </w:r>
            <w:r w:rsidRPr="0095699B">
              <w:rPr>
                <w:rFonts w:asciiTheme="minorHAnsi" w:hAnsiTheme="minorHAnsi" w:cstheme="minorHAnsi"/>
                <w:b/>
                <w:sz w:val="18"/>
                <w:szCs w:val="18"/>
              </w:rPr>
              <w:t>399</w:t>
            </w:r>
          </w:p>
        </w:tc>
        <w:tc>
          <w:tcPr>
            <w:tcW w:w="1116" w:type="dxa"/>
            <w:tcBorders>
              <w:top w:val="double" w:sz="4" w:space="0" w:color="auto"/>
              <w:bottom w:val="double" w:sz="4" w:space="0" w:color="auto"/>
            </w:tcBorders>
          </w:tcPr>
          <w:p w:rsidR="00181094" w:rsidRPr="0095699B" w:rsidRDefault="00181094" w:rsidP="0033714C">
            <w:pPr>
              <w:jc w:val="right"/>
              <w:rPr>
                <w:rFonts w:asciiTheme="minorHAnsi" w:hAnsiTheme="minorHAnsi" w:cstheme="minorHAnsi"/>
                <w:b/>
                <w:sz w:val="18"/>
                <w:szCs w:val="18"/>
              </w:rPr>
            </w:pPr>
            <w:r w:rsidRPr="0095699B">
              <w:rPr>
                <w:rFonts w:asciiTheme="minorHAnsi" w:hAnsiTheme="minorHAnsi" w:cstheme="minorHAnsi"/>
                <w:b/>
                <w:sz w:val="18"/>
                <w:szCs w:val="18"/>
              </w:rPr>
              <w:t>71</w:t>
            </w:r>
            <w:r w:rsidRPr="0095699B">
              <w:rPr>
                <w:rFonts w:asciiTheme="minorHAnsi" w:hAnsiTheme="minorHAnsi" w:cstheme="minorHAnsi"/>
                <w:b/>
                <w:sz w:val="18"/>
                <w:szCs w:val="18"/>
                <w:lang w:val="el-GR"/>
              </w:rPr>
              <w:t>.</w:t>
            </w:r>
            <w:r w:rsidRPr="0095699B">
              <w:rPr>
                <w:rFonts w:asciiTheme="minorHAnsi" w:hAnsiTheme="minorHAnsi" w:cstheme="minorHAnsi"/>
                <w:b/>
                <w:sz w:val="18"/>
                <w:szCs w:val="18"/>
              </w:rPr>
              <w:t>583</w:t>
            </w:r>
            <w:r w:rsidRPr="0095699B">
              <w:rPr>
                <w:rFonts w:asciiTheme="minorHAnsi" w:hAnsiTheme="minorHAnsi" w:cstheme="minorHAnsi"/>
                <w:b/>
                <w:sz w:val="18"/>
                <w:szCs w:val="18"/>
                <w:lang w:val="el-GR"/>
              </w:rPr>
              <w:t>.</w:t>
            </w:r>
            <w:r w:rsidRPr="0095699B">
              <w:rPr>
                <w:rFonts w:asciiTheme="minorHAnsi" w:hAnsiTheme="minorHAnsi" w:cstheme="minorHAnsi"/>
                <w:b/>
                <w:sz w:val="18"/>
                <w:szCs w:val="18"/>
              </w:rPr>
              <w:t>276</w:t>
            </w:r>
          </w:p>
        </w:tc>
      </w:tr>
    </w:tbl>
    <w:p w:rsidR="00D45368" w:rsidRPr="00466073" w:rsidRDefault="003F42D6" w:rsidP="00645FBB">
      <w:pPr>
        <w:jc w:val="both"/>
        <w:rPr>
          <w:rFonts w:asciiTheme="minorHAnsi" w:hAnsiTheme="minorHAnsi" w:cstheme="minorHAnsi"/>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 Εθνική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3F42D6" w:rsidRPr="00466073" w:rsidRDefault="003F42D6" w:rsidP="00645FBB">
      <w:pPr>
        <w:jc w:val="both"/>
        <w:rPr>
          <w:rFonts w:asciiTheme="minorHAnsi" w:hAnsiTheme="minorHAnsi" w:cstheme="minorHAnsi"/>
          <w:lang w:val="el-GR"/>
        </w:rPr>
      </w:pPr>
    </w:p>
    <w:p w:rsidR="00182E17" w:rsidRPr="00466073" w:rsidRDefault="004020BC" w:rsidP="00182E17">
      <w:pPr>
        <w:jc w:val="both"/>
        <w:rPr>
          <w:rFonts w:asciiTheme="minorHAnsi" w:hAnsiTheme="minorHAnsi" w:cstheme="minorHAnsi"/>
          <w:lang w:val="el-GR"/>
        </w:rPr>
      </w:pPr>
      <w:r w:rsidRPr="00466073">
        <w:rPr>
          <w:rFonts w:asciiTheme="minorHAnsi" w:hAnsiTheme="minorHAnsi" w:cstheme="minorHAnsi"/>
          <w:lang w:val="el-GR"/>
        </w:rPr>
        <w:t>Το 2019 οι εξαγωγές ελληνικών φαρμάκων στην Ουγγαρία, συνέχισαν την ανοδική τους πορεία και ξεπέρασαν για πρώτη φορά το νοητό φράγμα των €10 εκ., σημειώνοντας αύξηση 50,2% σε σχέση με το 2018.</w:t>
      </w:r>
      <w:r w:rsidR="0033714C" w:rsidRPr="00466073">
        <w:rPr>
          <w:rFonts w:asciiTheme="minorHAnsi" w:hAnsiTheme="minorHAnsi" w:cstheme="minorHAnsi"/>
          <w:lang w:val="el-GR"/>
        </w:rPr>
        <w:t xml:space="preserve"> </w:t>
      </w:r>
      <w:r w:rsidRPr="00466073">
        <w:rPr>
          <w:rFonts w:asciiTheme="minorHAnsi" w:hAnsiTheme="minorHAnsi" w:cstheme="minorHAnsi"/>
          <w:lang w:val="el-GR"/>
        </w:rPr>
        <w:t>Ταυτόχρονα, την ίδια περίοδο, σημειώνεται μείωση 17,3% των ουγγρικών φαρμάκων στην Ελλ</w:t>
      </w:r>
      <w:r w:rsidR="0033714C" w:rsidRPr="00466073">
        <w:rPr>
          <w:rFonts w:asciiTheme="minorHAnsi" w:hAnsiTheme="minorHAnsi" w:cstheme="minorHAnsi"/>
          <w:lang w:val="el-GR"/>
        </w:rPr>
        <w:t>άδα. Η ίδια τάση επαναλήφθηκε</w:t>
      </w:r>
      <w:r w:rsidRPr="00466073">
        <w:rPr>
          <w:rFonts w:asciiTheme="minorHAnsi" w:hAnsiTheme="minorHAnsi" w:cstheme="minorHAnsi"/>
          <w:lang w:val="el-GR"/>
        </w:rPr>
        <w:t xml:space="preserve"> και το </w:t>
      </w:r>
      <w:r w:rsidR="0033714C" w:rsidRPr="00466073">
        <w:rPr>
          <w:rFonts w:asciiTheme="minorHAnsi" w:hAnsiTheme="minorHAnsi" w:cstheme="minorHAnsi"/>
          <w:lang w:val="el-GR"/>
        </w:rPr>
        <w:t>2020</w:t>
      </w:r>
      <w:r w:rsidRPr="00466073">
        <w:rPr>
          <w:rFonts w:asciiTheme="minorHAnsi" w:hAnsiTheme="minorHAnsi" w:cstheme="minorHAnsi"/>
          <w:lang w:val="el-GR"/>
        </w:rPr>
        <w:t xml:space="preserve">, με ετήσια αύξηση των ελληνικών εξαγωγών στην Ουγγαρία κατά 12,5% και μείωση 2,2% των εισαγωγών από Ουγγαρία. </w:t>
      </w:r>
      <w:r w:rsidR="0033714C" w:rsidRPr="00466073">
        <w:rPr>
          <w:rFonts w:asciiTheme="minorHAnsi" w:hAnsiTheme="minorHAnsi" w:cstheme="minorHAnsi"/>
          <w:lang w:val="el-GR"/>
        </w:rPr>
        <w:t>Το 2021, ενώ η χώρα μας συνέχισε την αυξητική τάση των εξαγωγών της (+23,5%) σε σχέση με το 2020, η Ουγγαρία σημείωσε αλματώδη αύξηση των εξαγωγών της προς την χώρα μας ποσοστού 36,4%. Η αύξηση οφείλεται κυρίως</w:t>
      </w:r>
      <w:r w:rsidR="00A1248A" w:rsidRPr="00466073">
        <w:rPr>
          <w:rFonts w:asciiTheme="minorHAnsi" w:hAnsiTheme="minorHAnsi" w:cstheme="minorHAnsi"/>
          <w:lang w:val="el-GR"/>
        </w:rPr>
        <w:t>,</w:t>
      </w:r>
      <w:r w:rsidR="0033714C" w:rsidRPr="00466073">
        <w:rPr>
          <w:rFonts w:asciiTheme="minorHAnsi" w:hAnsiTheme="minorHAnsi" w:cstheme="minorHAnsi"/>
          <w:lang w:val="el-GR"/>
        </w:rPr>
        <w:t xml:space="preserve"> στις ανάγκες προϊόντων της κατηγορίας </w:t>
      </w:r>
      <w:r w:rsidR="00A1248A" w:rsidRPr="00466073">
        <w:rPr>
          <w:rFonts w:asciiTheme="minorHAnsi" w:hAnsiTheme="minorHAnsi" w:cstheme="minorHAnsi"/>
          <w:lang w:val="el-GR"/>
        </w:rPr>
        <w:t xml:space="preserve">της </w:t>
      </w:r>
      <w:r w:rsidR="0033714C" w:rsidRPr="00466073">
        <w:rPr>
          <w:rFonts w:asciiTheme="minorHAnsi" w:hAnsiTheme="minorHAnsi" w:cstheme="minorHAnsi"/>
          <w:lang w:val="el-GR"/>
        </w:rPr>
        <w:t>χώρα</w:t>
      </w:r>
      <w:r w:rsidR="00A1248A" w:rsidRPr="00466073">
        <w:rPr>
          <w:rFonts w:asciiTheme="minorHAnsi" w:hAnsiTheme="minorHAnsi" w:cstheme="minorHAnsi"/>
          <w:lang w:val="el-GR"/>
        </w:rPr>
        <w:t>ς</w:t>
      </w:r>
      <w:r w:rsidR="0033714C" w:rsidRPr="00466073">
        <w:rPr>
          <w:rFonts w:asciiTheme="minorHAnsi" w:hAnsiTheme="minorHAnsi" w:cstheme="minorHAnsi"/>
          <w:lang w:val="el-GR"/>
        </w:rPr>
        <w:t xml:space="preserve"> μας, κυρίως γ</w:t>
      </w:r>
      <w:r w:rsidR="00A1248A" w:rsidRPr="00466073">
        <w:rPr>
          <w:rFonts w:asciiTheme="minorHAnsi" w:hAnsiTheme="minorHAnsi" w:cstheme="minorHAnsi"/>
          <w:lang w:val="el-GR"/>
        </w:rPr>
        <w:t xml:space="preserve">ια την αντιμετώπιση της </w:t>
      </w:r>
      <w:r w:rsidR="0033714C" w:rsidRPr="00466073">
        <w:rPr>
          <w:rFonts w:asciiTheme="minorHAnsi" w:hAnsiTheme="minorHAnsi" w:cstheme="minorHAnsi"/>
          <w:lang w:val="el-GR"/>
        </w:rPr>
        <w:t>πανδημίας</w:t>
      </w:r>
      <w:r w:rsidR="0033714C" w:rsidRPr="00466073">
        <w:rPr>
          <w:rFonts w:asciiTheme="minorHAnsi" w:hAnsiTheme="minorHAnsi" w:cstheme="minorHAnsi"/>
          <w:b/>
          <w:lang w:val="el-GR"/>
        </w:rPr>
        <w:t>.</w:t>
      </w:r>
      <w:r w:rsidR="00181094" w:rsidRPr="00466073">
        <w:rPr>
          <w:rFonts w:asciiTheme="minorHAnsi" w:hAnsiTheme="minorHAnsi" w:cstheme="minorHAnsi"/>
          <w:b/>
          <w:lang w:val="el-GR"/>
        </w:rPr>
        <w:t xml:space="preserve"> </w:t>
      </w:r>
      <w:r w:rsidR="00182E17" w:rsidRPr="00466073">
        <w:rPr>
          <w:rFonts w:asciiTheme="minorHAnsi" w:hAnsiTheme="minorHAnsi" w:cstheme="minorHAnsi"/>
          <w:lang w:val="el-GR"/>
        </w:rPr>
        <w:t>Ωστόσο,</w:t>
      </w:r>
      <w:r w:rsidR="00182E17" w:rsidRPr="00466073">
        <w:rPr>
          <w:rFonts w:asciiTheme="minorHAnsi" w:hAnsiTheme="minorHAnsi" w:cstheme="minorHAnsi"/>
          <w:b/>
          <w:lang w:val="el-GR"/>
        </w:rPr>
        <w:t xml:space="preserve"> </w:t>
      </w:r>
      <w:r w:rsidR="00182E17" w:rsidRPr="00466073">
        <w:rPr>
          <w:rFonts w:asciiTheme="minorHAnsi" w:hAnsiTheme="minorHAnsi" w:cstheme="minorHAnsi"/>
          <w:u w:val="single"/>
          <w:lang w:val="el-GR"/>
        </w:rPr>
        <w:t>το</w:t>
      </w:r>
      <w:r w:rsidR="00181094" w:rsidRPr="00466073">
        <w:rPr>
          <w:rFonts w:asciiTheme="minorHAnsi" w:hAnsiTheme="minorHAnsi" w:cstheme="minorHAnsi"/>
          <w:u w:val="single"/>
          <w:lang w:val="el-GR"/>
        </w:rPr>
        <w:t xml:space="preserve"> 2022</w:t>
      </w:r>
      <w:r w:rsidR="00182E17" w:rsidRPr="00466073">
        <w:rPr>
          <w:rFonts w:asciiTheme="minorHAnsi" w:hAnsiTheme="minorHAnsi" w:cstheme="minorHAnsi"/>
          <w:u w:val="single"/>
          <w:lang w:val="el-GR"/>
        </w:rPr>
        <w:t xml:space="preserve"> οι ελληνικές εξαγωγές σημείωσαν πτώση</w:t>
      </w:r>
      <w:r w:rsidR="00182E17" w:rsidRPr="00466073">
        <w:rPr>
          <w:rFonts w:asciiTheme="minorHAnsi" w:hAnsiTheme="minorHAnsi" w:cstheme="minorHAnsi"/>
          <w:b/>
          <w:lang w:val="el-GR"/>
        </w:rPr>
        <w:t xml:space="preserve"> </w:t>
      </w:r>
      <w:r w:rsidR="00182E17" w:rsidRPr="00466073">
        <w:rPr>
          <w:rFonts w:asciiTheme="minorHAnsi" w:hAnsiTheme="minorHAnsi" w:cstheme="minorHAnsi"/>
          <w:lang w:val="el-GR"/>
        </w:rPr>
        <w:t xml:space="preserve">τάξης του 21,9% σε σύγκριση με το 2021 στα €10,8 εκ., σε αντίθεση με τις ουγγρικές εξαγωγές φαρμάκων στη χώρα μας που αυξήθηκαν κατά 44,3% στα € 60,7εκ. και πλέον, ο λόγος εισαγωγών/εξαγωγών αγγίζει το 6:1 υπέρ της Ουγγαρίας. </w:t>
      </w:r>
    </w:p>
    <w:p w:rsidR="00B75952" w:rsidRPr="00466073" w:rsidRDefault="00B75952" w:rsidP="00182E17">
      <w:pPr>
        <w:jc w:val="both"/>
        <w:rPr>
          <w:rFonts w:asciiTheme="minorHAnsi" w:hAnsiTheme="minorHAnsi" w:cstheme="minorHAnsi"/>
          <w:lang w:val="el-GR"/>
        </w:rPr>
      </w:pPr>
    </w:p>
    <w:p w:rsidR="00B75952" w:rsidRPr="00466073" w:rsidRDefault="00B75952" w:rsidP="00A1248A">
      <w:pPr>
        <w:jc w:val="both"/>
        <w:rPr>
          <w:rFonts w:asciiTheme="minorHAnsi" w:hAnsiTheme="minorHAnsi" w:cstheme="minorHAnsi"/>
          <w:u w:val="single"/>
          <w:lang w:val="el-GR"/>
        </w:rPr>
      </w:pPr>
      <w:r w:rsidRPr="00466073">
        <w:rPr>
          <w:rFonts w:asciiTheme="minorHAnsi" w:hAnsiTheme="minorHAnsi" w:cstheme="minorHAnsi"/>
          <w:noProof/>
        </w:rPr>
        <w:lastRenderedPageBreak/>
        <w:drawing>
          <wp:inline distT="0" distB="0" distL="0" distR="0">
            <wp:extent cx="6200595" cy="2329132"/>
            <wp:effectExtent l="19050" t="0" r="9705" b="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75952" w:rsidRPr="00466073" w:rsidRDefault="00B75952" w:rsidP="00A1248A">
      <w:pPr>
        <w:jc w:val="both"/>
        <w:rPr>
          <w:rFonts w:asciiTheme="minorHAnsi" w:hAnsiTheme="minorHAnsi" w:cstheme="minorHAnsi"/>
          <w:u w:val="single"/>
          <w:lang w:val="el-GR"/>
        </w:rPr>
      </w:pPr>
    </w:p>
    <w:p w:rsidR="00A1248A" w:rsidRPr="00466073" w:rsidRDefault="00A1248A" w:rsidP="00A1248A">
      <w:pPr>
        <w:jc w:val="both"/>
        <w:rPr>
          <w:rFonts w:asciiTheme="minorHAnsi" w:hAnsiTheme="minorHAnsi" w:cstheme="minorHAnsi"/>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 Εθνική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A1248A" w:rsidRPr="00466073" w:rsidRDefault="00A1248A" w:rsidP="004020BC">
      <w:pPr>
        <w:jc w:val="both"/>
        <w:rPr>
          <w:rFonts w:asciiTheme="minorHAnsi" w:hAnsiTheme="minorHAnsi" w:cstheme="minorHAnsi"/>
          <w:b/>
          <w:lang w:val="el-GR"/>
        </w:rPr>
      </w:pPr>
    </w:p>
    <w:p w:rsidR="00137FF5" w:rsidRPr="00466073" w:rsidRDefault="00137FF5" w:rsidP="004020BC">
      <w:pPr>
        <w:jc w:val="both"/>
        <w:rPr>
          <w:rFonts w:asciiTheme="minorHAnsi" w:hAnsiTheme="minorHAnsi" w:cstheme="minorHAnsi"/>
          <w:lang w:val="el-GR"/>
        </w:rPr>
      </w:pPr>
      <w:r w:rsidRPr="00466073">
        <w:rPr>
          <w:rFonts w:asciiTheme="minorHAnsi" w:hAnsiTheme="minorHAnsi" w:cstheme="minorHAnsi"/>
          <w:lang w:val="el-GR"/>
        </w:rPr>
        <w:t xml:space="preserve">Ο κωδικός </w:t>
      </w:r>
      <w:r w:rsidRPr="00466073">
        <w:rPr>
          <w:rFonts w:asciiTheme="minorHAnsi" w:hAnsiTheme="minorHAnsi" w:cstheme="minorHAnsi"/>
          <w:b/>
          <w:lang w:val="el-GR"/>
        </w:rPr>
        <w:t>3004</w:t>
      </w:r>
      <w:r w:rsidRPr="00466073">
        <w:rPr>
          <w:rFonts w:asciiTheme="minorHAnsi" w:hAnsiTheme="minorHAnsi" w:cstheme="minorHAnsi"/>
          <w:lang w:val="el-GR"/>
        </w:rPr>
        <w:t xml:space="preserve"> (</w:t>
      </w:r>
      <w:proofErr w:type="spellStart"/>
      <w:r w:rsidRPr="00466073">
        <w:rPr>
          <w:rFonts w:asciiTheme="minorHAnsi" w:hAnsiTheme="minorHAnsi" w:cstheme="minorHAnsi"/>
          <w:lang w:val="el-GR"/>
        </w:rPr>
        <w:t>Φάρµακα</w:t>
      </w:r>
      <w:proofErr w:type="spellEnd"/>
      <w:r w:rsidRPr="00466073">
        <w:rPr>
          <w:rFonts w:asciiTheme="minorHAnsi" w:hAnsiTheme="minorHAnsi" w:cstheme="minorHAnsi"/>
          <w:lang w:val="el-GR"/>
        </w:rPr>
        <w:t xml:space="preserve"> που προορίζονται για λιανική πώληση) είναι διαχρονικά ο σημαντικότερος για την Ελλάδα, όσον αφορά στις ελληνικές εξαγωγές του Κεφ.30 στην Ουγγαρία. Το </w:t>
      </w:r>
      <w:r w:rsidRPr="00466073">
        <w:rPr>
          <w:rFonts w:asciiTheme="minorHAnsi" w:hAnsiTheme="minorHAnsi" w:cstheme="minorHAnsi"/>
          <w:b/>
          <w:lang w:val="el-GR"/>
        </w:rPr>
        <w:t>202</w:t>
      </w:r>
      <w:r w:rsidR="00F80805" w:rsidRPr="00466073">
        <w:rPr>
          <w:rFonts w:asciiTheme="minorHAnsi" w:hAnsiTheme="minorHAnsi" w:cstheme="minorHAnsi"/>
          <w:b/>
          <w:lang w:val="el-GR"/>
        </w:rPr>
        <w:t>2</w:t>
      </w:r>
      <w:r w:rsidRPr="00466073">
        <w:rPr>
          <w:rFonts w:asciiTheme="minorHAnsi" w:hAnsiTheme="minorHAnsi" w:cstheme="minorHAnsi"/>
          <w:lang w:val="el-GR"/>
        </w:rPr>
        <w:t xml:space="preserve"> οι ελληνικές εξαγωγές φαρμάκων για λιανική πώληση στην Ουγγαρία</w:t>
      </w:r>
      <w:r w:rsidR="00F80805" w:rsidRPr="00466073">
        <w:rPr>
          <w:rFonts w:asciiTheme="minorHAnsi" w:hAnsiTheme="minorHAnsi" w:cstheme="minorHAnsi"/>
          <w:lang w:val="el-GR"/>
        </w:rPr>
        <w:t xml:space="preserve"> ανήλθαν σε</w:t>
      </w:r>
      <w:r w:rsidR="00A1248A" w:rsidRPr="00466073">
        <w:rPr>
          <w:rFonts w:asciiTheme="minorHAnsi" w:hAnsiTheme="minorHAnsi" w:cstheme="minorHAnsi"/>
          <w:lang w:val="el-GR"/>
        </w:rPr>
        <w:t xml:space="preserve"> </w:t>
      </w:r>
      <w:r w:rsidR="00EF577D" w:rsidRPr="00466073">
        <w:rPr>
          <w:rFonts w:asciiTheme="minorHAnsi" w:hAnsiTheme="minorHAnsi" w:cstheme="minorHAnsi"/>
          <w:lang w:val="el-GR"/>
        </w:rPr>
        <w:t>€</w:t>
      </w:r>
      <w:r w:rsidR="00A1248A" w:rsidRPr="00466073">
        <w:rPr>
          <w:rFonts w:asciiTheme="minorHAnsi" w:hAnsiTheme="minorHAnsi" w:cstheme="minorHAnsi"/>
          <w:color w:val="3C3C3C"/>
          <w:shd w:val="clear" w:color="auto" w:fill="FFFFFF"/>
          <w:lang w:val="el-GR"/>
        </w:rPr>
        <w:t>7,</w:t>
      </w:r>
      <w:r w:rsidR="00F80805" w:rsidRPr="00466073">
        <w:rPr>
          <w:rFonts w:asciiTheme="minorHAnsi" w:hAnsiTheme="minorHAnsi" w:cstheme="minorHAnsi"/>
          <w:lang w:val="el-GR"/>
        </w:rPr>
        <w:t>74</w:t>
      </w:r>
      <w:r w:rsidR="00EF577D" w:rsidRPr="00466073">
        <w:rPr>
          <w:rFonts w:asciiTheme="minorHAnsi" w:hAnsiTheme="minorHAnsi" w:cstheme="minorHAnsi"/>
          <w:lang w:val="el-GR"/>
        </w:rPr>
        <w:t xml:space="preserve"> εκ.</w:t>
      </w:r>
      <w:r w:rsidR="00C503E4" w:rsidRPr="00466073">
        <w:rPr>
          <w:rFonts w:asciiTheme="minorHAnsi" w:hAnsiTheme="minorHAnsi" w:cstheme="minorHAnsi"/>
          <w:lang w:val="el-GR"/>
        </w:rPr>
        <w:t xml:space="preserve"> σημειώνοντας </w:t>
      </w:r>
      <w:r w:rsidR="00F80805" w:rsidRPr="00466073">
        <w:rPr>
          <w:rFonts w:asciiTheme="minorHAnsi" w:hAnsiTheme="minorHAnsi" w:cstheme="minorHAnsi"/>
          <w:lang w:val="el-GR"/>
        </w:rPr>
        <w:t>αμελητέα πτώση της τάξης του 1,0</w:t>
      </w:r>
      <w:r w:rsidR="00A1248A" w:rsidRPr="00466073">
        <w:rPr>
          <w:rFonts w:asciiTheme="minorHAnsi" w:hAnsiTheme="minorHAnsi" w:cstheme="minorHAnsi"/>
          <w:lang w:val="el-GR"/>
        </w:rPr>
        <w:t>%. (</w:t>
      </w:r>
      <w:r w:rsidR="00F80805" w:rsidRPr="00466073">
        <w:rPr>
          <w:rFonts w:asciiTheme="minorHAnsi" w:hAnsiTheme="minorHAnsi" w:cstheme="minorHAnsi"/>
          <w:color w:val="3C3C3C"/>
          <w:shd w:val="clear" w:color="auto" w:fill="FFFFFF"/>
          <w:lang w:val="el-GR"/>
        </w:rPr>
        <w:t>2021</w:t>
      </w:r>
      <w:r w:rsidR="00A1248A" w:rsidRPr="00466073">
        <w:rPr>
          <w:rFonts w:asciiTheme="minorHAnsi" w:hAnsiTheme="minorHAnsi" w:cstheme="minorHAnsi"/>
          <w:color w:val="3C3C3C"/>
          <w:shd w:val="clear" w:color="auto" w:fill="FFFFFF"/>
          <w:lang w:val="el-GR"/>
        </w:rPr>
        <w:t xml:space="preserve"> : </w:t>
      </w:r>
      <w:r w:rsidR="00F80805" w:rsidRPr="00466073">
        <w:rPr>
          <w:rFonts w:asciiTheme="minorHAnsi" w:hAnsiTheme="minorHAnsi" w:cstheme="minorHAnsi"/>
          <w:lang w:val="el-GR"/>
        </w:rPr>
        <w:t>€ 7,81</w:t>
      </w:r>
      <w:r w:rsidR="00A1248A" w:rsidRPr="00466073">
        <w:rPr>
          <w:rFonts w:asciiTheme="minorHAnsi" w:hAnsiTheme="minorHAnsi" w:cstheme="minorHAnsi"/>
          <w:lang w:val="el-GR"/>
        </w:rPr>
        <w:t xml:space="preserve"> εκατ.) </w:t>
      </w:r>
      <w:r w:rsidR="00F80805" w:rsidRPr="00466073">
        <w:rPr>
          <w:rFonts w:asciiTheme="minorHAnsi" w:hAnsiTheme="minorHAnsi" w:cstheme="minorHAnsi"/>
          <w:lang w:val="el-GR"/>
        </w:rPr>
        <w:t>σε σχέση με το 2021</w:t>
      </w:r>
      <w:r w:rsidR="00C503E4" w:rsidRPr="00466073">
        <w:rPr>
          <w:rFonts w:asciiTheme="minorHAnsi" w:hAnsiTheme="minorHAnsi" w:cstheme="minorHAnsi"/>
          <w:lang w:val="el-GR"/>
        </w:rPr>
        <w:t xml:space="preserve">. Σημαντικότεροι ανταγωνιστές μας στην κατηγορία αυτή είναι κατά σειρά αξίας εξαγωγών: </w:t>
      </w:r>
      <w:r w:rsidR="00F80805" w:rsidRPr="00466073">
        <w:rPr>
          <w:rFonts w:asciiTheme="minorHAnsi" w:hAnsiTheme="minorHAnsi" w:cstheme="minorHAnsi"/>
          <w:lang w:val="el-GR"/>
        </w:rPr>
        <w:t xml:space="preserve">Ολλανδία (με μερίδιο αγοράς 17,5%), Βέλγιο (14,5%), Γαλλία (13,9%), </w:t>
      </w:r>
      <w:r w:rsidR="00A1248A" w:rsidRPr="00466073">
        <w:rPr>
          <w:rFonts w:asciiTheme="minorHAnsi" w:hAnsiTheme="minorHAnsi" w:cstheme="minorHAnsi"/>
          <w:lang w:val="el-GR"/>
        </w:rPr>
        <w:t>Γερμ</w:t>
      </w:r>
      <w:r w:rsidR="00F80805" w:rsidRPr="00466073">
        <w:rPr>
          <w:rFonts w:asciiTheme="minorHAnsi" w:hAnsiTheme="minorHAnsi" w:cstheme="minorHAnsi"/>
          <w:lang w:val="el-GR"/>
        </w:rPr>
        <w:t>ανία (12,6%)</w:t>
      </w:r>
      <w:r w:rsidR="00A1248A" w:rsidRPr="00466073">
        <w:rPr>
          <w:rFonts w:asciiTheme="minorHAnsi" w:hAnsiTheme="minorHAnsi" w:cstheme="minorHAnsi"/>
          <w:lang w:val="el-GR"/>
        </w:rPr>
        <w:t xml:space="preserve">, </w:t>
      </w:r>
      <w:r w:rsidR="0077282F" w:rsidRPr="00466073">
        <w:rPr>
          <w:rFonts w:asciiTheme="minorHAnsi" w:hAnsiTheme="minorHAnsi" w:cstheme="minorHAnsi"/>
          <w:lang w:val="el-GR"/>
        </w:rPr>
        <w:t xml:space="preserve">και ακολουθούν, </w:t>
      </w:r>
      <w:r w:rsidR="002D3A88" w:rsidRPr="00466073">
        <w:rPr>
          <w:rFonts w:asciiTheme="minorHAnsi" w:hAnsiTheme="minorHAnsi" w:cstheme="minorHAnsi"/>
          <w:lang w:val="el-GR"/>
        </w:rPr>
        <w:t xml:space="preserve">Ιταλία, </w:t>
      </w:r>
      <w:r w:rsidR="00F80805" w:rsidRPr="00466073">
        <w:rPr>
          <w:rFonts w:asciiTheme="minorHAnsi" w:hAnsiTheme="minorHAnsi" w:cstheme="minorHAnsi"/>
          <w:lang w:val="el-GR"/>
        </w:rPr>
        <w:t xml:space="preserve">Ιρλανδία, </w:t>
      </w:r>
      <w:r w:rsidR="002D3A88" w:rsidRPr="00466073">
        <w:rPr>
          <w:rFonts w:asciiTheme="minorHAnsi" w:hAnsiTheme="minorHAnsi" w:cstheme="minorHAnsi"/>
          <w:lang w:val="el-GR"/>
        </w:rPr>
        <w:t xml:space="preserve">Αυστρία, και </w:t>
      </w:r>
      <w:r w:rsidR="00F80805" w:rsidRPr="00466073">
        <w:rPr>
          <w:rFonts w:asciiTheme="minorHAnsi" w:hAnsiTheme="minorHAnsi" w:cstheme="minorHAnsi"/>
          <w:lang w:val="el-GR"/>
        </w:rPr>
        <w:t>Ελβετία. Η Ελλάδα ακολουθεί στην 20</w:t>
      </w:r>
      <w:r w:rsidR="0077282F" w:rsidRPr="00466073">
        <w:rPr>
          <w:rFonts w:asciiTheme="minorHAnsi" w:hAnsiTheme="minorHAnsi" w:cstheme="minorHAnsi"/>
          <w:vertAlign w:val="superscript"/>
          <w:lang w:val="el-GR"/>
        </w:rPr>
        <w:t>η</w:t>
      </w:r>
      <w:r w:rsidR="0077282F" w:rsidRPr="00466073">
        <w:rPr>
          <w:rFonts w:asciiTheme="minorHAnsi" w:hAnsiTheme="minorHAnsi" w:cstheme="minorHAnsi"/>
          <w:lang w:val="el-GR"/>
        </w:rPr>
        <w:t xml:space="preserve"> θ</w:t>
      </w:r>
      <w:r w:rsidR="00F80805" w:rsidRPr="00466073">
        <w:rPr>
          <w:rFonts w:asciiTheme="minorHAnsi" w:hAnsiTheme="minorHAnsi" w:cstheme="minorHAnsi"/>
          <w:lang w:val="el-GR"/>
        </w:rPr>
        <w:t>έση με μερίδιο αγοράς μόλις 0,31</w:t>
      </w:r>
      <w:r w:rsidR="0077282F" w:rsidRPr="00466073">
        <w:rPr>
          <w:rFonts w:asciiTheme="minorHAnsi" w:hAnsiTheme="minorHAnsi" w:cstheme="minorHAnsi"/>
          <w:lang w:val="el-GR"/>
        </w:rPr>
        <w:t>%.</w:t>
      </w:r>
    </w:p>
    <w:p w:rsidR="00137FF5" w:rsidRPr="00466073" w:rsidRDefault="00137FF5" w:rsidP="004020BC">
      <w:pPr>
        <w:jc w:val="both"/>
        <w:rPr>
          <w:rFonts w:asciiTheme="minorHAnsi" w:hAnsiTheme="minorHAnsi" w:cstheme="minorHAnsi"/>
          <w:lang w:val="el-GR"/>
        </w:rPr>
      </w:pPr>
    </w:p>
    <w:p w:rsidR="00645FBB" w:rsidRPr="00466073" w:rsidRDefault="00645FBB" w:rsidP="00645FBB">
      <w:pPr>
        <w:jc w:val="both"/>
        <w:rPr>
          <w:rFonts w:asciiTheme="minorHAnsi" w:hAnsiTheme="minorHAnsi" w:cstheme="minorHAnsi"/>
          <w:lang w:val="el-GR"/>
        </w:rPr>
      </w:pPr>
      <w:r w:rsidRPr="00466073">
        <w:rPr>
          <w:rFonts w:asciiTheme="minorHAnsi" w:hAnsiTheme="minorHAnsi" w:cstheme="minorHAnsi"/>
          <w:b/>
          <w:lang w:val="el-GR"/>
        </w:rPr>
        <w:t>Συμπέρασμα</w:t>
      </w:r>
      <w:r w:rsidRPr="00466073">
        <w:rPr>
          <w:rFonts w:asciiTheme="minorHAnsi" w:hAnsiTheme="minorHAnsi" w:cstheme="minorHAnsi"/>
          <w:lang w:val="el-GR"/>
        </w:rPr>
        <w:t xml:space="preserve">: Η χώρα μας θα μπορούσε να αξιοποιήσει τις παραγωγικές δυνατότητες </w:t>
      </w:r>
      <w:r w:rsidR="0030791E" w:rsidRPr="00466073">
        <w:rPr>
          <w:rFonts w:asciiTheme="minorHAnsi" w:hAnsiTheme="minorHAnsi" w:cstheme="minorHAnsi"/>
          <w:lang w:val="el-GR"/>
        </w:rPr>
        <w:t>των ελληνικών φαρμακοβιομηχανιών</w:t>
      </w:r>
      <w:r w:rsidR="006258D6" w:rsidRPr="00466073">
        <w:rPr>
          <w:rFonts w:asciiTheme="minorHAnsi" w:hAnsiTheme="minorHAnsi" w:cstheme="minorHAnsi"/>
          <w:lang w:val="el-GR"/>
        </w:rPr>
        <w:t xml:space="preserve">, να διατηρήσει και ενισχύσει την αυξητική εξαγωγική τάση των τελευταίων ετών </w:t>
      </w:r>
      <w:r w:rsidR="0030791E" w:rsidRPr="00466073">
        <w:rPr>
          <w:rFonts w:asciiTheme="minorHAnsi" w:hAnsiTheme="minorHAnsi" w:cstheme="minorHAnsi"/>
          <w:lang w:val="el-GR"/>
        </w:rPr>
        <w:t xml:space="preserve"> </w:t>
      </w:r>
      <w:r w:rsidRPr="00466073">
        <w:rPr>
          <w:rFonts w:asciiTheme="minorHAnsi" w:hAnsiTheme="minorHAnsi" w:cstheme="minorHAnsi"/>
          <w:lang w:val="el-GR"/>
        </w:rPr>
        <w:t xml:space="preserve">και να αυξήσει το </w:t>
      </w:r>
      <w:r w:rsidR="006258D6" w:rsidRPr="00466073">
        <w:rPr>
          <w:rFonts w:asciiTheme="minorHAnsi" w:hAnsiTheme="minorHAnsi" w:cstheme="minorHAnsi"/>
          <w:lang w:val="el-GR"/>
        </w:rPr>
        <w:t xml:space="preserve">μερίδιό της στην ουγγρική αγορά, δεδομένου ότι οι εισαγωγές φαρμακευτικών προϊόντων στην Ουγγαρία ακολουθούν, διαχρονικά, μια σταθερή αυξητική πορεία. </w:t>
      </w:r>
    </w:p>
    <w:p w:rsidR="00F3263E" w:rsidRPr="00466073" w:rsidRDefault="00F3263E" w:rsidP="00645FBB">
      <w:pPr>
        <w:jc w:val="both"/>
        <w:rPr>
          <w:rFonts w:asciiTheme="minorHAnsi" w:hAnsiTheme="minorHAnsi" w:cstheme="minorHAnsi"/>
          <w:lang w:val="el-GR"/>
        </w:rPr>
      </w:pPr>
    </w:p>
    <w:p w:rsidR="00C77468" w:rsidRPr="00466073" w:rsidRDefault="00C77468" w:rsidP="00D57DCB">
      <w:pPr>
        <w:jc w:val="both"/>
        <w:rPr>
          <w:rFonts w:asciiTheme="minorHAnsi" w:hAnsiTheme="minorHAnsi" w:cstheme="minorHAnsi"/>
          <w:b/>
          <w:color w:val="000000" w:themeColor="text1"/>
          <w:lang w:val="el-GR"/>
        </w:rPr>
      </w:pPr>
    </w:p>
    <w:p w:rsidR="00E75582" w:rsidRPr="00466073" w:rsidRDefault="00E75582" w:rsidP="00D57DCB">
      <w:pPr>
        <w:jc w:val="both"/>
        <w:rPr>
          <w:rFonts w:asciiTheme="minorHAnsi" w:hAnsiTheme="minorHAnsi" w:cstheme="minorHAnsi"/>
          <w:b/>
          <w:color w:val="000000" w:themeColor="text1"/>
          <w:lang w:val="el-GR"/>
        </w:rPr>
      </w:pPr>
      <w:r w:rsidRPr="00466073">
        <w:rPr>
          <w:rFonts w:asciiTheme="minorHAnsi" w:hAnsiTheme="minorHAnsi" w:cstheme="minorHAnsi"/>
          <w:b/>
          <w:color w:val="000000" w:themeColor="text1"/>
          <w:lang w:val="el-GR"/>
        </w:rPr>
        <w:t>ΚΕΦΑΛΑΙΟ 76</w:t>
      </w:r>
    </w:p>
    <w:p w:rsidR="00D57DCB" w:rsidRPr="00466073" w:rsidRDefault="00D57DCB" w:rsidP="00D57DCB">
      <w:pPr>
        <w:jc w:val="both"/>
        <w:rPr>
          <w:rFonts w:asciiTheme="minorHAnsi" w:hAnsiTheme="minorHAnsi" w:cstheme="minorHAnsi"/>
          <w:color w:val="000000" w:themeColor="text1"/>
          <w:lang w:val="el-GR"/>
        </w:rPr>
      </w:pPr>
    </w:p>
    <w:p w:rsidR="002D3A88" w:rsidRPr="00466073" w:rsidRDefault="002B0EA5" w:rsidP="00A719AA">
      <w:pPr>
        <w:tabs>
          <w:tab w:val="left" w:pos="3510"/>
        </w:tabs>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Η συνολική αξία εισαγωγών της Ουγγαρίας σε προϊόντα του Κεφ.76 </w:t>
      </w:r>
      <w:r w:rsidR="000C2A46" w:rsidRPr="00466073">
        <w:rPr>
          <w:rFonts w:asciiTheme="minorHAnsi" w:hAnsiTheme="minorHAnsi" w:cstheme="minorHAnsi"/>
          <w:color w:val="000000" w:themeColor="text1"/>
          <w:lang w:val="el-GR"/>
        </w:rPr>
        <w:t xml:space="preserve">[ΑΡΓΙΛΙΟ &amp; ΤΕΧΝΟΥΡΓΗΜΑΤΑ από ΑΡΓΙΛΙΟ] </w:t>
      </w:r>
      <w:r w:rsidR="00E75582" w:rsidRPr="00466073">
        <w:rPr>
          <w:rFonts w:asciiTheme="minorHAnsi" w:hAnsiTheme="minorHAnsi" w:cstheme="minorHAnsi"/>
          <w:color w:val="000000" w:themeColor="text1"/>
          <w:lang w:val="el-GR"/>
        </w:rPr>
        <w:t xml:space="preserve">για το </w:t>
      </w:r>
      <w:r w:rsidR="00BC70D0" w:rsidRPr="00466073">
        <w:rPr>
          <w:rFonts w:asciiTheme="minorHAnsi" w:hAnsiTheme="minorHAnsi" w:cstheme="minorHAnsi"/>
          <w:color w:val="000000" w:themeColor="text1"/>
          <w:lang w:val="el-GR"/>
        </w:rPr>
        <w:t>2022</w:t>
      </w:r>
      <w:r w:rsidR="002D3A88" w:rsidRPr="00466073">
        <w:rPr>
          <w:rFonts w:asciiTheme="minorHAnsi" w:hAnsiTheme="minorHAnsi" w:cstheme="minorHAnsi"/>
          <w:color w:val="000000" w:themeColor="text1"/>
          <w:lang w:val="el-GR"/>
        </w:rPr>
        <w:t xml:space="preserve"> άγγιξε τα € </w:t>
      </w:r>
      <w:r w:rsidR="00BC70D0" w:rsidRPr="00466073">
        <w:rPr>
          <w:rFonts w:asciiTheme="minorHAnsi" w:hAnsiTheme="minorHAnsi" w:cstheme="minorHAnsi"/>
          <w:color w:val="000000" w:themeColor="text1"/>
          <w:shd w:val="clear" w:color="auto" w:fill="FFFFFF"/>
          <w:lang w:val="el-GR"/>
        </w:rPr>
        <w:t xml:space="preserve">2.958.925.846 </w:t>
      </w:r>
      <w:r w:rsidR="00BC70D0" w:rsidRPr="00466073">
        <w:rPr>
          <w:rFonts w:asciiTheme="minorHAnsi" w:hAnsiTheme="minorHAnsi" w:cstheme="minorHAnsi"/>
          <w:color w:val="000000" w:themeColor="text1"/>
          <w:lang w:val="el-GR"/>
        </w:rPr>
        <w:t>σημειώνοντας σημα</w:t>
      </w:r>
      <w:r w:rsidR="002D3A88" w:rsidRPr="00466073">
        <w:rPr>
          <w:rFonts w:asciiTheme="minorHAnsi" w:hAnsiTheme="minorHAnsi" w:cstheme="minorHAnsi"/>
          <w:color w:val="000000" w:themeColor="text1"/>
          <w:lang w:val="el-GR"/>
        </w:rPr>
        <w:t>ντική αύξη</w:t>
      </w:r>
      <w:r w:rsidR="00A719AA" w:rsidRPr="00466073">
        <w:rPr>
          <w:rFonts w:asciiTheme="minorHAnsi" w:hAnsiTheme="minorHAnsi" w:cstheme="minorHAnsi"/>
          <w:color w:val="000000" w:themeColor="text1"/>
          <w:lang w:val="el-GR"/>
        </w:rPr>
        <w:t>ση τάξης 32,04</w:t>
      </w:r>
      <w:r w:rsidR="00BC70D0" w:rsidRPr="00466073">
        <w:rPr>
          <w:rFonts w:asciiTheme="minorHAnsi" w:hAnsiTheme="minorHAnsi" w:cstheme="minorHAnsi"/>
          <w:color w:val="000000" w:themeColor="text1"/>
          <w:lang w:val="el-GR"/>
        </w:rPr>
        <w:t>% σχέση με το 2021</w:t>
      </w:r>
      <w:r w:rsidR="002D3A88" w:rsidRPr="00466073">
        <w:rPr>
          <w:rFonts w:asciiTheme="minorHAnsi" w:hAnsiTheme="minorHAnsi" w:cstheme="minorHAnsi"/>
          <w:color w:val="000000" w:themeColor="text1"/>
          <w:lang w:val="el-GR"/>
        </w:rPr>
        <w:t xml:space="preserve"> (</w:t>
      </w:r>
      <w:r w:rsidR="00A719AA" w:rsidRPr="00466073">
        <w:rPr>
          <w:rFonts w:asciiTheme="minorHAnsi" w:hAnsiTheme="minorHAnsi" w:cstheme="minorHAnsi"/>
          <w:color w:val="000000" w:themeColor="text1"/>
          <w:lang w:val="el-GR"/>
        </w:rPr>
        <w:t xml:space="preserve">€ 2.240.790.981 το 2021, </w:t>
      </w:r>
      <w:r w:rsidR="002D3A88" w:rsidRPr="00466073">
        <w:rPr>
          <w:rFonts w:asciiTheme="minorHAnsi" w:hAnsiTheme="minorHAnsi" w:cstheme="minorHAnsi"/>
          <w:color w:val="000000" w:themeColor="text1"/>
          <w:lang w:val="el-GR"/>
        </w:rPr>
        <w:t xml:space="preserve">€1.643.643.035 το 2020, €1.844.161.475 το 2019 και €2.029.343 το 2018). </w:t>
      </w:r>
    </w:p>
    <w:p w:rsidR="00E75582" w:rsidRPr="00466073" w:rsidRDefault="002B0EA5" w:rsidP="00D57DCB">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Από το ποσό αυτό, €</w:t>
      </w:r>
      <w:r w:rsidR="00A719AA" w:rsidRPr="00466073">
        <w:rPr>
          <w:rFonts w:asciiTheme="minorHAnsi" w:hAnsiTheme="minorHAnsi" w:cstheme="minorHAnsi"/>
          <w:color w:val="000000" w:themeColor="text1"/>
          <w:lang w:val="el-GR"/>
        </w:rPr>
        <w:t xml:space="preserve"> </w:t>
      </w:r>
      <w:r w:rsidR="00A719AA" w:rsidRPr="00466073">
        <w:rPr>
          <w:rFonts w:asciiTheme="minorHAnsi" w:hAnsiTheme="minorHAnsi" w:cstheme="minorHAnsi"/>
          <w:color w:val="000000" w:themeColor="text1"/>
          <w:shd w:val="clear" w:color="auto" w:fill="FFFFFF"/>
          <w:lang w:val="el-GR"/>
        </w:rPr>
        <w:t xml:space="preserve">871.196.267 </w:t>
      </w:r>
      <w:r w:rsidRPr="00466073">
        <w:rPr>
          <w:rFonts w:asciiTheme="minorHAnsi" w:hAnsiTheme="minorHAnsi" w:cstheme="minorHAnsi"/>
          <w:color w:val="000000" w:themeColor="text1"/>
          <w:lang w:val="el-GR"/>
        </w:rPr>
        <w:t>αφορούν εισαγωγές του κωδ.</w:t>
      </w:r>
      <w:r w:rsidR="003D279D" w:rsidRPr="00466073">
        <w:rPr>
          <w:rFonts w:asciiTheme="minorHAnsi" w:hAnsiTheme="minorHAnsi" w:cstheme="minorHAnsi"/>
          <w:color w:val="000000" w:themeColor="text1"/>
          <w:lang w:val="el-GR"/>
        </w:rPr>
        <w:t xml:space="preserve"> Σ.Ο.</w:t>
      </w:r>
      <w:r w:rsidRPr="00466073">
        <w:rPr>
          <w:rFonts w:asciiTheme="minorHAnsi" w:hAnsiTheme="minorHAnsi" w:cstheme="minorHAnsi"/>
          <w:b/>
          <w:color w:val="000000" w:themeColor="text1"/>
          <w:lang w:val="el-GR"/>
        </w:rPr>
        <w:t>7601</w:t>
      </w:r>
      <w:r w:rsidRPr="00466073">
        <w:rPr>
          <w:rFonts w:asciiTheme="minorHAnsi" w:hAnsiTheme="minorHAnsi" w:cstheme="minorHAnsi"/>
          <w:color w:val="000000" w:themeColor="text1"/>
          <w:lang w:val="el-GR"/>
        </w:rPr>
        <w:t xml:space="preserve"> [Αργίλιο σε ακατέργαστη µ</w:t>
      </w:r>
      <w:proofErr w:type="spellStart"/>
      <w:r w:rsidRPr="00466073">
        <w:rPr>
          <w:rFonts w:asciiTheme="minorHAnsi" w:hAnsiTheme="minorHAnsi" w:cstheme="minorHAnsi"/>
          <w:color w:val="000000" w:themeColor="text1"/>
          <w:lang w:val="el-GR"/>
        </w:rPr>
        <w:t>ορφή</w:t>
      </w:r>
      <w:proofErr w:type="spellEnd"/>
      <w:r w:rsidRPr="00466073">
        <w:rPr>
          <w:rFonts w:asciiTheme="minorHAnsi" w:hAnsiTheme="minorHAnsi" w:cstheme="minorHAnsi"/>
          <w:color w:val="000000" w:themeColor="text1"/>
          <w:lang w:val="el-GR"/>
        </w:rPr>
        <w:t xml:space="preserve">]. Ακολουθούν κατά σειρά αξίας οι κωδικοί </w:t>
      </w:r>
      <w:r w:rsidR="00F84602" w:rsidRPr="00466073">
        <w:rPr>
          <w:rFonts w:asciiTheme="minorHAnsi" w:hAnsiTheme="minorHAnsi" w:cstheme="minorHAnsi"/>
          <w:color w:val="000000" w:themeColor="text1"/>
          <w:lang w:val="el-GR"/>
        </w:rPr>
        <w:t>Σ.Ο.</w:t>
      </w:r>
      <w:r w:rsidRPr="00466073">
        <w:rPr>
          <w:rFonts w:asciiTheme="minorHAnsi" w:hAnsiTheme="minorHAnsi" w:cstheme="minorHAnsi"/>
          <w:b/>
          <w:color w:val="000000" w:themeColor="text1"/>
          <w:lang w:val="el-GR"/>
        </w:rPr>
        <w:t xml:space="preserve">7606 </w:t>
      </w:r>
      <w:r w:rsidRPr="00466073">
        <w:rPr>
          <w:rFonts w:asciiTheme="minorHAnsi" w:hAnsiTheme="minorHAnsi" w:cstheme="minorHAnsi"/>
          <w:color w:val="000000" w:themeColor="text1"/>
          <w:lang w:val="el-GR"/>
        </w:rPr>
        <w:t xml:space="preserve">[Πλάκες, ταινίες και φύλλα, από αργίλιο] με </w:t>
      </w:r>
      <w:r w:rsidR="00F36909" w:rsidRPr="00466073">
        <w:rPr>
          <w:rFonts w:asciiTheme="minorHAnsi" w:hAnsiTheme="minorHAnsi" w:cstheme="minorHAnsi"/>
          <w:color w:val="000000" w:themeColor="text1"/>
          <w:lang w:val="el-GR"/>
        </w:rPr>
        <w:t>€</w:t>
      </w:r>
      <w:r w:rsidR="00A719AA" w:rsidRPr="00466073">
        <w:rPr>
          <w:rFonts w:asciiTheme="minorHAnsi" w:hAnsiTheme="minorHAnsi" w:cstheme="minorHAnsi"/>
          <w:color w:val="000000" w:themeColor="text1"/>
          <w:lang w:val="el-GR"/>
        </w:rPr>
        <w:t xml:space="preserve"> 550,4</w:t>
      </w:r>
      <w:r w:rsidR="008A0987" w:rsidRPr="00466073">
        <w:rPr>
          <w:rFonts w:asciiTheme="minorHAnsi" w:hAnsiTheme="minorHAnsi" w:cstheme="minorHAnsi"/>
          <w:color w:val="000000" w:themeColor="text1"/>
          <w:lang w:val="el-GR"/>
        </w:rPr>
        <w:t>εκ.</w:t>
      </w:r>
      <w:r w:rsidR="00F11354" w:rsidRPr="00466073">
        <w:rPr>
          <w:rFonts w:asciiTheme="minorHAnsi" w:hAnsiTheme="minorHAnsi" w:cstheme="minorHAnsi"/>
          <w:color w:val="000000" w:themeColor="text1"/>
          <w:lang w:val="el-GR"/>
        </w:rPr>
        <w:t xml:space="preserve">, </w:t>
      </w:r>
      <w:r w:rsidR="008A0987" w:rsidRPr="00466073">
        <w:rPr>
          <w:rFonts w:asciiTheme="minorHAnsi" w:hAnsiTheme="minorHAnsi" w:cstheme="minorHAnsi"/>
          <w:color w:val="000000" w:themeColor="text1"/>
          <w:lang w:val="el-GR"/>
        </w:rPr>
        <w:t>Σ.Ο.</w:t>
      </w:r>
      <w:r w:rsidR="008A0987" w:rsidRPr="00466073">
        <w:rPr>
          <w:rFonts w:asciiTheme="minorHAnsi" w:hAnsiTheme="minorHAnsi" w:cstheme="minorHAnsi"/>
          <w:b/>
          <w:color w:val="000000" w:themeColor="text1"/>
          <w:lang w:val="el-GR"/>
        </w:rPr>
        <w:t xml:space="preserve">7604 </w:t>
      </w:r>
      <w:r w:rsidR="008A0987" w:rsidRPr="00466073">
        <w:rPr>
          <w:rFonts w:asciiTheme="minorHAnsi" w:hAnsiTheme="minorHAnsi" w:cstheme="minorHAnsi"/>
          <w:color w:val="000000" w:themeColor="text1"/>
          <w:lang w:val="el-GR"/>
        </w:rPr>
        <w:t xml:space="preserve">[Ράβδοι και είδη </w:t>
      </w:r>
      <w:proofErr w:type="spellStart"/>
      <w:r w:rsidR="008A0987" w:rsidRPr="00466073">
        <w:rPr>
          <w:rFonts w:asciiTheme="minorHAnsi" w:hAnsiTheme="minorHAnsi" w:cstheme="minorHAnsi"/>
          <w:color w:val="000000" w:themeColor="text1"/>
          <w:lang w:val="el-GR"/>
        </w:rPr>
        <w:t>καθορισµένης</w:t>
      </w:r>
      <w:proofErr w:type="spellEnd"/>
      <w:r w:rsidR="008A0987" w:rsidRPr="00466073">
        <w:rPr>
          <w:rFonts w:asciiTheme="minorHAnsi" w:hAnsiTheme="minorHAnsi" w:cstheme="minorHAnsi"/>
          <w:color w:val="000000" w:themeColor="text1"/>
          <w:lang w:val="el-GR"/>
        </w:rPr>
        <w:t xml:space="preserve"> µ</w:t>
      </w:r>
      <w:proofErr w:type="spellStart"/>
      <w:r w:rsidR="008A0987" w:rsidRPr="00466073">
        <w:rPr>
          <w:rFonts w:asciiTheme="minorHAnsi" w:hAnsiTheme="minorHAnsi" w:cstheme="minorHAnsi"/>
          <w:color w:val="000000" w:themeColor="text1"/>
          <w:lang w:val="el-GR"/>
        </w:rPr>
        <w:t>ορφής</w:t>
      </w:r>
      <w:proofErr w:type="spellEnd"/>
      <w:r w:rsidR="008A0987" w:rsidRPr="00466073">
        <w:rPr>
          <w:rFonts w:asciiTheme="minorHAnsi" w:hAnsiTheme="minorHAnsi" w:cstheme="minorHAnsi"/>
          <w:color w:val="000000" w:themeColor="text1"/>
          <w:lang w:val="el-GR"/>
        </w:rPr>
        <w:t xml:space="preserve"> από αργίλιο]</w:t>
      </w:r>
      <w:r w:rsidR="008A0987" w:rsidRPr="00466073">
        <w:rPr>
          <w:rFonts w:asciiTheme="minorHAnsi" w:hAnsiTheme="minorHAnsi" w:cstheme="minorHAnsi"/>
          <w:b/>
          <w:color w:val="000000" w:themeColor="text1"/>
          <w:lang w:val="el-GR"/>
        </w:rPr>
        <w:t xml:space="preserve"> </w:t>
      </w:r>
      <w:r w:rsidR="00A719AA" w:rsidRPr="00466073">
        <w:rPr>
          <w:rFonts w:asciiTheme="minorHAnsi" w:hAnsiTheme="minorHAnsi" w:cstheme="minorHAnsi"/>
          <w:color w:val="000000" w:themeColor="text1"/>
          <w:lang w:val="el-GR"/>
        </w:rPr>
        <w:t>με € 342,0</w:t>
      </w:r>
      <w:r w:rsidR="008A0987" w:rsidRPr="00466073">
        <w:rPr>
          <w:rFonts w:asciiTheme="minorHAnsi" w:hAnsiTheme="minorHAnsi" w:cstheme="minorHAnsi"/>
          <w:color w:val="000000" w:themeColor="text1"/>
          <w:lang w:val="el-GR"/>
        </w:rPr>
        <w:t xml:space="preserve"> εκ.,  </w:t>
      </w:r>
      <w:r w:rsidR="00A719AA" w:rsidRPr="00466073">
        <w:rPr>
          <w:rFonts w:asciiTheme="minorHAnsi" w:hAnsiTheme="minorHAnsi" w:cstheme="minorHAnsi"/>
          <w:color w:val="000000" w:themeColor="text1"/>
          <w:lang w:val="el-GR"/>
        </w:rPr>
        <w:t>Σ.Ο.</w:t>
      </w:r>
      <w:r w:rsidR="00BD619B" w:rsidRPr="00466073">
        <w:rPr>
          <w:rFonts w:asciiTheme="minorHAnsi" w:hAnsiTheme="minorHAnsi" w:cstheme="minorHAnsi"/>
          <w:b/>
          <w:color w:val="000000" w:themeColor="text1"/>
          <w:lang w:val="el-GR"/>
        </w:rPr>
        <w:t>7616</w:t>
      </w:r>
      <w:r w:rsidR="00F11354" w:rsidRPr="00466073">
        <w:rPr>
          <w:rFonts w:asciiTheme="minorHAnsi" w:hAnsiTheme="minorHAnsi" w:cstheme="minorHAnsi"/>
          <w:b/>
          <w:color w:val="000000" w:themeColor="text1"/>
          <w:lang w:val="el-GR"/>
        </w:rPr>
        <w:t xml:space="preserve"> </w:t>
      </w:r>
      <w:r w:rsidR="00F11354" w:rsidRPr="00466073">
        <w:rPr>
          <w:rFonts w:asciiTheme="minorHAnsi" w:hAnsiTheme="minorHAnsi" w:cstheme="minorHAnsi"/>
          <w:color w:val="000000" w:themeColor="text1"/>
          <w:lang w:val="el-GR"/>
        </w:rPr>
        <w:t>[</w:t>
      </w:r>
      <w:r w:rsidR="00BD619B" w:rsidRPr="00466073">
        <w:rPr>
          <w:rFonts w:asciiTheme="minorHAnsi" w:hAnsiTheme="minorHAnsi" w:cstheme="minorHAnsi"/>
          <w:color w:val="000000" w:themeColor="text1"/>
          <w:lang w:val="el-GR"/>
        </w:rPr>
        <w:t>Άλλα τεχνουργήματα από αργίλιο</w:t>
      </w:r>
      <w:r w:rsidR="005E2D98" w:rsidRPr="00466073">
        <w:rPr>
          <w:rFonts w:asciiTheme="minorHAnsi" w:hAnsiTheme="minorHAnsi" w:cstheme="minorHAnsi"/>
          <w:color w:val="000000" w:themeColor="text1"/>
          <w:lang w:val="el-GR"/>
        </w:rPr>
        <w:t>] αξίας €</w:t>
      </w:r>
      <w:r w:rsidR="00BD619B" w:rsidRPr="00466073">
        <w:rPr>
          <w:rFonts w:asciiTheme="minorHAnsi" w:hAnsiTheme="minorHAnsi" w:cstheme="minorHAnsi"/>
          <w:color w:val="000000" w:themeColor="text1"/>
          <w:shd w:val="clear" w:color="auto" w:fill="FFFFFF"/>
          <w:lang w:val="el-GR"/>
        </w:rPr>
        <w:t xml:space="preserve"> 306</w:t>
      </w:r>
      <w:r w:rsidR="002D3A88" w:rsidRPr="00466073">
        <w:rPr>
          <w:rFonts w:asciiTheme="minorHAnsi" w:hAnsiTheme="minorHAnsi" w:cstheme="minorHAnsi"/>
          <w:color w:val="000000" w:themeColor="text1"/>
          <w:shd w:val="clear" w:color="auto" w:fill="FFFFFF"/>
          <w:lang w:val="el-GR"/>
        </w:rPr>
        <w:t>,</w:t>
      </w:r>
      <w:r w:rsidR="00BD619B" w:rsidRPr="00466073">
        <w:rPr>
          <w:rFonts w:asciiTheme="minorHAnsi" w:hAnsiTheme="minorHAnsi" w:cstheme="minorHAnsi"/>
          <w:color w:val="000000" w:themeColor="text1"/>
          <w:shd w:val="clear" w:color="auto" w:fill="FFFFFF"/>
          <w:lang w:val="el-GR"/>
        </w:rPr>
        <w:t>3</w:t>
      </w:r>
      <w:r w:rsidR="005E2D98" w:rsidRPr="00466073">
        <w:rPr>
          <w:rFonts w:asciiTheme="minorHAnsi" w:hAnsiTheme="minorHAnsi" w:cstheme="minorHAnsi"/>
          <w:color w:val="000000" w:themeColor="text1"/>
          <w:lang w:val="el-GR"/>
        </w:rPr>
        <w:t xml:space="preserve"> εκ.</w:t>
      </w:r>
      <w:r w:rsidR="00F84602" w:rsidRPr="00466073">
        <w:rPr>
          <w:rFonts w:asciiTheme="minorHAnsi" w:hAnsiTheme="minorHAnsi" w:cstheme="minorHAnsi"/>
          <w:color w:val="000000" w:themeColor="text1"/>
          <w:lang w:val="el-GR"/>
        </w:rPr>
        <w:t xml:space="preserve">, </w:t>
      </w:r>
      <w:r w:rsidR="008A0987" w:rsidRPr="00466073">
        <w:rPr>
          <w:rFonts w:asciiTheme="minorHAnsi" w:hAnsiTheme="minorHAnsi" w:cstheme="minorHAnsi"/>
          <w:color w:val="000000" w:themeColor="text1"/>
          <w:lang w:val="el-GR"/>
        </w:rPr>
        <w:t xml:space="preserve">και </w:t>
      </w:r>
      <w:r w:rsidR="00F84602" w:rsidRPr="00466073">
        <w:rPr>
          <w:rFonts w:asciiTheme="minorHAnsi" w:hAnsiTheme="minorHAnsi" w:cstheme="minorHAnsi"/>
          <w:b/>
          <w:color w:val="000000" w:themeColor="text1"/>
          <w:lang w:val="el-GR"/>
        </w:rPr>
        <w:t>Σ.Ο.760</w:t>
      </w:r>
      <w:r w:rsidR="00BD619B" w:rsidRPr="00466073">
        <w:rPr>
          <w:rFonts w:asciiTheme="minorHAnsi" w:hAnsiTheme="minorHAnsi" w:cstheme="minorHAnsi"/>
          <w:b/>
          <w:color w:val="000000" w:themeColor="text1"/>
          <w:lang w:val="el-GR"/>
        </w:rPr>
        <w:t>7</w:t>
      </w:r>
      <w:r w:rsidR="00F84602" w:rsidRPr="00466073">
        <w:rPr>
          <w:rFonts w:asciiTheme="minorHAnsi" w:hAnsiTheme="minorHAnsi" w:cstheme="minorHAnsi"/>
          <w:color w:val="000000" w:themeColor="text1"/>
          <w:lang w:val="el-GR"/>
        </w:rPr>
        <w:t xml:space="preserve"> [</w:t>
      </w:r>
      <w:r w:rsidR="00BD619B" w:rsidRPr="00466073">
        <w:rPr>
          <w:rFonts w:asciiTheme="minorHAnsi" w:hAnsiTheme="minorHAnsi" w:cstheme="minorHAnsi"/>
          <w:color w:val="000000" w:themeColor="text1"/>
          <w:lang w:val="el-GR"/>
        </w:rPr>
        <w:t>Φύλλα και ταινίες από αργίλιο</w:t>
      </w:r>
      <w:r w:rsidR="00F84602" w:rsidRPr="00466073">
        <w:rPr>
          <w:rFonts w:asciiTheme="minorHAnsi" w:hAnsiTheme="minorHAnsi" w:cstheme="minorHAnsi"/>
          <w:color w:val="000000" w:themeColor="text1"/>
          <w:lang w:val="el-GR"/>
        </w:rPr>
        <w:t>] με €</w:t>
      </w:r>
      <w:r w:rsidR="00BD619B" w:rsidRPr="00466073">
        <w:rPr>
          <w:rFonts w:asciiTheme="minorHAnsi" w:hAnsiTheme="minorHAnsi" w:cstheme="minorHAnsi"/>
          <w:color w:val="000000" w:themeColor="text1"/>
          <w:lang w:val="el-GR"/>
        </w:rPr>
        <w:t xml:space="preserve"> 212,7 </w:t>
      </w:r>
      <w:r w:rsidR="003D279D" w:rsidRPr="00466073">
        <w:rPr>
          <w:rFonts w:asciiTheme="minorHAnsi" w:hAnsiTheme="minorHAnsi" w:cstheme="minorHAnsi"/>
          <w:color w:val="000000" w:themeColor="text1"/>
          <w:lang w:val="el-GR"/>
        </w:rPr>
        <w:t>εκ.</w:t>
      </w:r>
    </w:p>
    <w:p w:rsidR="008A0987" w:rsidRPr="00466073" w:rsidRDefault="008A0987" w:rsidP="00D57DCB">
      <w:pPr>
        <w:jc w:val="both"/>
        <w:rPr>
          <w:rFonts w:asciiTheme="minorHAnsi" w:hAnsiTheme="minorHAnsi" w:cstheme="minorHAnsi"/>
          <w:b/>
          <w:color w:val="000000" w:themeColor="text1"/>
          <w:lang w:val="el-GR"/>
        </w:rPr>
      </w:pPr>
    </w:p>
    <w:p w:rsidR="0061356D" w:rsidRPr="00466073" w:rsidRDefault="00D57DCB" w:rsidP="002B0EA5">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rPr>
        <w:t>T</w:t>
      </w:r>
      <w:r w:rsidR="00A719AA" w:rsidRPr="00466073">
        <w:rPr>
          <w:rFonts w:asciiTheme="minorHAnsi" w:hAnsiTheme="minorHAnsi" w:cstheme="minorHAnsi"/>
          <w:color w:val="000000" w:themeColor="text1"/>
          <w:lang w:val="el-GR"/>
        </w:rPr>
        <w:t>ο 2022</w:t>
      </w:r>
      <w:r w:rsidRPr="00466073">
        <w:rPr>
          <w:rFonts w:asciiTheme="minorHAnsi" w:hAnsiTheme="minorHAnsi" w:cstheme="minorHAnsi"/>
          <w:color w:val="000000" w:themeColor="text1"/>
          <w:lang w:val="el-GR"/>
        </w:rPr>
        <w:t xml:space="preserve">, </w:t>
      </w:r>
      <w:r w:rsidRPr="00466073">
        <w:rPr>
          <w:rFonts w:asciiTheme="minorHAnsi" w:hAnsiTheme="minorHAnsi" w:cstheme="minorHAnsi"/>
          <w:b/>
          <w:color w:val="000000" w:themeColor="text1"/>
          <w:lang w:val="el-GR"/>
        </w:rPr>
        <w:t>η Ουγγαρία εισήγαγε</w:t>
      </w:r>
      <w:r w:rsidRPr="00466073">
        <w:rPr>
          <w:rFonts w:asciiTheme="minorHAnsi" w:hAnsiTheme="minorHAnsi" w:cstheme="minorHAnsi"/>
          <w:color w:val="000000" w:themeColor="text1"/>
          <w:lang w:val="el-GR"/>
        </w:rPr>
        <w:t xml:space="preserve"> </w:t>
      </w:r>
      <w:r w:rsidRPr="00466073">
        <w:rPr>
          <w:rFonts w:asciiTheme="minorHAnsi" w:hAnsiTheme="minorHAnsi" w:cstheme="minorHAnsi"/>
          <w:b/>
          <w:color w:val="000000" w:themeColor="text1"/>
          <w:lang w:val="el-GR"/>
        </w:rPr>
        <w:t>α</w:t>
      </w:r>
      <w:r w:rsidR="00AD7D83" w:rsidRPr="00466073">
        <w:rPr>
          <w:rFonts w:asciiTheme="minorHAnsi" w:hAnsiTheme="minorHAnsi" w:cstheme="minorHAnsi"/>
          <w:b/>
          <w:color w:val="000000" w:themeColor="text1"/>
          <w:lang w:val="el-GR"/>
        </w:rPr>
        <w:t xml:space="preserve">πό την Ελλάδα </w:t>
      </w:r>
      <w:r w:rsidR="00AD7D83" w:rsidRPr="00466073">
        <w:rPr>
          <w:rFonts w:asciiTheme="minorHAnsi" w:hAnsiTheme="minorHAnsi" w:cstheme="minorHAnsi"/>
          <w:color w:val="000000" w:themeColor="text1"/>
          <w:lang w:val="el-GR"/>
        </w:rPr>
        <w:t>προϊόντα Σ.Ο.76 συνολικής αξίας</w:t>
      </w:r>
      <w:r w:rsidR="00A719AA" w:rsidRPr="00466073">
        <w:rPr>
          <w:rFonts w:asciiTheme="minorHAnsi" w:hAnsiTheme="minorHAnsi" w:cstheme="minorHAnsi"/>
          <w:color w:val="000000" w:themeColor="text1"/>
          <w:lang w:val="el-GR"/>
        </w:rPr>
        <w:t xml:space="preserve"> €</w:t>
      </w:r>
      <w:r w:rsidR="00A719AA" w:rsidRPr="00466073">
        <w:rPr>
          <w:rFonts w:asciiTheme="minorHAnsi" w:hAnsiTheme="minorHAnsi" w:cstheme="minorHAnsi"/>
          <w:color w:val="000000" w:themeColor="text1"/>
          <w:shd w:val="clear" w:color="auto" w:fill="FFFFFF"/>
          <w:lang w:val="el-GR"/>
        </w:rPr>
        <w:t>37.865.664</w:t>
      </w:r>
      <w:r w:rsidR="00AD7D83" w:rsidRPr="00466073">
        <w:rPr>
          <w:rFonts w:asciiTheme="minorHAnsi" w:hAnsiTheme="minorHAnsi" w:cstheme="minorHAnsi"/>
          <w:color w:val="000000" w:themeColor="text1"/>
          <w:lang w:val="el-GR"/>
        </w:rPr>
        <w:t xml:space="preserve"> </w:t>
      </w:r>
      <w:r w:rsidR="00D55F26" w:rsidRPr="00466073">
        <w:rPr>
          <w:rFonts w:asciiTheme="minorHAnsi" w:hAnsiTheme="minorHAnsi" w:cstheme="minorHAnsi"/>
          <w:color w:val="000000" w:themeColor="text1"/>
          <w:lang w:val="el-GR"/>
        </w:rPr>
        <w:t>(α</w:t>
      </w:r>
      <w:r w:rsidR="00A719AA" w:rsidRPr="00466073">
        <w:rPr>
          <w:rFonts w:asciiTheme="minorHAnsi" w:hAnsiTheme="minorHAnsi" w:cstheme="minorHAnsi"/>
          <w:color w:val="000000" w:themeColor="text1"/>
          <w:lang w:val="el-GR"/>
        </w:rPr>
        <w:t>ύξηση 45</w:t>
      </w:r>
      <w:proofErr w:type="gramStart"/>
      <w:r w:rsidR="00A719AA" w:rsidRPr="00466073">
        <w:rPr>
          <w:rFonts w:asciiTheme="minorHAnsi" w:hAnsiTheme="minorHAnsi" w:cstheme="minorHAnsi"/>
          <w:color w:val="000000" w:themeColor="text1"/>
          <w:lang w:val="el-GR"/>
        </w:rPr>
        <w:t>,4</w:t>
      </w:r>
      <w:proofErr w:type="gramEnd"/>
      <w:r w:rsidR="008A0987" w:rsidRPr="00466073">
        <w:rPr>
          <w:rFonts w:asciiTheme="minorHAnsi" w:hAnsiTheme="minorHAnsi" w:cstheme="minorHAnsi"/>
          <w:color w:val="000000" w:themeColor="text1"/>
          <w:lang w:val="el-GR"/>
        </w:rPr>
        <w:t>% σε σχέση</w:t>
      </w:r>
      <w:r w:rsidR="00A719AA" w:rsidRPr="00466073">
        <w:rPr>
          <w:rFonts w:asciiTheme="minorHAnsi" w:hAnsiTheme="minorHAnsi" w:cstheme="minorHAnsi"/>
          <w:color w:val="000000" w:themeColor="text1"/>
          <w:lang w:val="el-GR"/>
        </w:rPr>
        <w:t xml:space="preserve"> με το 2021</w:t>
      </w:r>
      <w:r w:rsidR="00D55F26" w:rsidRPr="00466073">
        <w:rPr>
          <w:rFonts w:asciiTheme="minorHAnsi" w:hAnsiTheme="minorHAnsi" w:cstheme="minorHAnsi"/>
          <w:color w:val="000000" w:themeColor="text1"/>
          <w:lang w:val="el-GR"/>
        </w:rPr>
        <w:t>)</w:t>
      </w:r>
      <w:r w:rsidR="009C1C9F" w:rsidRPr="00466073">
        <w:rPr>
          <w:rFonts w:asciiTheme="minorHAnsi" w:hAnsiTheme="minorHAnsi" w:cstheme="minorHAnsi"/>
          <w:color w:val="000000" w:themeColor="text1"/>
          <w:lang w:val="el-GR"/>
        </w:rPr>
        <w:t>. Το ποσό</w:t>
      </w:r>
      <w:r w:rsidR="00D55F26" w:rsidRPr="00466073">
        <w:rPr>
          <w:rFonts w:asciiTheme="minorHAnsi" w:hAnsiTheme="minorHAnsi" w:cstheme="minorHAnsi"/>
          <w:color w:val="000000" w:themeColor="text1"/>
          <w:lang w:val="el-GR"/>
        </w:rPr>
        <w:t xml:space="preserve"> αντιστοιχ</w:t>
      </w:r>
      <w:r w:rsidR="00A719AA" w:rsidRPr="00466073">
        <w:rPr>
          <w:rFonts w:asciiTheme="minorHAnsi" w:hAnsiTheme="minorHAnsi" w:cstheme="minorHAnsi"/>
          <w:color w:val="000000" w:themeColor="text1"/>
          <w:lang w:val="el-GR"/>
        </w:rPr>
        <w:t>εί στο 1,28</w:t>
      </w:r>
      <w:r w:rsidR="00D55F26" w:rsidRPr="00466073">
        <w:rPr>
          <w:rFonts w:asciiTheme="minorHAnsi" w:hAnsiTheme="minorHAnsi" w:cstheme="minorHAnsi"/>
          <w:color w:val="000000" w:themeColor="text1"/>
          <w:lang w:val="el-GR"/>
        </w:rPr>
        <w:t xml:space="preserve">% των συνολικών εισαγωγών της Ουγγαρίας. Σημειώνεται ότι </w:t>
      </w:r>
      <w:r w:rsidR="00E75582" w:rsidRPr="00466073">
        <w:rPr>
          <w:rFonts w:asciiTheme="minorHAnsi" w:hAnsiTheme="minorHAnsi" w:cstheme="minorHAnsi"/>
          <w:color w:val="000000" w:themeColor="text1"/>
          <w:lang w:val="el-GR"/>
        </w:rPr>
        <w:t>το</w:t>
      </w:r>
      <w:r w:rsidR="00A719AA" w:rsidRPr="00466073">
        <w:rPr>
          <w:rFonts w:asciiTheme="minorHAnsi" w:hAnsiTheme="minorHAnsi" w:cstheme="minorHAnsi"/>
          <w:color w:val="000000" w:themeColor="text1"/>
          <w:lang w:val="el-GR"/>
        </w:rPr>
        <w:t xml:space="preserve"> 2021</w:t>
      </w:r>
      <w:r w:rsidR="00D55F26" w:rsidRPr="00466073">
        <w:rPr>
          <w:rFonts w:asciiTheme="minorHAnsi" w:hAnsiTheme="minorHAnsi" w:cstheme="minorHAnsi"/>
          <w:color w:val="000000" w:themeColor="text1"/>
          <w:lang w:val="el-GR"/>
        </w:rPr>
        <w:t xml:space="preserve"> οι ελληνικές εξαγωγές στην Ουγγαρία ήταν </w:t>
      </w:r>
      <w:r w:rsidR="008A0987" w:rsidRPr="00466073">
        <w:rPr>
          <w:rFonts w:asciiTheme="minorHAnsi" w:hAnsiTheme="minorHAnsi" w:cstheme="minorHAnsi"/>
          <w:color w:val="000000" w:themeColor="text1"/>
          <w:lang w:val="el-GR"/>
        </w:rPr>
        <w:t xml:space="preserve"> </w:t>
      </w:r>
      <w:r w:rsidR="00A719AA" w:rsidRPr="00466073">
        <w:rPr>
          <w:rFonts w:asciiTheme="minorHAnsi" w:hAnsiTheme="minorHAnsi" w:cstheme="minorHAnsi"/>
          <w:color w:val="000000" w:themeColor="text1"/>
          <w:lang w:val="el-GR"/>
        </w:rPr>
        <w:t>€</w:t>
      </w:r>
      <w:r w:rsidR="00A719AA" w:rsidRPr="00466073">
        <w:rPr>
          <w:rFonts w:asciiTheme="minorHAnsi" w:hAnsiTheme="minorHAnsi" w:cstheme="minorHAnsi"/>
          <w:color w:val="000000" w:themeColor="text1"/>
          <w:shd w:val="clear" w:color="auto" w:fill="FFFFFF"/>
          <w:lang w:val="el-GR"/>
        </w:rPr>
        <w:t xml:space="preserve">26.037.802, το 2020 </w:t>
      </w:r>
      <w:r w:rsidR="008A0987" w:rsidRPr="00466073">
        <w:rPr>
          <w:rFonts w:asciiTheme="minorHAnsi" w:hAnsiTheme="minorHAnsi" w:cstheme="minorHAnsi"/>
          <w:color w:val="000000" w:themeColor="text1"/>
          <w:lang w:val="el-GR"/>
        </w:rPr>
        <w:t xml:space="preserve">€16.840.170, το 2019 </w:t>
      </w:r>
      <w:r w:rsidR="003D279D" w:rsidRPr="00466073">
        <w:rPr>
          <w:rFonts w:asciiTheme="minorHAnsi" w:hAnsiTheme="minorHAnsi" w:cstheme="minorHAnsi"/>
          <w:color w:val="000000" w:themeColor="text1"/>
          <w:lang w:val="el-GR"/>
        </w:rPr>
        <w:t xml:space="preserve">€15.157.653 και το </w:t>
      </w:r>
      <w:r w:rsidR="00E75582" w:rsidRPr="00466073">
        <w:rPr>
          <w:rFonts w:asciiTheme="minorHAnsi" w:hAnsiTheme="minorHAnsi" w:cstheme="minorHAnsi"/>
          <w:color w:val="000000" w:themeColor="text1"/>
          <w:lang w:val="el-GR"/>
        </w:rPr>
        <w:t>201</w:t>
      </w:r>
      <w:r w:rsidR="000A3B67" w:rsidRPr="00466073">
        <w:rPr>
          <w:rFonts w:asciiTheme="minorHAnsi" w:hAnsiTheme="minorHAnsi" w:cstheme="minorHAnsi"/>
          <w:color w:val="000000" w:themeColor="text1"/>
          <w:lang w:val="el-GR"/>
        </w:rPr>
        <w:t>8</w:t>
      </w:r>
      <w:r w:rsidR="008907D7" w:rsidRPr="00466073">
        <w:rPr>
          <w:rFonts w:asciiTheme="minorHAnsi" w:hAnsiTheme="minorHAnsi" w:cstheme="minorHAnsi"/>
          <w:color w:val="000000" w:themeColor="text1"/>
          <w:lang w:val="el-GR"/>
        </w:rPr>
        <w:t xml:space="preserve"> </w:t>
      </w:r>
      <w:r w:rsidR="00E75582" w:rsidRPr="00466073">
        <w:rPr>
          <w:rFonts w:asciiTheme="minorHAnsi" w:hAnsiTheme="minorHAnsi" w:cstheme="minorHAnsi"/>
          <w:color w:val="000000" w:themeColor="text1"/>
          <w:lang w:val="el-GR"/>
        </w:rPr>
        <w:t>€</w:t>
      </w:r>
      <w:r w:rsidR="000A3B67" w:rsidRPr="00466073">
        <w:rPr>
          <w:rFonts w:asciiTheme="minorHAnsi" w:hAnsiTheme="minorHAnsi" w:cstheme="minorHAnsi"/>
          <w:color w:val="000000" w:themeColor="text1"/>
          <w:lang w:val="el-GR"/>
        </w:rPr>
        <w:t>15.897.852</w:t>
      </w:r>
      <w:r w:rsidR="00AD7D83" w:rsidRPr="00466073">
        <w:rPr>
          <w:rFonts w:asciiTheme="minorHAnsi" w:hAnsiTheme="minorHAnsi" w:cstheme="minorHAnsi"/>
          <w:color w:val="000000" w:themeColor="text1"/>
          <w:lang w:val="el-GR"/>
        </w:rPr>
        <w:t xml:space="preserve">. Σημαντικότερος τετραψήφιος </w:t>
      </w:r>
      <w:r w:rsidR="00AD7D83" w:rsidRPr="00466073">
        <w:rPr>
          <w:rFonts w:asciiTheme="minorHAnsi" w:hAnsiTheme="minorHAnsi" w:cstheme="minorHAnsi"/>
          <w:color w:val="000000" w:themeColor="text1"/>
          <w:lang w:val="el-GR"/>
        </w:rPr>
        <w:lastRenderedPageBreak/>
        <w:t xml:space="preserve">κωδικός Σ.Ο. για την Ελλάδα αναδεικνύεται </w:t>
      </w:r>
      <w:r w:rsidR="003D279D" w:rsidRPr="00466073">
        <w:rPr>
          <w:rFonts w:asciiTheme="minorHAnsi" w:hAnsiTheme="minorHAnsi" w:cstheme="minorHAnsi"/>
          <w:color w:val="000000" w:themeColor="text1"/>
          <w:lang w:val="el-GR"/>
        </w:rPr>
        <w:t>ο Σ.Ο.</w:t>
      </w:r>
      <w:r w:rsidR="003D279D" w:rsidRPr="00466073">
        <w:rPr>
          <w:rFonts w:asciiTheme="minorHAnsi" w:hAnsiTheme="minorHAnsi" w:cstheme="minorHAnsi"/>
          <w:b/>
          <w:color w:val="000000" w:themeColor="text1"/>
          <w:lang w:val="el-GR"/>
        </w:rPr>
        <w:t xml:space="preserve">7606 </w:t>
      </w:r>
      <w:r w:rsidR="003D279D" w:rsidRPr="00466073">
        <w:rPr>
          <w:rFonts w:asciiTheme="minorHAnsi" w:hAnsiTheme="minorHAnsi" w:cstheme="minorHAnsi"/>
          <w:color w:val="000000" w:themeColor="text1"/>
          <w:lang w:val="el-GR"/>
        </w:rPr>
        <w:t>[Πλάκες, ταινίες και φύλλα, από αργίλιο] με αξία εξαγωγών  €</w:t>
      </w:r>
      <w:r w:rsidR="00176D48" w:rsidRPr="00466073">
        <w:rPr>
          <w:rFonts w:asciiTheme="minorHAnsi" w:hAnsiTheme="minorHAnsi" w:cstheme="minorHAnsi"/>
          <w:color w:val="000000" w:themeColor="text1"/>
          <w:lang w:val="el-GR"/>
        </w:rPr>
        <w:t xml:space="preserve"> </w:t>
      </w:r>
      <w:r w:rsidR="00176D48" w:rsidRPr="00466073">
        <w:rPr>
          <w:rFonts w:asciiTheme="minorHAnsi" w:hAnsiTheme="minorHAnsi" w:cstheme="minorHAnsi"/>
          <w:color w:val="000000" w:themeColor="text1"/>
          <w:shd w:val="clear" w:color="auto" w:fill="FFFFFF"/>
          <w:lang w:val="el-GR"/>
        </w:rPr>
        <w:t xml:space="preserve">17.794.905 </w:t>
      </w:r>
      <w:r w:rsidR="00176D48" w:rsidRPr="00466073">
        <w:rPr>
          <w:rFonts w:asciiTheme="minorHAnsi" w:hAnsiTheme="minorHAnsi" w:cstheme="minorHAnsi"/>
          <w:color w:val="000000" w:themeColor="text1"/>
          <w:lang w:val="el-GR"/>
        </w:rPr>
        <w:t>(αύξηση 54,3</w:t>
      </w:r>
      <w:r w:rsidR="003D279D" w:rsidRPr="00466073">
        <w:rPr>
          <w:rFonts w:asciiTheme="minorHAnsi" w:hAnsiTheme="minorHAnsi" w:cstheme="minorHAnsi"/>
          <w:color w:val="000000" w:themeColor="text1"/>
          <w:lang w:val="el-GR"/>
        </w:rPr>
        <w:t>%</w:t>
      </w:r>
      <w:r w:rsidR="00176D48" w:rsidRPr="00466073">
        <w:rPr>
          <w:rFonts w:asciiTheme="minorHAnsi" w:hAnsiTheme="minorHAnsi" w:cstheme="minorHAnsi"/>
          <w:color w:val="000000" w:themeColor="text1"/>
          <w:lang w:val="el-GR"/>
        </w:rPr>
        <w:t xml:space="preserve"> σε σχέση με το 2021</w:t>
      </w:r>
      <w:r w:rsidR="003D279D" w:rsidRPr="00466073">
        <w:rPr>
          <w:rFonts w:asciiTheme="minorHAnsi" w:hAnsiTheme="minorHAnsi" w:cstheme="minorHAnsi"/>
          <w:color w:val="000000" w:themeColor="text1"/>
          <w:lang w:val="el-GR"/>
        </w:rPr>
        <w:t>)</w:t>
      </w:r>
      <w:r w:rsidR="00D55F26" w:rsidRPr="00466073">
        <w:rPr>
          <w:rFonts w:asciiTheme="minorHAnsi" w:hAnsiTheme="minorHAnsi" w:cstheme="minorHAnsi"/>
          <w:color w:val="000000" w:themeColor="text1"/>
          <w:lang w:val="el-GR"/>
        </w:rPr>
        <w:t>.</w:t>
      </w:r>
      <w:r w:rsidR="009C1C9F" w:rsidRPr="00466073">
        <w:rPr>
          <w:rFonts w:asciiTheme="minorHAnsi" w:hAnsiTheme="minorHAnsi" w:cstheme="minorHAnsi"/>
          <w:color w:val="000000" w:themeColor="text1"/>
          <w:lang w:val="el-GR"/>
        </w:rPr>
        <w:t xml:space="preserve"> </w:t>
      </w:r>
      <w:r w:rsidR="008A0987" w:rsidRPr="00466073">
        <w:rPr>
          <w:rFonts w:asciiTheme="minorHAnsi" w:hAnsiTheme="minorHAnsi" w:cstheme="minorHAnsi"/>
          <w:color w:val="000000" w:themeColor="text1"/>
          <w:lang w:val="el-GR"/>
        </w:rPr>
        <w:t>Το π</w:t>
      </w:r>
      <w:r w:rsidR="00176D48" w:rsidRPr="00466073">
        <w:rPr>
          <w:rFonts w:asciiTheme="minorHAnsi" w:hAnsiTheme="minorHAnsi" w:cstheme="minorHAnsi"/>
          <w:color w:val="000000" w:themeColor="text1"/>
          <w:lang w:val="el-GR"/>
        </w:rPr>
        <w:t>οσό αυτό αντιστοιχεί περί το 3,2</w:t>
      </w:r>
      <w:r w:rsidR="009C1C9F" w:rsidRPr="00466073">
        <w:rPr>
          <w:rFonts w:asciiTheme="minorHAnsi" w:hAnsiTheme="minorHAnsi" w:cstheme="minorHAnsi"/>
          <w:color w:val="000000" w:themeColor="text1"/>
          <w:lang w:val="el-GR"/>
        </w:rPr>
        <w:t xml:space="preserve">% των αντίστοιχων συνολικών εισαγωγών της Ουγγαρίας. </w:t>
      </w:r>
      <w:r w:rsidR="00D55F26" w:rsidRPr="00466073">
        <w:rPr>
          <w:rFonts w:asciiTheme="minorHAnsi" w:hAnsiTheme="minorHAnsi" w:cstheme="minorHAnsi"/>
          <w:color w:val="000000" w:themeColor="text1"/>
          <w:lang w:val="el-GR"/>
        </w:rPr>
        <w:t>Δεύτερη σημαντικότερη κατηγορία</w:t>
      </w:r>
      <w:r w:rsidR="00176D48" w:rsidRPr="00466073">
        <w:rPr>
          <w:rFonts w:asciiTheme="minorHAnsi" w:hAnsiTheme="minorHAnsi" w:cstheme="minorHAnsi"/>
          <w:color w:val="000000" w:themeColor="text1"/>
          <w:lang w:val="el-GR"/>
        </w:rPr>
        <w:t xml:space="preserve"> για το 2022</w:t>
      </w:r>
      <w:r w:rsidR="009C1C9F" w:rsidRPr="00466073">
        <w:rPr>
          <w:rFonts w:asciiTheme="minorHAnsi" w:hAnsiTheme="minorHAnsi" w:cstheme="minorHAnsi"/>
          <w:color w:val="000000" w:themeColor="text1"/>
          <w:lang w:val="el-GR"/>
        </w:rPr>
        <w:t xml:space="preserve">, είναι </w:t>
      </w:r>
      <w:r w:rsidR="00D55F26" w:rsidRPr="00466073">
        <w:rPr>
          <w:rFonts w:asciiTheme="minorHAnsi" w:hAnsiTheme="minorHAnsi" w:cstheme="minorHAnsi"/>
          <w:color w:val="000000" w:themeColor="text1"/>
          <w:lang w:val="el-GR"/>
        </w:rPr>
        <w:t xml:space="preserve">αυτή του κωδ. </w:t>
      </w:r>
      <w:r w:rsidR="003D279D" w:rsidRPr="00466073">
        <w:rPr>
          <w:rFonts w:asciiTheme="minorHAnsi" w:hAnsiTheme="minorHAnsi" w:cstheme="minorHAnsi"/>
          <w:color w:val="000000" w:themeColor="text1"/>
          <w:lang w:val="el-GR"/>
        </w:rPr>
        <w:t>Σ.Ο.</w:t>
      </w:r>
      <w:r w:rsidR="00AD7D83" w:rsidRPr="00466073">
        <w:rPr>
          <w:rFonts w:asciiTheme="minorHAnsi" w:hAnsiTheme="minorHAnsi" w:cstheme="minorHAnsi"/>
          <w:b/>
          <w:color w:val="000000" w:themeColor="text1"/>
          <w:lang w:val="el-GR"/>
        </w:rPr>
        <w:t>760</w:t>
      </w:r>
      <w:r w:rsidR="000A3B67" w:rsidRPr="00466073">
        <w:rPr>
          <w:rFonts w:asciiTheme="minorHAnsi" w:hAnsiTheme="minorHAnsi" w:cstheme="minorHAnsi"/>
          <w:b/>
          <w:color w:val="000000" w:themeColor="text1"/>
          <w:lang w:val="el-GR"/>
        </w:rPr>
        <w:t>4</w:t>
      </w:r>
      <w:r w:rsidR="00AD7D83" w:rsidRPr="00466073">
        <w:rPr>
          <w:rFonts w:asciiTheme="minorHAnsi" w:hAnsiTheme="minorHAnsi" w:cstheme="minorHAnsi"/>
          <w:color w:val="000000" w:themeColor="text1"/>
          <w:lang w:val="el-GR"/>
        </w:rPr>
        <w:t xml:space="preserve"> </w:t>
      </w:r>
      <w:r w:rsidR="000A3B67" w:rsidRPr="00466073">
        <w:rPr>
          <w:rFonts w:asciiTheme="minorHAnsi" w:hAnsiTheme="minorHAnsi" w:cstheme="minorHAnsi"/>
          <w:color w:val="000000" w:themeColor="text1"/>
          <w:lang w:val="el-GR"/>
        </w:rPr>
        <w:t xml:space="preserve">[Ράβδοι και είδη </w:t>
      </w:r>
      <w:proofErr w:type="spellStart"/>
      <w:r w:rsidR="000A3B67" w:rsidRPr="00466073">
        <w:rPr>
          <w:rFonts w:asciiTheme="minorHAnsi" w:hAnsiTheme="minorHAnsi" w:cstheme="minorHAnsi"/>
          <w:color w:val="000000" w:themeColor="text1"/>
          <w:lang w:val="el-GR"/>
        </w:rPr>
        <w:t>καθορισµένης</w:t>
      </w:r>
      <w:proofErr w:type="spellEnd"/>
      <w:r w:rsidR="000A3B67" w:rsidRPr="00466073">
        <w:rPr>
          <w:rFonts w:asciiTheme="minorHAnsi" w:hAnsiTheme="minorHAnsi" w:cstheme="minorHAnsi"/>
          <w:color w:val="000000" w:themeColor="text1"/>
          <w:lang w:val="el-GR"/>
        </w:rPr>
        <w:t xml:space="preserve"> µ</w:t>
      </w:r>
      <w:proofErr w:type="spellStart"/>
      <w:r w:rsidR="000A3B67" w:rsidRPr="00466073">
        <w:rPr>
          <w:rFonts w:asciiTheme="minorHAnsi" w:hAnsiTheme="minorHAnsi" w:cstheme="minorHAnsi"/>
          <w:color w:val="000000" w:themeColor="text1"/>
          <w:lang w:val="el-GR"/>
        </w:rPr>
        <w:t>ορφής</w:t>
      </w:r>
      <w:proofErr w:type="spellEnd"/>
      <w:r w:rsidR="000A3B67" w:rsidRPr="00466073">
        <w:rPr>
          <w:rFonts w:asciiTheme="minorHAnsi" w:hAnsiTheme="minorHAnsi" w:cstheme="minorHAnsi"/>
          <w:color w:val="000000" w:themeColor="text1"/>
          <w:lang w:val="el-GR"/>
        </w:rPr>
        <w:t xml:space="preserve"> από αργίλιο]</w:t>
      </w:r>
      <w:r w:rsidR="000A3B67" w:rsidRPr="00466073">
        <w:rPr>
          <w:rFonts w:asciiTheme="minorHAnsi" w:hAnsiTheme="minorHAnsi" w:cstheme="minorHAnsi"/>
          <w:b/>
          <w:color w:val="000000" w:themeColor="text1"/>
          <w:lang w:val="el-GR"/>
        </w:rPr>
        <w:t xml:space="preserve"> </w:t>
      </w:r>
      <w:r w:rsidR="008907D7" w:rsidRPr="00466073">
        <w:rPr>
          <w:rFonts w:asciiTheme="minorHAnsi" w:hAnsiTheme="minorHAnsi" w:cstheme="minorHAnsi"/>
          <w:color w:val="000000" w:themeColor="text1"/>
          <w:lang w:val="el-GR"/>
        </w:rPr>
        <w:t>με αξία εξαγωγών</w:t>
      </w:r>
      <w:r w:rsidR="000A3B67" w:rsidRPr="00466073">
        <w:rPr>
          <w:rFonts w:asciiTheme="minorHAnsi" w:hAnsiTheme="minorHAnsi" w:cstheme="minorHAnsi"/>
          <w:color w:val="000000" w:themeColor="text1"/>
          <w:lang w:val="el-GR"/>
        </w:rPr>
        <w:t xml:space="preserve"> €</w:t>
      </w:r>
      <w:r w:rsidR="00176D48" w:rsidRPr="00466073">
        <w:rPr>
          <w:rFonts w:asciiTheme="minorHAnsi" w:hAnsiTheme="minorHAnsi" w:cstheme="minorHAnsi"/>
          <w:color w:val="000000" w:themeColor="text1"/>
          <w:lang w:val="el-GR"/>
        </w:rPr>
        <w:t xml:space="preserve"> </w:t>
      </w:r>
      <w:r w:rsidR="00176D48" w:rsidRPr="00466073">
        <w:rPr>
          <w:rFonts w:asciiTheme="minorHAnsi" w:hAnsiTheme="minorHAnsi" w:cstheme="minorHAnsi"/>
          <w:color w:val="000000" w:themeColor="text1"/>
          <w:shd w:val="clear" w:color="auto" w:fill="FFFFFF"/>
          <w:lang w:val="el-GR"/>
        </w:rPr>
        <w:t xml:space="preserve">15.053.164 </w:t>
      </w:r>
      <w:r w:rsidR="00D55F26" w:rsidRPr="00466073">
        <w:rPr>
          <w:rFonts w:asciiTheme="minorHAnsi" w:hAnsiTheme="minorHAnsi" w:cstheme="minorHAnsi"/>
          <w:color w:val="000000" w:themeColor="text1"/>
          <w:lang w:val="el-GR"/>
        </w:rPr>
        <w:t>(</w:t>
      </w:r>
      <w:r w:rsidR="008A0987" w:rsidRPr="00466073">
        <w:rPr>
          <w:rFonts w:asciiTheme="minorHAnsi" w:hAnsiTheme="minorHAnsi" w:cstheme="minorHAnsi"/>
          <w:color w:val="000000" w:themeColor="text1"/>
          <w:lang w:val="el-GR"/>
        </w:rPr>
        <w:t>αύξηση</w:t>
      </w:r>
      <w:r w:rsidR="00176D48" w:rsidRPr="00466073">
        <w:rPr>
          <w:rFonts w:asciiTheme="minorHAnsi" w:hAnsiTheme="minorHAnsi" w:cstheme="minorHAnsi"/>
          <w:color w:val="000000" w:themeColor="text1"/>
          <w:lang w:val="el-GR"/>
        </w:rPr>
        <w:t xml:space="preserve"> τάξης 39,9% σε σχέση με το 2021</w:t>
      </w:r>
      <w:r w:rsidR="00D55F26" w:rsidRPr="00466073">
        <w:rPr>
          <w:rFonts w:asciiTheme="minorHAnsi" w:hAnsiTheme="minorHAnsi" w:cstheme="minorHAnsi"/>
          <w:color w:val="000000" w:themeColor="text1"/>
          <w:lang w:val="el-GR"/>
        </w:rPr>
        <w:t>)</w:t>
      </w:r>
      <w:r w:rsidR="008A0987" w:rsidRPr="00466073">
        <w:rPr>
          <w:rFonts w:asciiTheme="minorHAnsi" w:hAnsiTheme="minorHAnsi" w:cstheme="minorHAnsi"/>
          <w:color w:val="000000" w:themeColor="text1"/>
          <w:lang w:val="el-GR"/>
        </w:rPr>
        <w:t>, που καταλαμβάνει μερίδιο 4,</w:t>
      </w:r>
      <w:r w:rsidR="00176D48" w:rsidRPr="00466073">
        <w:rPr>
          <w:rFonts w:asciiTheme="minorHAnsi" w:hAnsiTheme="minorHAnsi" w:cstheme="minorHAnsi"/>
          <w:color w:val="000000" w:themeColor="text1"/>
          <w:lang w:val="el-GR"/>
        </w:rPr>
        <w:t>4</w:t>
      </w:r>
      <w:r w:rsidR="009C1C9F" w:rsidRPr="00466073">
        <w:rPr>
          <w:rFonts w:asciiTheme="minorHAnsi" w:hAnsiTheme="minorHAnsi" w:cstheme="minorHAnsi"/>
          <w:color w:val="000000" w:themeColor="text1"/>
          <w:lang w:val="el-GR"/>
        </w:rPr>
        <w:t>% του συνόλου των αντίστοιχων ουγγρικών εισαγωγών</w:t>
      </w:r>
      <w:r w:rsidR="00D55F26" w:rsidRPr="00466073">
        <w:rPr>
          <w:rFonts w:asciiTheme="minorHAnsi" w:hAnsiTheme="minorHAnsi" w:cstheme="minorHAnsi"/>
          <w:color w:val="000000" w:themeColor="text1"/>
          <w:lang w:val="el-GR"/>
        </w:rPr>
        <w:t xml:space="preserve">. </w:t>
      </w:r>
      <w:r w:rsidR="009C1C9F" w:rsidRPr="00466073">
        <w:rPr>
          <w:rFonts w:asciiTheme="minorHAnsi" w:hAnsiTheme="minorHAnsi" w:cstheme="minorHAnsi"/>
          <w:color w:val="000000" w:themeColor="text1"/>
          <w:lang w:val="el-GR"/>
        </w:rPr>
        <w:t>Ακολουθούν</w:t>
      </w:r>
      <w:r w:rsidR="00D55F26" w:rsidRPr="00466073">
        <w:rPr>
          <w:rFonts w:asciiTheme="minorHAnsi" w:hAnsiTheme="minorHAnsi" w:cstheme="minorHAnsi"/>
          <w:color w:val="000000" w:themeColor="text1"/>
          <w:lang w:val="el-GR"/>
        </w:rPr>
        <w:t xml:space="preserve"> οι κωδικοί Σ.Ο.</w:t>
      </w:r>
      <w:r w:rsidR="00D55F26" w:rsidRPr="00466073">
        <w:rPr>
          <w:rFonts w:asciiTheme="minorHAnsi" w:hAnsiTheme="minorHAnsi" w:cstheme="minorHAnsi"/>
          <w:b/>
          <w:color w:val="000000" w:themeColor="text1"/>
          <w:lang w:val="el-GR"/>
        </w:rPr>
        <w:t>7607</w:t>
      </w:r>
      <w:r w:rsidR="00D55F26" w:rsidRPr="00466073">
        <w:rPr>
          <w:rFonts w:asciiTheme="minorHAnsi" w:hAnsiTheme="minorHAnsi" w:cstheme="minorHAnsi"/>
          <w:color w:val="000000" w:themeColor="text1"/>
          <w:lang w:val="el-GR"/>
        </w:rPr>
        <w:t xml:space="preserve"> με αξία εξαγωγών €</w:t>
      </w:r>
      <w:r w:rsidR="00176D48" w:rsidRPr="00466073">
        <w:rPr>
          <w:rFonts w:asciiTheme="minorHAnsi" w:hAnsiTheme="minorHAnsi" w:cstheme="minorHAnsi"/>
          <w:color w:val="000000" w:themeColor="text1"/>
          <w:shd w:val="clear" w:color="auto" w:fill="FFFFFF"/>
          <w:lang w:val="el-GR"/>
        </w:rPr>
        <w:t xml:space="preserve">2.889.477 </w:t>
      </w:r>
      <w:r w:rsidR="00176D48" w:rsidRPr="00466073">
        <w:rPr>
          <w:rFonts w:asciiTheme="minorHAnsi" w:hAnsiTheme="minorHAnsi" w:cstheme="minorHAnsi"/>
          <w:color w:val="000000" w:themeColor="text1"/>
          <w:lang w:val="el-GR"/>
        </w:rPr>
        <w:t>(μερίδιο 1,4</w:t>
      </w:r>
      <w:r w:rsidR="001F3EE8" w:rsidRPr="00466073">
        <w:rPr>
          <w:rFonts w:asciiTheme="minorHAnsi" w:hAnsiTheme="minorHAnsi" w:cstheme="minorHAnsi"/>
          <w:color w:val="000000" w:themeColor="text1"/>
          <w:lang w:val="el-GR"/>
        </w:rPr>
        <w:t>%)</w:t>
      </w:r>
      <w:r w:rsidR="00D55F26" w:rsidRPr="00466073">
        <w:rPr>
          <w:rFonts w:asciiTheme="minorHAnsi" w:hAnsiTheme="minorHAnsi" w:cstheme="minorHAnsi"/>
          <w:color w:val="000000" w:themeColor="text1"/>
          <w:lang w:val="el-GR"/>
        </w:rPr>
        <w:t xml:space="preserve"> και Σ.Ο.</w:t>
      </w:r>
      <w:r w:rsidR="00D55F26" w:rsidRPr="00466073">
        <w:rPr>
          <w:rFonts w:asciiTheme="minorHAnsi" w:hAnsiTheme="minorHAnsi" w:cstheme="minorHAnsi"/>
          <w:b/>
          <w:color w:val="000000" w:themeColor="text1"/>
          <w:lang w:val="el-GR"/>
        </w:rPr>
        <w:t>7608</w:t>
      </w:r>
      <w:r w:rsidR="00D55F26" w:rsidRPr="00466073">
        <w:rPr>
          <w:rFonts w:asciiTheme="minorHAnsi" w:hAnsiTheme="minorHAnsi" w:cstheme="minorHAnsi"/>
          <w:color w:val="000000" w:themeColor="text1"/>
          <w:lang w:val="el-GR"/>
        </w:rPr>
        <w:t xml:space="preserve"> [Σωλήνες</w:t>
      </w:r>
      <w:r w:rsidR="00C77468" w:rsidRPr="00466073">
        <w:rPr>
          <w:rFonts w:asciiTheme="minorHAnsi" w:hAnsiTheme="minorHAnsi" w:cstheme="minorHAnsi"/>
          <w:color w:val="000000" w:themeColor="text1"/>
          <w:lang w:val="el-GR"/>
        </w:rPr>
        <w:t xml:space="preserve"> από αργίλιο] με αξία εξαγωγών </w:t>
      </w:r>
      <w:r w:rsidR="00D55F26" w:rsidRPr="00466073">
        <w:rPr>
          <w:rFonts w:asciiTheme="minorHAnsi" w:hAnsiTheme="minorHAnsi" w:cstheme="minorHAnsi"/>
          <w:color w:val="000000" w:themeColor="text1"/>
          <w:lang w:val="el-GR"/>
        </w:rPr>
        <w:t>€</w:t>
      </w:r>
      <w:r w:rsidR="00C77468" w:rsidRPr="00466073">
        <w:rPr>
          <w:rFonts w:asciiTheme="minorHAnsi" w:hAnsiTheme="minorHAnsi" w:cstheme="minorHAnsi"/>
          <w:color w:val="000000" w:themeColor="text1"/>
          <w:lang w:val="el-GR"/>
        </w:rPr>
        <w:t xml:space="preserve"> </w:t>
      </w:r>
      <w:r w:rsidR="00C77468" w:rsidRPr="00466073">
        <w:rPr>
          <w:rFonts w:asciiTheme="minorHAnsi" w:hAnsiTheme="minorHAnsi" w:cstheme="minorHAnsi"/>
          <w:color w:val="000000" w:themeColor="text1"/>
          <w:shd w:val="clear" w:color="auto" w:fill="FFFFFF"/>
          <w:lang w:val="el-GR"/>
        </w:rPr>
        <w:t xml:space="preserve">1.218.183 </w:t>
      </w:r>
      <w:r w:rsidR="00C77468" w:rsidRPr="00466073">
        <w:rPr>
          <w:rFonts w:asciiTheme="minorHAnsi" w:hAnsiTheme="minorHAnsi" w:cstheme="minorHAnsi"/>
          <w:color w:val="000000" w:themeColor="text1"/>
          <w:lang w:val="el-GR"/>
        </w:rPr>
        <w:t>(μερίδιο 3,34</w:t>
      </w:r>
      <w:r w:rsidR="001F3EE8" w:rsidRPr="00466073">
        <w:rPr>
          <w:rFonts w:asciiTheme="minorHAnsi" w:hAnsiTheme="minorHAnsi" w:cstheme="minorHAnsi"/>
          <w:color w:val="000000" w:themeColor="text1"/>
          <w:lang w:val="el-GR"/>
        </w:rPr>
        <w:t>%).</w:t>
      </w:r>
      <w:r w:rsidR="00A378EC" w:rsidRPr="00466073">
        <w:rPr>
          <w:rFonts w:asciiTheme="minorHAnsi" w:hAnsiTheme="minorHAnsi" w:cstheme="minorHAnsi"/>
          <w:color w:val="000000" w:themeColor="text1"/>
          <w:lang w:val="el-GR"/>
        </w:rPr>
        <w:t xml:space="preserve"> </w:t>
      </w:r>
      <w:r w:rsidR="00A21D3C" w:rsidRPr="00466073">
        <w:rPr>
          <w:rFonts w:asciiTheme="minorHAnsi" w:hAnsiTheme="minorHAnsi" w:cstheme="minorHAnsi"/>
          <w:color w:val="000000" w:themeColor="text1"/>
          <w:lang w:val="el-GR"/>
        </w:rPr>
        <w:t xml:space="preserve">Κυριότεροι ανταγωνιστές </w:t>
      </w:r>
      <w:r w:rsidR="00A47A25" w:rsidRPr="00466073">
        <w:rPr>
          <w:rFonts w:asciiTheme="minorHAnsi" w:hAnsiTheme="minorHAnsi" w:cstheme="minorHAnsi"/>
          <w:color w:val="000000" w:themeColor="text1"/>
          <w:lang w:val="el-GR"/>
        </w:rPr>
        <w:t xml:space="preserve">μας στα προϊόντα του Κεφ.76 </w:t>
      </w:r>
      <w:r w:rsidR="00A21D3C" w:rsidRPr="00466073">
        <w:rPr>
          <w:rFonts w:asciiTheme="minorHAnsi" w:hAnsiTheme="minorHAnsi" w:cstheme="minorHAnsi"/>
          <w:color w:val="000000" w:themeColor="text1"/>
          <w:lang w:val="el-GR"/>
        </w:rPr>
        <w:t>: Γερμανία</w:t>
      </w:r>
      <w:r w:rsidR="00C77468" w:rsidRPr="00466073">
        <w:rPr>
          <w:rFonts w:asciiTheme="minorHAnsi" w:hAnsiTheme="minorHAnsi" w:cstheme="minorHAnsi"/>
          <w:color w:val="000000" w:themeColor="text1"/>
          <w:lang w:val="el-GR"/>
        </w:rPr>
        <w:t xml:space="preserve"> (με μερίδιο αγοράς 19,0</w:t>
      </w:r>
      <w:r w:rsidR="00A47A25" w:rsidRPr="00466073">
        <w:rPr>
          <w:rFonts w:asciiTheme="minorHAnsi" w:hAnsiTheme="minorHAnsi" w:cstheme="minorHAnsi"/>
          <w:color w:val="000000" w:themeColor="text1"/>
          <w:lang w:val="el-GR"/>
        </w:rPr>
        <w:t>%)</w:t>
      </w:r>
      <w:r w:rsidR="00A21D3C" w:rsidRPr="00466073">
        <w:rPr>
          <w:rFonts w:asciiTheme="minorHAnsi" w:hAnsiTheme="minorHAnsi" w:cstheme="minorHAnsi"/>
          <w:color w:val="000000" w:themeColor="text1"/>
          <w:lang w:val="el-GR"/>
        </w:rPr>
        <w:t xml:space="preserve">, </w:t>
      </w:r>
      <w:r w:rsidR="00C77468" w:rsidRPr="00466073">
        <w:rPr>
          <w:rFonts w:asciiTheme="minorHAnsi" w:hAnsiTheme="minorHAnsi" w:cstheme="minorHAnsi"/>
          <w:color w:val="000000" w:themeColor="text1"/>
          <w:lang w:val="el-GR"/>
        </w:rPr>
        <w:t xml:space="preserve">Ολλανδία (11,10%), Ιταλία (10,1%), Αυστρία (7,7%), και ακολουθούν Ρουμανία, </w:t>
      </w:r>
      <w:r w:rsidR="00A47A25" w:rsidRPr="00466073">
        <w:rPr>
          <w:rFonts w:asciiTheme="minorHAnsi" w:hAnsiTheme="minorHAnsi" w:cstheme="minorHAnsi"/>
          <w:color w:val="000000" w:themeColor="text1"/>
          <w:lang w:val="el-GR"/>
        </w:rPr>
        <w:t xml:space="preserve">Σλοβακία, </w:t>
      </w:r>
      <w:r w:rsidRPr="00466073">
        <w:rPr>
          <w:rFonts w:asciiTheme="minorHAnsi" w:hAnsiTheme="minorHAnsi" w:cstheme="minorHAnsi"/>
          <w:color w:val="000000" w:themeColor="text1"/>
          <w:lang w:val="el-GR"/>
        </w:rPr>
        <w:t xml:space="preserve">Πολωνία, </w:t>
      </w:r>
      <w:r w:rsidR="00A47A25" w:rsidRPr="00466073">
        <w:rPr>
          <w:rFonts w:asciiTheme="minorHAnsi" w:hAnsiTheme="minorHAnsi" w:cstheme="minorHAnsi"/>
          <w:color w:val="000000" w:themeColor="text1"/>
          <w:lang w:val="el-GR"/>
        </w:rPr>
        <w:t xml:space="preserve">Βέλγιο, </w:t>
      </w:r>
      <w:r w:rsidR="00C77468" w:rsidRPr="00466073">
        <w:rPr>
          <w:rFonts w:asciiTheme="minorHAnsi" w:hAnsiTheme="minorHAnsi" w:cstheme="minorHAnsi"/>
          <w:color w:val="000000" w:themeColor="text1"/>
          <w:lang w:val="el-GR"/>
        </w:rPr>
        <w:t xml:space="preserve">Γαλλία, Κίνα. </w:t>
      </w:r>
    </w:p>
    <w:p w:rsidR="00C77468" w:rsidRPr="00466073" w:rsidRDefault="00C77468" w:rsidP="002B0EA5">
      <w:pPr>
        <w:jc w:val="both"/>
        <w:rPr>
          <w:rFonts w:asciiTheme="minorHAnsi" w:hAnsiTheme="minorHAnsi" w:cstheme="minorHAnsi"/>
          <w:lang w:val="el-GR"/>
        </w:rPr>
      </w:pPr>
    </w:p>
    <w:p w:rsidR="00C77468" w:rsidRPr="00466073" w:rsidRDefault="00C77468" w:rsidP="002B0EA5">
      <w:pPr>
        <w:jc w:val="both"/>
        <w:rPr>
          <w:rFonts w:asciiTheme="minorHAnsi" w:hAnsiTheme="minorHAnsi" w:cstheme="minorHAnsi"/>
          <w:lang w:val="el-GR"/>
        </w:rPr>
      </w:pPr>
    </w:p>
    <w:p w:rsidR="00C77468" w:rsidRPr="00466073" w:rsidRDefault="00C77468" w:rsidP="002B0EA5">
      <w:pPr>
        <w:jc w:val="both"/>
        <w:rPr>
          <w:rFonts w:asciiTheme="minorHAnsi" w:hAnsiTheme="minorHAnsi" w:cstheme="minorHAnsi"/>
          <w:lang w:val="el-GR"/>
        </w:rPr>
      </w:pPr>
      <w:r w:rsidRPr="00466073">
        <w:rPr>
          <w:rFonts w:asciiTheme="minorHAnsi" w:hAnsiTheme="minorHAnsi" w:cstheme="minorHAnsi"/>
          <w:noProof/>
        </w:rPr>
        <w:drawing>
          <wp:inline distT="0" distB="0" distL="0" distR="0">
            <wp:extent cx="6338618" cy="2553418"/>
            <wp:effectExtent l="19050" t="0" r="24082" b="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37E50" w:rsidRPr="00466073" w:rsidRDefault="00F37E50" w:rsidP="00F37E50">
      <w:pPr>
        <w:jc w:val="both"/>
        <w:rPr>
          <w:rFonts w:asciiTheme="minorHAnsi" w:hAnsiTheme="minorHAnsi" w:cstheme="minorHAnsi"/>
          <w:lang w:val="el-GR"/>
        </w:rPr>
      </w:pPr>
    </w:p>
    <w:p w:rsidR="00FE2FC0" w:rsidRPr="00466073" w:rsidRDefault="00FE2FC0" w:rsidP="00F37E50">
      <w:pPr>
        <w:jc w:val="both"/>
        <w:rPr>
          <w:rFonts w:asciiTheme="minorHAnsi" w:hAnsiTheme="minorHAnsi" w:cstheme="minorHAnsi"/>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 Εθνική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FE2FC0" w:rsidRPr="00466073" w:rsidRDefault="00FE2FC0" w:rsidP="002B0EA5">
      <w:pPr>
        <w:jc w:val="both"/>
        <w:rPr>
          <w:rFonts w:asciiTheme="minorHAnsi" w:hAnsiTheme="minorHAnsi" w:cstheme="minorHAnsi"/>
          <w:lang w:val="el-GR"/>
        </w:rPr>
      </w:pPr>
    </w:p>
    <w:p w:rsidR="0061356D" w:rsidRPr="00466073" w:rsidRDefault="0061356D" w:rsidP="002B0EA5">
      <w:pPr>
        <w:jc w:val="both"/>
        <w:rPr>
          <w:rFonts w:asciiTheme="minorHAnsi" w:hAnsiTheme="minorHAnsi" w:cstheme="minorHAnsi"/>
          <w:lang w:val="el-GR"/>
        </w:rPr>
      </w:pPr>
    </w:p>
    <w:p w:rsidR="00880B6C" w:rsidRPr="00466073" w:rsidRDefault="00880B6C" w:rsidP="002B0EA5">
      <w:pPr>
        <w:jc w:val="both"/>
        <w:rPr>
          <w:rFonts w:asciiTheme="minorHAnsi" w:hAnsiTheme="minorHAnsi" w:cstheme="minorHAnsi"/>
          <w:lang w:val="el-GR"/>
        </w:rPr>
      </w:pPr>
      <w:r w:rsidRPr="00466073">
        <w:rPr>
          <w:rFonts w:asciiTheme="minorHAnsi" w:hAnsiTheme="minorHAnsi" w:cstheme="minorHAnsi"/>
          <w:lang w:val="el-GR"/>
        </w:rPr>
        <w:t>Πέραν των δύο διαχρονικά σημαντικότερων για την Ελλάδα κωδικών Σ.Ο.</w:t>
      </w:r>
      <w:r w:rsidR="00286ACD" w:rsidRPr="00466073">
        <w:rPr>
          <w:rFonts w:asciiTheme="minorHAnsi" w:hAnsiTheme="minorHAnsi" w:cstheme="minorHAnsi"/>
          <w:lang w:val="el-GR"/>
        </w:rPr>
        <w:t xml:space="preserve">7604 και Σ.Ο.7606, </w:t>
      </w:r>
      <w:r w:rsidR="0061356D" w:rsidRPr="00466073">
        <w:rPr>
          <w:rFonts w:asciiTheme="minorHAnsi" w:hAnsiTheme="minorHAnsi" w:cstheme="minorHAnsi"/>
          <w:color w:val="000000" w:themeColor="text1"/>
          <w:lang w:val="el-GR"/>
        </w:rPr>
        <w:t xml:space="preserve">οι κωδικοί Σ.Ο.7607 και Σ.Ο.7608 </w:t>
      </w:r>
      <w:r w:rsidR="00286ACD" w:rsidRPr="00466073">
        <w:rPr>
          <w:rFonts w:asciiTheme="minorHAnsi" w:hAnsiTheme="minorHAnsi" w:cstheme="minorHAnsi"/>
          <w:lang w:val="el-GR"/>
        </w:rPr>
        <w:t>θα μπορούσαν να αυξήσουν την παρουσία τους στην ουγγρική αγορά.</w:t>
      </w:r>
    </w:p>
    <w:p w:rsidR="00880B6C" w:rsidRPr="00466073" w:rsidRDefault="00880B6C" w:rsidP="002B0EA5">
      <w:pPr>
        <w:jc w:val="both"/>
        <w:rPr>
          <w:rFonts w:asciiTheme="minorHAnsi" w:hAnsiTheme="minorHAnsi" w:cstheme="minorHAnsi"/>
          <w:b/>
          <w:lang w:val="el-GR"/>
        </w:rPr>
      </w:pPr>
    </w:p>
    <w:p w:rsidR="002B0EA5" w:rsidRPr="00466073" w:rsidRDefault="002B0EA5" w:rsidP="002B0EA5">
      <w:pPr>
        <w:jc w:val="both"/>
        <w:rPr>
          <w:rFonts w:asciiTheme="minorHAnsi" w:hAnsiTheme="minorHAnsi" w:cstheme="minorHAnsi"/>
          <w:lang w:val="el-GR"/>
        </w:rPr>
      </w:pPr>
      <w:r w:rsidRPr="00466073">
        <w:rPr>
          <w:rFonts w:asciiTheme="minorHAnsi" w:hAnsiTheme="minorHAnsi" w:cstheme="minorHAnsi"/>
          <w:b/>
          <w:lang w:val="el-GR"/>
        </w:rPr>
        <w:t>Συμπέρασμα</w:t>
      </w:r>
      <w:r w:rsidRPr="00466073">
        <w:rPr>
          <w:rFonts w:asciiTheme="minorHAnsi" w:hAnsiTheme="minorHAnsi" w:cstheme="minorHAnsi"/>
          <w:lang w:val="el-GR"/>
        </w:rPr>
        <w:t xml:space="preserve">: Τα ποσοστά και η θέση κατάταξης της Ελλάδος τόσο στον διψήφιο κωδικό 76 όσο και στους 4ψήφιους κωδικούς, αφήνουν περιθώρια βελτίωσης και αύξησης του μεριδίου αγοράς. </w:t>
      </w:r>
    </w:p>
    <w:p w:rsidR="00546CB3" w:rsidRPr="00466073" w:rsidRDefault="00546CB3" w:rsidP="002B0EA5">
      <w:pPr>
        <w:jc w:val="both"/>
        <w:rPr>
          <w:rFonts w:asciiTheme="minorHAnsi" w:hAnsiTheme="minorHAnsi" w:cstheme="minorHAnsi"/>
          <w:lang w:val="el-GR"/>
        </w:rPr>
      </w:pPr>
    </w:p>
    <w:p w:rsidR="00A378EC" w:rsidRPr="00466073" w:rsidRDefault="00A378EC" w:rsidP="003D1659">
      <w:pPr>
        <w:jc w:val="both"/>
        <w:rPr>
          <w:rFonts w:asciiTheme="minorHAnsi" w:hAnsiTheme="minorHAnsi" w:cstheme="minorHAnsi"/>
          <w:b/>
          <w:lang w:val="el-GR"/>
        </w:rPr>
      </w:pPr>
    </w:p>
    <w:p w:rsidR="003D1659" w:rsidRPr="00466073" w:rsidRDefault="003D1659" w:rsidP="003D1659">
      <w:pPr>
        <w:jc w:val="both"/>
        <w:rPr>
          <w:rFonts w:asciiTheme="minorHAnsi" w:hAnsiTheme="minorHAnsi" w:cstheme="minorHAnsi"/>
          <w:b/>
          <w:lang w:val="el-GR"/>
        </w:rPr>
      </w:pPr>
      <w:r w:rsidRPr="00466073">
        <w:rPr>
          <w:rFonts w:asciiTheme="minorHAnsi" w:hAnsiTheme="minorHAnsi" w:cstheme="minorHAnsi"/>
          <w:b/>
          <w:lang w:val="el-GR"/>
        </w:rPr>
        <w:t>ΚΕΦΑΛΑΙΟ 85</w:t>
      </w:r>
    </w:p>
    <w:p w:rsidR="007E56B3" w:rsidRPr="00466073" w:rsidRDefault="007E56B3" w:rsidP="00F04D17">
      <w:pPr>
        <w:jc w:val="both"/>
        <w:rPr>
          <w:rFonts w:asciiTheme="minorHAnsi" w:hAnsiTheme="minorHAnsi" w:cstheme="minorHAnsi"/>
          <w:color w:val="000000" w:themeColor="text1"/>
          <w:shd w:val="clear" w:color="auto" w:fill="FFFFFF"/>
          <w:lang w:val="el-GR"/>
        </w:rPr>
      </w:pPr>
    </w:p>
    <w:p w:rsidR="00F04D17" w:rsidRPr="00466073" w:rsidRDefault="00F04D17" w:rsidP="00F04D17">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[ΜΗΧΑΝΕΣ, ΣΥΣΚΕΥΕΣ &amp; ΥΛΙΚΑ ΗΛΕΚΤΡΙΚΑ ΚΑΙ ΤΑ ΜΕΡΗ ΤΟΥΣ…]:</w:t>
      </w:r>
    </w:p>
    <w:p w:rsidR="00F04D17" w:rsidRPr="00466073" w:rsidRDefault="00F04D17" w:rsidP="00F04D17">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Στο παρόν Κεφάλαιο, η Ουγγαρία πραγματοπο</w:t>
      </w:r>
      <w:r w:rsidR="009A5C65" w:rsidRPr="00466073">
        <w:rPr>
          <w:rFonts w:asciiTheme="minorHAnsi" w:hAnsiTheme="minorHAnsi" w:cstheme="minorHAnsi"/>
          <w:color w:val="000000" w:themeColor="text1"/>
          <w:lang w:val="el-GR"/>
        </w:rPr>
        <w:t>ίησε το 202</w:t>
      </w:r>
      <w:r w:rsidR="0058323E" w:rsidRPr="00466073">
        <w:rPr>
          <w:rFonts w:asciiTheme="minorHAnsi" w:hAnsiTheme="minorHAnsi" w:cstheme="minorHAnsi"/>
          <w:color w:val="000000" w:themeColor="text1"/>
          <w:lang w:val="el-GR"/>
        </w:rPr>
        <w:t>2</w:t>
      </w:r>
      <w:r w:rsidRPr="00466073">
        <w:rPr>
          <w:rFonts w:asciiTheme="minorHAnsi" w:hAnsiTheme="minorHAnsi" w:cstheme="minorHAnsi"/>
          <w:color w:val="000000" w:themeColor="text1"/>
          <w:lang w:val="el-GR"/>
        </w:rPr>
        <w:t xml:space="preserve"> εισαγωγές αξίας €</w:t>
      </w:r>
      <w:r w:rsidR="007E56B3" w:rsidRPr="00466073">
        <w:rPr>
          <w:rFonts w:asciiTheme="minorHAnsi" w:hAnsiTheme="minorHAnsi" w:cstheme="minorHAnsi"/>
          <w:color w:val="000000" w:themeColor="text1"/>
          <w:lang w:val="el-GR"/>
        </w:rPr>
        <w:t xml:space="preserve"> </w:t>
      </w:r>
      <w:r w:rsidR="007E56B3" w:rsidRPr="00466073">
        <w:rPr>
          <w:rFonts w:asciiTheme="minorHAnsi" w:hAnsiTheme="minorHAnsi" w:cstheme="minorHAnsi"/>
          <w:color w:val="000000" w:themeColor="text1"/>
          <w:shd w:val="clear" w:color="auto" w:fill="FFFFFF"/>
          <w:lang w:val="el-GR"/>
        </w:rPr>
        <w:t>29.890.925.</w:t>
      </w:r>
      <w:r w:rsidR="0058323E" w:rsidRPr="00466073">
        <w:rPr>
          <w:rFonts w:asciiTheme="minorHAnsi" w:hAnsiTheme="minorHAnsi" w:cstheme="minorHAnsi"/>
          <w:color w:val="000000" w:themeColor="text1"/>
          <w:shd w:val="clear" w:color="auto" w:fill="FFFFFF"/>
          <w:lang w:val="el-GR"/>
        </w:rPr>
        <w:t>748</w:t>
      </w:r>
      <w:r w:rsidR="007E56B3" w:rsidRPr="00466073">
        <w:rPr>
          <w:rFonts w:asciiTheme="minorHAnsi" w:hAnsiTheme="minorHAnsi" w:cstheme="minorHAnsi"/>
          <w:color w:val="000000" w:themeColor="text1"/>
          <w:lang w:val="el-GR"/>
        </w:rPr>
        <w:t xml:space="preserve">, με </w:t>
      </w:r>
      <w:r w:rsidR="0058323E" w:rsidRPr="00466073">
        <w:rPr>
          <w:rFonts w:asciiTheme="minorHAnsi" w:hAnsiTheme="minorHAnsi" w:cstheme="minorHAnsi"/>
          <w:color w:val="000000" w:themeColor="text1"/>
          <w:lang w:val="el-GR"/>
        </w:rPr>
        <w:t>ποσοστό 19</w:t>
      </w:r>
      <w:r w:rsidR="009A5C65" w:rsidRPr="00466073">
        <w:rPr>
          <w:rFonts w:asciiTheme="minorHAnsi" w:hAnsiTheme="minorHAnsi" w:cstheme="minorHAnsi"/>
          <w:color w:val="000000" w:themeColor="text1"/>
          <w:lang w:val="el-GR"/>
        </w:rPr>
        <w:t>,</w:t>
      </w:r>
      <w:r w:rsidR="0058323E" w:rsidRPr="00466073">
        <w:rPr>
          <w:rFonts w:asciiTheme="minorHAnsi" w:hAnsiTheme="minorHAnsi" w:cstheme="minorHAnsi"/>
          <w:color w:val="000000" w:themeColor="text1"/>
          <w:lang w:val="el-GR"/>
        </w:rPr>
        <w:t>8</w:t>
      </w:r>
      <w:r w:rsidR="00286ACD" w:rsidRPr="00466073">
        <w:rPr>
          <w:rFonts w:asciiTheme="minorHAnsi" w:hAnsiTheme="minorHAnsi" w:cstheme="minorHAnsi"/>
          <w:color w:val="000000" w:themeColor="text1"/>
          <w:lang w:val="el-GR"/>
        </w:rPr>
        <w:t xml:space="preserve">% της αξίας των συνολικών εισαγωγών </w:t>
      </w:r>
      <w:r w:rsidR="008D6830" w:rsidRPr="00466073">
        <w:rPr>
          <w:rFonts w:asciiTheme="minorHAnsi" w:hAnsiTheme="minorHAnsi" w:cstheme="minorHAnsi"/>
          <w:color w:val="000000" w:themeColor="text1"/>
          <w:lang w:val="el-GR"/>
        </w:rPr>
        <w:t>της</w:t>
      </w:r>
      <w:r w:rsidR="00286ACD" w:rsidRPr="00466073">
        <w:rPr>
          <w:rFonts w:asciiTheme="minorHAnsi" w:hAnsiTheme="minorHAnsi" w:cstheme="minorHAnsi"/>
          <w:color w:val="000000" w:themeColor="text1"/>
          <w:lang w:val="el-GR"/>
        </w:rPr>
        <w:t>.</w:t>
      </w:r>
      <w:r w:rsidR="008D6830" w:rsidRPr="00466073">
        <w:rPr>
          <w:rFonts w:asciiTheme="minorHAnsi" w:hAnsiTheme="minorHAnsi" w:cstheme="minorHAnsi"/>
          <w:color w:val="000000" w:themeColor="text1"/>
          <w:lang w:val="el-GR"/>
        </w:rPr>
        <w:t xml:space="preserve"> Έτσι, τα προϊόντα του Κεφ.</w:t>
      </w:r>
      <w:r w:rsidR="007E56B3" w:rsidRPr="00466073">
        <w:rPr>
          <w:rFonts w:asciiTheme="minorHAnsi" w:hAnsiTheme="minorHAnsi" w:cstheme="minorHAnsi"/>
          <w:color w:val="000000" w:themeColor="text1"/>
          <w:lang w:val="el-GR"/>
        </w:rPr>
        <w:t xml:space="preserve"> </w:t>
      </w:r>
      <w:r w:rsidR="008D6830" w:rsidRPr="00466073">
        <w:rPr>
          <w:rFonts w:asciiTheme="minorHAnsi" w:hAnsiTheme="minorHAnsi" w:cstheme="minorHAnsi"/>
          <w:color w:val="000000" w:themeColor="text1"/>
          <w:lang w:val="el-GR"/>
        </w:rPr>
        <w:t xml:space="preserve">85 αναδεικνύονται για ακόμα μια συνεχόμενη χρονιά, τα σημαντικότερα από  </w:t>
      </w:r>
      <w:r w:rsidR="001B5E2F" w:rsidRPr="00466073">
        <w:rPr>
          <w:rFonts w:asciiTheme="minorHAnsi" w:hAnsiTheme="minorHAnsi" w:cstheme="minorHAnsi"/>
          <w:color w:val="000000" w:themeColor="text1"/>
          <w:lang w:val="el-GR"/>
        </w:rPr>
        <w:t xml:space="preserve">άποψης εισαγωγών </w:t>
      </w:r>
      <w:r w:rsidRPr="00466073">
        <w:rPr>
          <w:rFonts w:asciiTheme="minorHAnsi" w:hAnsiTheme="minorHAnsi" w:cstheme="minorHAnsi"/>
          <w:color w:val="000000" w:themeColor="text1"/>
          <w:lang w:val="el-GR"/>
        </w:rPr>
        <w:t xml:space="preserve">για την Ουγγαρία. </w:t>
      </w:r>
      <w:r w:rsidR="00FC62EF" w:rsidRPr="00466073">
        <w:rPr>
          <w:rFonts w:asciiTheme="minorHAnsi" w:hAnsiTheme="minorHAnsi" w:cstheme="minorHAnsi"/>
          <w:color w:val="000000" w:themeColor="text1"/>
          <w:lang w:val="el-GR"/>
        </w:rPr>
        <w:t>Σ</w:t>
      </w:r>
      <w:r w:rsidR="003D1659" w:rsidRPr="00466073">
        <w:rPr>
          <w:rFonts w:asciiTheme="minorHAnsi" w:hAnsiTheme="minorHAnsi" w:cstheme="minorHAnsi"/>
          <w:color w:val="000000" w:themeColor="text1"/>
          <w:lang w:val="el-GR"/>
        </w:rPr>
        <w:t>ημαντικότερος τετραψήφιος κωδικός</w:t>
      </w:r>
      <w:r w:rsidR="009A5C65" w:rsidRPr="00466073">
        <w:rPr>
          <w:rFonts w:asciiTheme="minorHAnsi" w:hAnsiTheme="minorHAnsi" w:cstheme="minorHAnsi"/>
          <w:color w:val="000000" w:themeColor="text1"/>
          <w:lang w:val="el-GR"/>
        </w:rPr>
        <w:t xml:space="preserve"> για το 202</w:t>
      </w:r>
      <w:r w:rsidR="0058323E" w:rsidRPr="00466073">
        <w:rPr>
          <w:rFonts w:asciiTheme="minorHAnsi" w:hAnsiTheme="minorHAnsi" w:cstheme="minorHAnsi"/>
          <w:color w:val="000000" w:themeColor="text1"/>
          <w:lang w:val="el-GR"/>
        </w:rPr>
        <w:t>2</w:t>
      </w:r>
      <w:r w:rsidR="00FC62EF" w:rsidRPr="00466073">
        <w:rPr>
          <w:rFonts w:asciiTheme="minorHAnsi" w:hAnsiTheme="minorHAnsi" w:cstheme="minorHAnsi"/>
          <w:color w:val="000000" w:themeColor="text1"/>
          <w:lang w:val="el-GR"/>
        </w:rPr>
        <w:t xml:space="preserve">, με </w:t>
      </w:r>
      <w:r w:rsidR="003D1659" w:rsidRPr="00466073">
        <w:rPr>
          <w:rFonts w:asciiTheme="minorHAnsi" w:hAnsiTheme="minorHAnsi" w:cstheme="minorHAnsi"/>
          <w:color w:val="000000" w:themeColor="text1"/>
          <w:lang w:val="el-GR"/>
        </w:rPr>
        <w:t xml:space="preserve">αξία εισαγωγών </w:t>
      </w:r>
      <w:r w:rsidRPr="00466073">
        <w:rPr>
          <w:rFonts w:asciiTheme="minorHAnsi" w:hAnsiTheme="minorHAnsi" w:cstheme="minorHAnsi"/>
          <w:color w:val="000000" w:themeColor="text1"/>
          <w:lang w:val="el-GR"/>
        </w:rPr>
        <w:t>€</w:t>
      </w:r>
      <w:r w:rsidR="009A5C65" w:rsidRPr="00466073">
        <w:rPr>
          <w:rFonts w:asciiTheme="minorHAnsi" w:hAnsiTheme="minorHAnsi" w:cstheme="minorHAnsi"/>
          <w:color w:val="000000" w:themeColor="text1"/>
          <w:lang w:val="el-GR"/>
        </w:rPr>
        <w:t xml:space="preserve"> </w:t>
      </w:r>
      <w:r w:rsidR="00E542A1" w:rsidRPr="00466073">
        <w:rPr>
          <w:rFonts w:asciiTheme="minorHAnsi" w:hAnsiTheme="minorHAnsi" w:cstheme="minorHAnsi"/>
          <w:color w:val="000000" w:themeColor="text1"/>
          <w:shd w:val="clear" w:color="auto" w:fill="FFFFFF"/>
          <w:lang w:val="el-GR"/>
        </w:rPr>
        <w:t>4.545.</w:t>
      </w:r>
      <w:r w:rsidR="007E56B3" w:rsidRPr="00466073">
        <w:rPr>
          <w:rFonts w:asciiTheme="minorHAnsi" w:hAnsiTheme="minorHAnsi" w:cstheme="minorHAnsi"/>
          <w:color w:val="000000" w:themeColor="text1"/>
          <w:shd w:val="clear" w:color="auto" w:fill="FFFFFF"/>
          <w:lang w:val="el-GR"/>
        </w:rPr>
        <w:t>147.</w:t>
      </w:r>
      <w:r w:rsidR="00E542A1" w:rsidRPr="00466073">
        <w:rPr>
          <w:rFonts w:asciiTheme="minorHAnsi" w:hAnsiTheme="minorHAnsi" w:cstheme="minorHAnsi"/>
          <w:color w:val="000000" w:themeColor="text1"/>
          <w:shd w:val="clear" w:color="auto" w:fill="FFFFFF"/>
          <w:lang w:val="el-GR"/>
        </w:rPr>
        <w:t xml:space="preserve">847 </w:t>
      </w:r>
      <w:r w:rsidR="003D1659" w:rsidRPr="00466073">
        <w:rPr>
          <w:rFonts w:asciiTheme="minorHAnsi" w:hAnsiTheme="minorHAnsi" w:cstheme="minorHAnsi"/>
          <w:color w:val="000000" w:themeColor="text1"/>
          <w:lang w:val="el-GR"/>
        </w:rPr>
        <w:t xml:space="preserve">είναι ο </w:t>
      </w:r>
      <w:r w:rsidR="00083B7A" w:rsidRPr="00466073">
        <w:rPr>
          <w:rFonts w:asciiTheme="minorHAnsi" w:hAnsiTheme="minorHAnsi" w:cstheme="minorHAnsi"/>
          <w:color w:val="000000" w:themeColor="text1"/>
          <w:lang w:val="el-GR"/>
        </w:rPr>
        <w:t>Σ.Ο.</w:t>
      </w:r>
      <w:r w:rsidRPr="00466073">
        <w:rPr>
          <w:rFonts w:asciiTheme="minorHAnsi" w:hAnsiTheme="minorHAnsi" w:cstheme="minorHAnsi"/>
          <w:color w:val="000000" w:themeColor="text1"/>
          <w:lang w:val="el-GR"/>
        </w:rPr>
        <w:t>85</w:t>
      </w:r>
      <w:r w:rsidR="00E542A1" w:rsidRPr="00466073">
        <w:rPr>
          <w:rFonts w:asciiTheme="minorHAnsi" w:hAnsiTheme="minorHAnsi" w:cstheme="minorHAnsi"/>
          <w:color w:val="000000" w:themeColor="text1"/>
          <w:lang w:val="el-GR"/>
        </w:rPr>
        <w:t>17</w:t>
      </w:r>
      <w:r w:rsidR="00E542A1" w:rsidRPr="00466073">
        <w:rPr>
          <w:rFonts w:asciiTheme="minorHAnsi" w:hAnsiTheme="minorHAnsi" w:cstheme="minorHAnsi"/>
          <w:b/>
          <w:color w:val="000000" w:themeColor="text1"/>
          <w:lang w:val="el-GR"/>
        </w:rPr>
        <w:t xml:space="preserve"> </w:t>
      </w:r>
      <w:r w:rsidRPr="00466073">
        <w:rPr>
          <w:rFonts w:asciiTheme="minorHAnsi" w:hAnsiTheme="minorHAnsi" w:cstheme="minorHAnsi"/>
          <w:b/>
          <w:color w:val="000000" w:themeColor="text1"/>
          <w:lang w:val="el-GR"/>
        </w:rPr>
        <w:t xml:space="preserve"> </w:t>
      </w:r>
      <w:r w:rsidRPr="00466073">
        <w:rPr>
          <w:rFonts w:asciiTheme="minorHAnsi" w:hAnsiTheme="minorHAnsi" w:cstheme="minorHAnsi"/>
          <w:color w:val="000000" w:themeColor="text1"/>
          <w:lang w:val="el-GR"/>
        </w:rPr>
        <w:t>[</w:t>
      </w:r>
      <w:r w:rsidR="00E542A1" w:rsidRPr="00466073">
        <w:rPr>
          <w:rFonts w:asciiTheme="minorHAnsi" w:hAnsiTheme="minorHAnsi" w:cstheme="minorHAnsi"/>
          <w:color w:val="000000" w:themeColor="text1"/>
          <w:lang w:val="el-GR"/>
        </w:rPr>
        <w:t>Ηλεκτρικές συσκευές για την ενσύρματη τηλεφωνία</w:t>
      </w:r>
      <w:r w:rsidRPr="00466073">
        <w:rPr>
          <w:rFonts w:asciiTheme="minorHAnsi" w:hAnsiTheme="minorHAnsi" w:cstheme="minorHAnsi"/>
          <w:color w:val="000000" w:themeColor="text1"/>
          <w:lang w:val="el-GR"/>
        </w:rPr>
        <w:t xml:space="preserve">]. </w:t>
      </w:r>
    </w:p>
    <w:p w:rsidR="001A3C3B" w:rsidRPr="00466073" w:rsidRDefault="00125A07" w:rsidP="001A3C3B">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lastRenderedPageBreak/>
        <w:t>Στο σύνολο του Κεφ.85</w:t>
      </w:r>
      <w:r w:rsidR="00F04D17" w:rsidRPr="00466073">
        <w:rPr>
          <w:rFonts w:asciiTheme="minorHAnsi" w:hAnsiTheme="minorHAnsi" w:cstheme="minorHAnsi"/>
          <w:color w:val="000000" w:themeColor="text1"/>
          <w:lang w:val="el-GR"/>
        </w:rPr>
        <w:t xml:space="preserve"> η </w:t>
      </w:r>
      <w:r w:rsidR="00F04D17" w:rsidRPr="00466073">
        <w:rPr>
          <w:rFonts w:asciiTheme="minorHAnsi" w:hAnsiTheme="minorHAnsi" w:cstheme="minorHAnsi"/>
          <w:b/>
          <w:color w:val="000000" w:themeColor="text1"/>
          <w:lang w:val="el-GR"/>
        </w:rPr>
        <w:t>Ελλάδα</w:t>
      </w:r>
      <w:r w:rsidR="00F04D17"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εξήγαγε το 20</w:t>
      </w:r>
      <w:r w:rsidR="009A5C65" w:rsidRPr="00466073">
        <w:rPr>
          <w:rFonts w:asciiTheme="minorHAnsi" w:hAnsiTheme="minorHAnsi" w:cstheme="minorHAnsi"/>
          <w:color w:val="000000" w:themeColor="text1"/>
          <w:lang w:val="el-GR"/>
        </w:rPr>
        <w:t>2</w:t>
      </w:r>
      <w:r w:rsidR="00E542A1" w:rsidRPr="00466073">
        <w:rPr>
          <w:rFonts w:asciiTheme="minorHAnsi" w:hAnsiTheme="minorHAnsi" w:cstheme="minorHAnsi"/>
          <w:color w:val="000000" w:themeColor="text1"/>
          <w:lang w:val="el-GR"/>
        </w:rPr>
        <w:t>2</w:t>
      </w:r>
      <w:r w:rsidR="003D1659" w:rsidRPr="00466073">
        <w:rPr>
          <w:rFonts w:asciiTheme="minorHAnsi" w:hAnsiTheme="minorHAnsi" w:cstheme="minorHAnsi"/>
          <w:color w:val="000000" w:themeColor="text1"/>
          <w:lang w:val="el-GR"/>
        </w:rPr>
        <w:t xml:space="preserve"> </w:t>
      </w:r>
      <w:r w:rsidR="00DD6833" w:rsidRPr="00466073">
        <w:rPr>
          <w:rFonts w:asciiTheme="minorHAnsi" w:hAnsiTheme="minorHAnsi" w:cstheme="minorHAnsi"/>
          <w:color w:val="000000" w:themeColor="text1"/>
          <w:lang w:val="el-GR"/>
        </w:rPr>
        <w:t xml:space="preserve">στην Ουγγαρία </w:t>
      </w:r>
      <w:r w:rsidR="003D1659" w:rsidRPr="00466073">
        <w:rPr>
          <w:rFonts w:asciiTheme="minorHAnsi" w:hAnsiTheme="minorHAnsi" w:cstheme="minorHAnsi"/>
          <w:color w:val="000000" w:themeColor="text1"/>
          <w:lang w:val="el-GR"/>
        </w:rPr>
        <w:t xml:space="preserve">προϊόντα αξίας </w:t>
      </w:r>
      <w:r w:rsidR="002A037D" w:rsidRPr="00466073">
        <w:rPr>
          <w:rFonts w:asciiTheme="minorHAnsi" w:hAnsiTheme="minorHAnsi" w:cstheme="minorHAnsi"/>
          <w:color w:val="000000" w:themeColor="text1"/>
          <w:lang w:val="el-GR"/>
        </w:rPr>
        <w:t>€</w:t>
      </w:r>
      <w:r w:rsidR="0023745F" w:rsidRPr="00466073">
        <w:rPr>
          <w:rFonts w:asciiTheme="minorHAnsi" w:hAnsiTheme="minorHAnsi" w:cstheme="minorHAnsi"/>
          <w:color w:val="000000" w:themeColor="text1"/>
          <w:shd w:val="clear" w:color="auto" w:fill="FFFFFF"/>
          <w:lang w:val="el-GR"/>
        </w:rPr>
        <w:t xml:space="preserve">11.581.348, σημειώνοντας πτώση 3 φορές κάτω </w:t>
      </w:r>
      <w:r w:rsidR="0023745F" w:rsidRPr="00466073">
        <w:rPr>
          <w:rFonts w:asciiTheme="minorHAnsi" w:hAnsiTheme="minorHAnsi" w:cstheme="minorHAnsi"/>
          <w:color w:val="000000" w:themeColor="text1"/>
          <w:lang w:val="el-GR"/>
        </w:rPr>
        <w:t xml:space="preserve">σε σχέση με το 2021, όπου οι εξαγωγές της χώρας μας ανήλθαν στα € </w:t>
      </w:r>
      <w:r w:rsidR="0023745F" w:rsidRPr="00466073">
        <w:rPr>
          <w:rFonts w:asciiTheme="minorHAnsi" w:hAnsiTheme="minorHAnsi" w:cstheme="minorHAnsi"/>
          <w:color w:val="000000" w:themeColor="text1"/>
          <w:shd w:val="clear" w:color="auto" w:fill="FFFFFF"/>
          <w:lang w:val="el-GR"/>
        </w:rPr>
        <w:t>34.178.915</w:t>
      </w:r>
      <w:r w:rsidR="0023745F" w:rsidRPr="00466073">
        <w:rPr>
          <w:rFonts w:asciiTheme="minorHAnsi" w:hAnsiTheme="minorHAnsi" w:cstheme="minorHAnsi"/>
          <w:color w:val="000000" w:themeColor="text1"/>
          <w:lang w:val="el-GR"/>
        </w:rPr>
        <w:t xml:space="preserve">. </w:t>
      </w:r>
      <w:r w:rsidR="009A5C65" w:rsidRPr="00466073">
        <w:rPr>
          <w:rFonts w:asciiTheme="minorHAnsi" w:hAnsiTheme="minorHAnsi" w:cstheme="minorHAnsi"/>
          <w:color w:val="000000" w:themeColor="text1"/>
          <w:lang w:val="el-GR"/>
        </w:rPr>
        <w:t>Το 2020</w:t>
      </w:r>
      <w:r w:rsidR="002A037D" w:rsidRPr="00466073">
        <w:rPr>
          <w:rFonts w:asciiTheme="minorHAnsi" w:hAnsiTheme="minorHAnsi" w:cstheme="minorHAnsi"/>
          <w:color w:val="000000" w:themeColor="text1"/>
          <w:lang w:val="el-GR"/>
        </w:rPr>
        <w:t xml:space="preserve"> οι ελληνικές εξαγωγές ήταν </w:t>
      </w:r>
      <w:r w:rsidR="00F04D17" w:rsidRPr="00466073">
        <w:rPr>
          <w:rFonts w:asciiTheme="minorHAnsi" w:hAnsiTheme="minorHAnsi" w:cstheme="minorHAnsi"/>
          <w:color w:val="000000" w:themeColor="text1"/>
          <w:lang w:val="el-GR"/>
        </w:rPr>
        <w:t>€</w:t>
      </w:r>
      <w:r w:rsidR="009A5C65" w:rsidRPr="00466073">
        <w:rPr>
          <w:rFonts w:asciiTheme="minorHAnsi" w:hAnsiTheme="minorHAnsi" w:cstheme="minorHAnsi"/>
          <w:color w:val="000000" w:themeColor="text1"/>
          <w:lang w:val="el-GR"/>
        </w:rPr>
        <w:t>21.382.620 και το 2019</w:t>
      </w:r>
      <w:r w:rsidR="0023745F" w:rsidRPr="00466073">
        <w:rPr>
          <w:rFonts w:asciiTheme="minorHAnsi" w:hAnsiTheme="minorHAnsi" w:cstheme="minorHAnsi"/>
          <w:color w:val="000000" w:themeColor="text1"/>
          <w:lang w:val="el-GR"/>
        </w:rPr>
        <w:t xml:space="preserve"> στα </w:t>
      </w:r>
      <w:r w:rsidR="002A037D"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w:t>
      </w:r>
      <w:r w:rsidR="009A5C65" w:rsidRPr="00466073">
        <w:rPr>
          <w:rFonts w:asciiTheme="minorHAnsi" w:hAnsiTheme="minorHAnsi" w:cstheme="minorHAnsi"/>
          <w:color w:val="000000" w:themeColor="text1"/>
          <w:lang w:val="el-GR"/>
        </w:rPr>
        <w:t>13.771.535.</w:t>
      </w:r>
    </w:p>
    <w:p w:rsidR="00CE4FEF" w:rsidRPr="00466073" w:rsidRDefault="0004707C" w:rsidP="00F04D17">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Σημαντικότερος </w:t>
      </w:r>
      <w:r w:rsidR="00F04D17" w:rsidRPr="00466073">
        <w:rPr>
          <w:rFonts w:asciiTheme="minorHAnsi" w:hAnsiTheme="minorHAnsi" w:cstheme="minorHAnsi"/>
          <w:color w:val="000000" w:themeColor="text1"/>
          <w:lang w:val="el-GR"/>
        </w:rPr>
        <w:t>4</w:t>
      </w:r>
      <w:r w:rsidR="007564DA" w:rsidRPr="00466073">
        <w:rPr>
          <w:rFonts w:asciiTheme="minorHAnsi" w:hAnsiTheme="minorHAnsi" w:cstheme="minorHAnsi"/>
          <w:color w:val="000000" w:themeColor="text1"/>
          <w:lang w:val="el-GR"/>
        </w:rPr>
        <w:t>-</w:t>
      </w:r>
      <w:r w:rsidR="00F04D17" w:rsidRPr="00466073">
        <w:rPr>
          <w:rFonts w:asciiTheme="minorHAnsi" w:hAnsiTheme="minorHAnsi" w:cstheme="minorHAnsi"/>
          <w:color w:val="000000" w:themeColor="text1"/>
          <w:lang w:val="el-GR"/>
        </w:rPr>
        <w:t>ψήφιο</w:t>
      </w:r>
      <w:r w:rsidRPr="00466073">
        <w:rPr>
          <w:rFonts w:asciiTheme="minorHAnsi" w:hAnsiTheme="minorHAnsi" w:cstheme="minorHAnsi"/>
          <w:color w:val="000000" w:themeColor="text1"/>
          <w:lang w:val="el-GR"/>
        </w:rPr>
        <w:t>ς</w:t>
      </w:r>
      <w:r w:rsidR="00F04D17" w:rsidRPr="00466073">
        <w:rPr>
          <w:rFonts w:asciiTheme="minorHAnsi" w:hAnsiTheme="minorHAnsi" w:cstheme="minorHAnsi"/>
          <w:color w:val="000000" w:themeColor="text1"/>
          <w:lang w:val="el-GR"/>
        </w:rPr>
        <w:t xml:space="preserve"> κωδικ</w:t>
      </w:r>
      <w:r w:rsidRPr="00466073">
        <w:rPr>
          <w:rFonts w:asciiTheme="minorHAnsi" w:hAnsiTheme="minorHAnsi" w:cstheme="minorHAnsi"/>
          <w:color w:val="000000" w:themeColor="text1"/>
          <w:lang w:val="el-GR"/>
        </w:rPr>
        <w:t>ός για την Ελλάδα</w:t>
      </w:r>
      <w:r w:rsidR="002A037D" w:rsidRPr="00466073">
        <w:rPr>
          <w:rFonts w:asciiTheme="minorHAnsi" w:hAnsiTheme="minorHAnsi" w:cstheme="minorHAnsi"/>
          <w:color w:val="000000" w:themeColor="text1"/>
          <w:lang w:val="el-GR"/>
        </w:rPr>
        <w:t>, με σημαντική διαφορά από τους υπόλοιπους κωδικούς,</w:t>
      </w:r>
      <w:r w:rsidRPr="00466073">
        <w:rPr>
          <w:rFonts w:asciiTheme="minorHAnsi" w:hAnsiTheme="minorHAnsi" w:cstheme="minorHAnsi"/>
          <w:color w:val="000000" w:themeColor="text1"/>
          <w:lang w:val="el-GR"/>
        </w:rPr>
        <w:t xml:space="preserve"> είναι </w:t>
      </w:r>
      <w:r w:rsidR="00DD6833" w:rsidRPr="00466073">
        <w:rPr>
          <w:rFonts w:asciiTheme="minorHAnsi" w:hAnsiTheme="minorHAnsi" w:cstheme="minorHAnsi"/>
          <w:color w:val="000000" w:themeColor="text1"/>
          <w:lang w:val="el-GR"/>
        </w:rPr>
        <w:t>ο</w:t>
      </w:r>
      <w:r w:rsidR="00F04D17" w:rsidRPr="00466073">
        <w:rPr>
          <w:rFonts w:asciiTheme="minorHAnsi" w:hAnsiTheme="minorHAnsi" w:cstheme="minorHAnsi"/>
          <w:color w:val="000000" w:themeColor="text1"/>
          <w:lang w:val="el-GR"/>
        </w:rPr>
        <w:t xml:space="preserve"> </w:t>
      </w:r>
      <w:r w:rsidR="00DD6833" w:rsidRPr="00466073">
        <w:rPr>
          <w:rFonts w:asciiTheme="minorHAnsi" w:hAnsiTheme="minorHAnsi" w:cstheme="minorHAnsi"/>
          <w:color w:val="000000" w:themeColor="text1"/>
          <w:lang w:val="el-GR"/>
        </w:rPr>
        <w:t>Σ.Ο.</w:t>
      </w:r>
      <w:r w:rsidR="008438D0" w:rsidRPr="00466073">
        <w:rPr>
          <w:rFonts w:asciiTheme="minorHAnsi" w:hAnsiTheme="minorHAnsi" w:cstheme="minorHAnsi"/>
          <w:b/>
          <w:color w:val="000000" w:themeColor="text1"/>
          <w:lang w:val="el-GR"/>
        </w:rPr>
        <w:t>8518</w:t>
      </w:r>
      <w:r w:rsidR="008438D0" w:rsidRPr="00466073">
        <w:rPr>
          <w:rFonts w:asciiTheme="minorHAnsi" w:hAnsiTheme="minorHAnsi" w:cstheme="minorHAnsi"/>
          <w:color w:val="000000" w:themeColor="text1"/>
          <w:lang w:val="el-GR"/>
        </w:rPr>
        <w:t xml:space="preserve"> [Μικρόφωνα - Μεγάφωνα] με αξία εξαγωγών </w:t>
      </w:r>
      <w:r w:rsidR="007564DA" w:rsidRPr="00466073">
        <w:rPr>
          <w:rFonts w:asciiTheme="minorHAnsi" w:hAnsiTheme="minorHAnsi" w:cstheme="minorHAnsi"/>
          <w:color w:val="000000" w:themeColor="text1"/>
          <w:lang w:val="el-GR"/>
        </w:rPr>
        <w:t>€</w:t>
      </w:r>
      <w:r w:rsidR="0023745F" w:rsidRPr="00466073">
        <w:rPr>
          <w:rFonts w:asciiTheme="minorHAnsi" w:hAnsiTheme="minorHAnsi" w:cstheme="minorHAnsi"/>
          <w:color w:val="000000" w:themeColor="text1"/>
          <w:lang w:val="el-GR"/>
        </w:rPr>
        <w:t xml:space="preserve"> </w:t>
      </w:r>
      <w:r w:rsidR="0023745F" w:rsidRPr="00466073">
        <w:rPr>
          <w:rFonts w:asciiTheme="minorHAnsi" w:hAnsiTheme="minorHAnsi" w:cstheme="minorHAnsi"/>
          <w:color w:val="000000" w:themeColor="text1"/>
          <w:shd w:val="clear" w:color="auto" w:fill="FFFFFF"/>
          <w:lang w:val="el-GR"/>
        </w:rPr>
        <w:t xml:space="preserve">5.510.431  </w:t>
      </w:r>
      <w:r w:rsidR="00E1210D" w:rsidRPr="00466073">
        <w:rPr>
          <w:rFonts w:asciiTheme="minorHAnsi" w:hAnsiTheme="minorHAnsi" w:cstheme="minorHAnsi"/>
          <w:color w:val="000000" w:themeColor="text1"/>
          <w:lang w:val="el-GR"/>
        </w:rPr>
        <w:t>(</w:t>
      </w:r>
      <w:r w:rsidR="0023745F" w:rsidRPr="00466073">
        <w:rPr>
          <w:rFonts w:asciiTheme="minorHAnsi" w:hAnsiTheme="minorHAnsi" w:cstheme="minorHAnsi"/>
          <w:color w:val="000000" w:themeColor="text1"/>
          <w:lang w:val="el-GR"/>
        </w:rPr>
        <w:t xml:space="preserve">2021 </w:t>
      </w:r>
      <w:r w:rsidR="0023745F" w:rsidRPr="00466073">
        <w:rPr>
          <w:rFonts w:asciiTheme="minorHAnsi" w:hAnsiTheme="minorHAnsi" w:cstheme="minorHAnsi"/>
          <w:color w:val="000000" w:themeColor="text1"/>
          <w:lang w:val="hu-HU"/>
        </w:rPr>
        <w:t>:</w:t>
      </w:r>
      <w:r w:rsidR="0023745F" w:rsidRPr="00466073">
        <w:rPr>
          <w:rFonts w:asciiTheme="minorHAnsi" w:hAnsiTheme="minorHAnsi" w:cstheme="minorHAnsi"/>
          <w:color w:val="000000" w:themeColor="text1"/>
          <w:lang w:val="el-GR"/>
        </w:rPr>
        <w:t xml:space="preserve"> 26.158.949)</w:t>
      </w:r>
      <w:r w:rsidR="0023745F" w:rsidRPr="00466073">
        <w:rPr>
          <w:rFonts w:asciiTheme="minorHAnsi" w:hAnsiTheme="minorHAnsi" w:cstheme="minorHAnsi"/>
          <w:color w:val="000000" w:themeColor="text1"/>
          <w:lang w:val="hu-HU"/>
        </w:rPr>
        <w:t xml:space="preserve">, </w:t>
      </w:r>
      <w:r w:rsidR="0023745F" w:rsidRPr="00466073">
        <w:rPr>
          <w:rFonts w:asciiTheme="minorHAnsi" w:hAnsiTheme="minorHAnsi" w:cstheme="minorHAnsi"/>
          <w:color w:val="000000" w:themeColor="text1"/>
          <w:lang w:val="el-GR"/>
        </w:rPr>
        <w:t>ποσό που αφορά</w:t>
      </w:r>
      <w:r w:rsidR="007E56B3" w:rsidRPr="00466073">
        <w:rPr>
          <w:rFonts w:asciiTheme="minorHAnsi" w:hAnsiTheme="minorHAnsi" w:cstheme="minorHAnsi"/>
          <w:color w:val="000000" w:themeColor="text1"/>
          <w:lang w:val="el-GR"/>
        </w:rPr>
        <w:t>,</w:t>
      </w:r>
      <w:r w:rsidR="0023745F" w:rsidRPr="00466073">
        <w:rPr>
          <w:rFonts w:asciiTheme="minorHAnsi" w:hAnsiTheme="minorHAnsi" w:cstheme="minorHAnsi"/>
          <w:color w:val="000000" w:themeColor="text1"/>
          <w:lang w:val="el-GR"/>
        </w:rPr>
        <w:t xml:space="preserve"> εξ ολοκλήρου </w:t>
      </w:r>
      <w:r w:rsidR="007E56B3" w:rsidRPr="00466073">
        <w:rPr>
          <w:rFonts w:asciiTheme="minorHAnsi" w:hAnsiTheme="minorHAnsi" w:cstheme="minorHAnsi"/>
          <w:color w:val="000000" w:themeColor="text1"/>
          <w:lang w:val="el-GR"/>
        </w:rPr>
        <w:t xml:space="preserve">σχεδόν, το </w:t>
      </w:r>
      <w:r w:rsidR="00FA085B" w:rsidRPr="00466073">
        <w:rPr>
          <w:rFonts w:asciiTheme="minorHAnsi" w:hAnsiTheme="minorHAnsi" w:cstheme="minorHAnsi"/>
          <w:color w:val="000000" w:themeColor="text1"/>
          <w:lang w:val="el-GR"/>
        </w:rPr>
        <w:t xml:space="preserve">προϊόν του κωδικού </w:t>
      </w:r>
      <w:r w:rsidR="00FA085B" w:rsidRPr="00466073">
        <w:rPr>
          <w:rFonts w:asciiTheme="minorHAnsi" w:hAnsiTheme="minorHAnsi" w:cstheme="minorHAnsi"/>
          <w:color w:val="000000" w:themeColor="text1"/>
          <w:u w:val="single"/>
          <w:lang w:val="el-GR"/>
        </w:rPr>
        <w:t>Σ.Ο.85183000 [</w:t>
      </w:r>
      <w:r w:rsidR="00FA085B" w:rsidRPr="00466073">
        <w:rPr>
          <w:rFonts w:asciiTheme="minorHAnsi" w:hAnsiTheme="minorHAnsi" w:cstheme="minorHAnsi"/>
          <w:b/>
          <w:color w:val="000000" w:themeColor="text1"/>
          <w:u w:val="single"/>
          <w:lang w:val="el-GR"/>
        </w:rPr>
        <w:t>Ακουστικά κεφαλής και αυτιών</w:t>
      </w:r>
      <w:r w:rsidR="00FA085B" w:rsidRPr="00466073">
        <w:rPr>
          <w:rFonts w:asciiTheme="minorHAnsi" w:hAnsiTheme="minorHAnsi" w:cstheme="minorHAnsi"/>
          <w:color w:val="000000" w:themeColor="text1"/>
          <w:u w:val="single"/>
          <w:lang w:val="el-GR"/>
        </w:rPr>
        <w:t>]</w:t>
      </w:r>
      <w:r w:rsidR="007E56B3" w:rsidRPr="00466073">
        <w:rPr>
          <w:rFonts w:asciiTheme="minorHAnsi" w:hAnsiTheme="minorHAnsi" w:cstheme="minorHAnsi"/>
          <w:color w:val="000000" w:themeColor="text1"/>
          <w:lang w:val="el-GR"/>
        </w:rPr>
        <w:t>.  Στη</w:t>
      </w:r>
      <w:r w:rsidR="00FA085B" w:rsidRPr="00466073">
        <w:rPr>
          <w:rFonts w:asciiTheme="minorHAnsi" w:hAnsiTheme="minorHAnsi" w:cstheme="minorHAnsi"/>
          <w:color w:val="000000" w:themeColor="text1"/>
          <w:lang w:val="el-GR"/>
        </w:rPr>
        <w:t xml:space="preserve"> κατηγορία αυτή, </w:t>
      </w:r>
      <w:r w:rsidR="00E1210D" w:rsidRPr="00466073">
        <w:rPr>
          <w:rFonts w:asciiTheme="minorHAnsi" w:hAnsiTheme="minorHAnsi" w:cstheme="minorHAnsi"/>
          <w:color w:val="000000" w:themeColor="text1"/>
          <w:lang w:val="el-GR"/>
        </w:rPr>
        <w:t xml:space="preserve">οι </w:t>
      </w:r>
      <w:r w:rsidR="00FA085B" w:rsidRPr="00466073">
        <w:rPr>
          <w:rFonts w:asciiTheme="minorHAnsi" w:hAnsiTheme="minorHAnsi" w:cstheme="minorHAnsi"/>
          <w:color w:val="000000" w:themeColor="text1"/>
          <w:lang w:val="el-GR"/>
        </w:rPr>
        <w:t>κ</w:t>
      </w:r>
      <w:r w:rsidR="00063F6E" w:rsidRPr="00466073">
        <w:rPr>
          <w:rFonts w:asciiTheme="minorHAnsi" w:hAnsiTheme="minorHAnsi" w:cstheme="minorHAnsi"/>
          <w:color w:val="000000" w:themeColor="text1"/>
          <w:lang w:val="el-GR"/>
        </w:rPr>
        <w:t xml:space="preserve">υριότεροι ανταγωνιστές μας </w:t>
      </w:r>
      <w:r w:rsidR="00FA085B" w:rsidRPr="00466073">
        <w:rPr>
          <w:rFonts w:asciiTheme="minorHAnsi" w:hAnsiTheme="minorHAnsi" w:cstheme="minorHAnsi"/>
          <w:color w:val="000000" w:themeColor="text1"/>
          <w:lang w:val="el-GR"/>
        </w:rPr>
        <w:t>είναι</w:t>
      </w:r>
      <w:r w:rsidR="00063F6E" w:rsidRPr="00466073">
        <w:rPr>
          <w:rFonts w:asciiTheme="minorHAnsi" w:hAnsiTheme="minorHAnsi" w:cstheme="minorHAnsi"/>
          <w:color w:val="000000" w:themeColor="text1"/>
          <w:lang w:val="el-GR"/>
        </w:rPr>
        <w:t xml:space="preserve">: </w:t>
      </w:r>
      <w:r w:rsidR="007E56B3" w:rsidRPr="00466073">
        <w:rPr>
          <w:rFonts w:asciiTheme="minorHAnsi" w:hAnsiTheme="minorHAnsi" w:cstheme="minorHAnsi"/>
          <w:color w:val="000000" w:themeColor="text1"/>
          <w:lang w:val="el-GR"/>
        </w:rPr>
        <w:t>Τσεχία (με μερίδιο αγοράς 34,6</w:t>
      </w:r>
      <w:r w:rsidR="00FA085B" w:rsidRPr="00466073">
        <w:rPr>
          <w:rFonts w:asciiTheme="minorHAnsi" w:hAnsiTheme="minorHAnsi" w:cstheme="minorHAnsi"/>
          <w:color w:val="000000" w:themeColor="text1"/>
          <w:lang w:val="el-GR"/>
        </w:rPr>
        <w:t>%)</w:t>
      </w:r>
      <w:r w:rsidR="00063F6E" w:rsidRPr="00466073">
        <w:rPr>
          <w:rFonts w:asciiTheme="minorHAnsi" w:hAnsiTheme="minorHAnsi" w:cstheme="minorHAnsi"/>
          <w:color w:val="000000" w:themeColor="text1"/>
          <w:lang w:val="el-GR"/>
        </w:rPr>
        <w:t>,</w:t>
      </w:r>
      <w:r w:rsidR="00FA085B" w:rsidRPr="00466073">
        <w:rPr>
          <w:rFonts w:asciiTheme="minorHAnsi" w:hAnsiTheme="minorHAnsi" w:cstheme="minorHAnsi"/>
          <w:color w:val="000000" w:themeColor="text1"/>
          <w:lang w:val="el-GR"/>
        </w:rPr>
        <w:t xml:space="preserve"> </w:t>
      </w:r>
      <w:r w:rsidR="007E56B3" w:rsidRPr="00466073">
        <w:rPr>
          <w:rFonts w:asciiTheme="minorHAnsi" w:hAnsiTheme="minorHAnsi" w:cstheme="minorHAnsi"/>
          <w:color w:val="000000" w:themeColor="text1"/>
          <w:lang w:val="el-GR"/>
        </w:rPr>
        <w:t>η Ουκρανία (19,5%), η Γερμανία (10</w:t>
      </w:r>
      <w:r w:rsidR="00E1210D" w:rsidRPr="00466073">
        <w:rPr>
          <w:rFonts w:asciiTheme="minorHAnsi" w:hAnsiTheme="minorHAnsi" w:cstheme="minorHAnsi"/>
          <w:color w:val="000000" w:themeColor="text1"/>
          <w:lang w:val="el-GR"/>
        </w:rPr>
        <w:t xml:space="preserve">,2%), </w:t>
      </w:r>
      <w:r w:rsidR="007E56B3" w:rsidRPr="00466073">
        <w:rPr>
          <w:rFonts w:asciiTheme="minorHAnsi" w:hAnsiTheme="minorHAnsi" w:cstheme="minorHAnsi"/>
          <w:color w:val="000000" w:themeColor="text1"/>
          <w:lang w:val="el-GR"/>
        </w:rPr>
        <w:t>η Κίνα (7,2%), η Ολλανδία (6,0%), και η Αυστρία (3,3%), ενώ ακολουθεί η χώρα μας καταλαμβάνοντας την 7</w:t>
      </w:r>
      <w:r w:rsidR="00E1210D" w:rsidRPr="00466073">
        <w:rPr>
          <w:rFonts w:asciiTheme="minorHAnsi" w:hAnsiTheme="minorHAnsi" w:cstheme="minorHAnsi"/>
          <w:color w:val="000000" w:themeColor="text1"/>
          <w:vertAlign w:val="superscript"/>
          <w:lang w:val="el-GR"/>
        </w:rPr>
        <w:t>η</w:t>
      </w:r>
      <w:r w:rsidR="00E1210D" w:rsidRPr="00466073">
        <w:rPr>
          <w:rFonts w:asciiTheme="minorHAnsi" w:hAnsiTheme="minorHAnsi" w:cstheme="minorHAnsi"/>
          <w:color w:val="000000" w:themeColor="text1"/>
          <w:lang w:val="el-GR"/>
        </w:rPr>
        <w:t xml:space="preserve"> θέση στον πίνακα των κυριοτέρων προμηθευτών τ</w:t>
      </w:r>
      <w:r w:rsidR="007E56B3" w:rsidRPr="00466073">
        <w:rPr>
          <w:rFonts w:asciiTheme="minorHAnsi" w:hAnsiTheme="minorHAnsi" w:cstheme="minorHAnsi"/>
          <w:color w:val="000000" w:themeColor="text1"/>
          <w:lang w:val="el-GR"/>
        </w:rPr>
        <w:t>ης Ουγγαρίας στη κατηγορία αυτή,  με μερίδιο αγοράς 3,2%.</w:t>
      </w:r>
    </w:p>
    <w:p w:rsidR="007816DB" w:rsidRPr="00466073" w:rsidRDefault="007816DB" w:rsidP="00F04D17">
      <w:pPr>
        <w:jc w:val="both"/>
        <w:rPr>
          <w:rFonts w:asciiTheme="minorHAnsi" w:hAnsiTheme="minorHAnsi" w:cstheme="minorHAnsi"/>
          <w:color w:val="000000" w:themeColor="text1"/>
          <w:lang w:val="el-GR"/>
        </w:rPr>
      </w:pPr>
    </w:p>
    <w:p w:rsidR="007816DB" w:rsidRPr="00466073" w:rsidRDefault="007816DB" w:rsidP="00F04D17">
      <w:pPr>
        <w:jc w:val="both"/>
        <w:rPr>
          <w:rFonts w:asciiTheme="minorHAnsi" w:hAnsiTheme="minorHAnsi" w:cstheme="minorHAnsi"/>
          <w:color w:val="000000" w:themeColor="text1"/>
          <w:lang w:val="el-GR"/>
        </w:rPr>
      </w:pPr>
    </w:p>
    <w:p w:rsidR="007816DB" w:rsidRPr="00466073" w:rsidRDefault="007816DB" w:rsidP="00F04D17">
      <w:pPr>
        <w:jc w:val="both"/>
        <w:rPr>
          <w:rFonts w:asciiTheme="minorHAnsi" w:hAnsiTheme="minorHAnsi" w:cstheme="minorHAnsi"/>
          <w:color w:val="000000" w:themeColor="text1"/>
          <w:lang w:val="el-GR"/>
        </w:rPr>
      </w:pPr>
    </w:p>
    <w:p w:rsidR="007816DB" w:rsidRPr="00466073" w:rsidRDefault="007816DB" w:rsidP="00F04D17">
      <w:pPr>
        <w:jc w:val="both"/>
        <w:rPr>
          <w:rFonts w:asciiTheme="minorHAnsi" w:hAnsiTheme="minorHAnsi" w:cstheme="minorHAnsi"/>
          <w:color w:val="000000" w:themeColor="text1"/>
          <w:lang w:val="el-GR"/>
        </w:rPr>
      </w:pPr>
    </w:p>
    <w:p w:rsidR="007816DB" w:rsidRPr="00466073" w:rsidRDefault="007816DB" w:rsidP="00F04D17">
      <w:pPr>
        <w:jc w:val="both"/>
        <w:rPr>
          <w:rFonts w:asciiTheme="minorHAnsi" w:hAnsiTheme="minorHAnsi" w:cstheme="minorHAnsi"/>
          <w:color w:val="000000" w:themeColor="text1"/>
          <w:lang w:val="el-GR"/>
        </w:rPr>
      </w:pPr>
      <w:r w:rsidRPr="00466073">
        <w:rPr>
          <w:rFonts w:asciiTheme="minorHAnsi" w:hAnsiTheme="minorHAnsi" w:cstheme="minorHAnsi"/>
          <w:noProof/>
          <w:color w:val="000000" w:themeColor="text1"/>
        </w:rPr>
        <w:drawing>
          <wp:inline distT="0" distB="0" distL="0" distR="0">
            <wp:extent cx="5907297" cy="2743200"/>
            <wp:effectExtent l="19050" t="0" r="17253" b="0"/>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816DB" w:rsidRPr="00466073" w:rsidRDefault="007816DB" w:rsidP="007816DB">
      <w:pPr>
        <w:rPr>
          <w:rFonts w:asciiTheme="minorHAnsi" w:hAnsiTheme="minorHAnsi" w:cstheme="minorHAnsi"/>
          <w:color w:val="000000" w:themeColor="text1"/>
          <w:lang w:val="el-GR"/>
        </w:rPr>
      </w:pPr>
    </w:p>
    <w:p w:rsidR="00F04D17" w:rsidRPr="00466073" w:rsidRDefault="00F04D17" w:rsidP="007816DB">
      <w:pPr>
        <w:rPr>
          <w:rFonts w:asciiTheme="minorHAnsi" w:hAnsiTheme="minorHAnsi" w:cstheme="minorHAnsi"/>
          <w:lang w:val="el-GR"/>
        </w:rPr>
      </w:pPr>
      <w:r w:rsidRPr="00466073">
        <w:rPr>
          <w:rFonts w:asciiTheme="minorHAnsi" w:hAnsiTheme="minorHAnsi" w:cstheme="minorHAnsi"/>
          <w:u w:val="single"/>
          <w:lang w:val="el-GR"/>
        </w:rPr>
        <w:t>Πηγή</w:t>
      </w:r>
      <w:r w:rsidRPr="00466073">
        <w:rPr>
          <w:rFonts w:asciiTheme="minorHAnsi" w:hAnsiTheme="minorHAnsi" w:cstheme="minorHAnsi"/>
          <w:lang w:val="el-GR"/>
        </w:rPr>
        <w:t>: Εθνική Στατιστική Υπηρεσία Ουγγαρίας (</w:t>
      </w:r>
      <w:r w:rsidRPr="00466073">
        <w:rPr>
          <w:rFonts w:asciiTheme="minorHAnsi" w:hAnsiTheme="minorHAnsi" w:cstheme="minorHAnsi"/>
        </w:rPr>
        <w:t>KSH</w:t>
      </w:r>
      <w:r w:rsidRPr="00466073">
        <w:rPr>
          <w:rFonts w:asciiTheme="minorHAnsi" w:hAnsiTheme="minorHAnsi" w:cstheme="minorHAnsi"/>
          <w:lang w:val="el-GR"/>
        </w:rPr>
        <w:t>)</w:t>
      </w:r>
    </w:p>
    <w:p w:rsidR="00E1210D" w:rsidRPr="00466073" w:rsidRDefault="00E1210D" w:rsidP="00F04D17">
      <w:pPr>
        <w:jc w:val="both"/>
        <w:rPr>
          <w:rFonts w:asciiTheme="minorHAnsi" w:hAnsiTheme="minorHAnsi" w:cstheme="minorHAnsi"/>
          <w:b/>
          <w:lang w:val="el-GR"/>
        </w:rPr>
      </w:pPr>
    </w:p>
    <w:p w:rsidR="00F04D17" w:rsidRPr="00466073" w:rsidRDefault="00F04D17" w:rsidP="00F04D17">
      <w:pPr>
        <w:jc w:val="both"/>
        <w:rPr>
          <w:rFonts w:asciiTheme="minorHAnsi" w:hAnsiTheme="minorHAnsi" w:cstheme="minorHAnsi"/>
          <w:lang w:val="el-GR"/>
        </w:rPr>
      </w:pPr>
      <w:r w:rsidRPr="00466073">
        <w:rPr>
          <w:rFonts w:asciiTheme="minorHAnsi" w:hAnsiTheme="minorHAnsi" w:cstheme="minorHAnsi"/>
          <w:b/>
          <w:lang w:val="el-GR"/>
        </w:rPr>
        <w:t>Συμπέρασμα</w:t>
      </w:r>
      <w:r w:rsidRPr="00466073">
        <w:rPr>
          <w:rFonts w:asciiTheme="minorHAnsi" w:hAnsiTheme="minorHAnsi" w:cstheme="minorHAnsi"/>
          <w:lang w:val="el-GR"/>
        </w:rPr>
        <w:t>: Στον σημαντικότερο για την Ουγγαρία, από άποψης εισαγωγ</w:t>
      </w:r>
      <w:r w:rsidR="007816DB" w:rsidRPr="00466073">
        <w:rPr>
          <w:rFonts w:asciiTheme="minorHAnsi" w:hAnsiTheme="minorHAnsi" w:cstheme="minorHAnsi"/>
          <w:lang w:val="el-GR"/>
        </w:rPr>
        <w:t>ών, διψήφιο κωδικό 85, η Ελλάδα μετά την μεγάλη πτώση στις εξαγωγές της το 2022</w:t>
      </w:r>
      <w:r w:rsidR="00D573E2" w:rsidRPr="00466073">
        <w:rPr>
          <w:rFonts w:asciiTheme="minorHAnsi" w:hAnsiTheme="minorHAnsi" w:cstheme="minorHAnsi"/>
          <w:lang w:val="el-GR"/>
        </w:rPr>
        <w:t xml:space="preserve"> (σχεδόν στα επίπεδα του 2019) </w:t>
      </w:r>
      <w:r w:rsidR="007816DB" w:rsidRPr="00466073">
        <w:rPr>
          <w:rFonts w:asciiTheme="minorHAnsi" w:hAnsiTheme="minorHAnsi" w:cstheme="minorHAnsi"/>
          <w:lang w:val="el-GR"/>
        </w:rPr>
        <w:t>, πρέπει να ανακάμψει, κυρίως σ</w:t>
      </w:r>
      <w:r w:rsidRPr="00466073">
        <w:rPr>
          <w:rFonts w:asciiTheme="minorHAnsi" w:hAnsiTheme="minorHAnsi" w:cstheme="minorHAnsi"/>
          <w:lang w:val="el-GR"/>
        </w:rPr>
        <w:t>τους 4</w:t>
      </w:r>
      <w:r w:rsidR="009A56EA" w:rsidRPr="00466073">
        <w:rPr>
          <w:rFonts w:asciiTheme="minorHAnsi" w:hAnsiTheme="minorHAnsi" w:cstheme="minorHAnsi"/>
          <w:lang w:val="el-GR"/>
        </w:rPr>
        <w:t>-</w:t>
      </w:r>
      <w:r w:rsidRPr="00466073">
        <w:rPr>
          <w:rFonts w:asciiTheme="minorHAnsi" w:hAnsiTheme="minorHAnsi" w:cstheme="minorHAnsi"/>
          <w:lang w:val="el-GR"/>
        </w:rPr>
        <w:t xml:space="preserve">ψήφιους κωδικούς που η χώρα μας </w:t>
      </w:r>
      <w:r w:rsidR="007816DB" w:rsidRPr="00466073">
        <w:rPr>
          <w:rFonts w:asciiTheme="minorHAnsi" w:hAnsiTheme="minorHAnsi" w:cstheme="minorHAnsi"/>
          <w:lang w:val="el-GR"/>
        </w:rPr>
        <w:t xml:space="preserve">σημείωνε </w:t>
      </w:r>
      <w:r w:rsidR="009A56EA" w:rsidRPr="00466073">
        <w:rPr>
          <w:rFonts w:asciiTheme="minorHAnsi" w:hAnsiTheme="minorHAnsi" w:cstheme="minorHAnsi"/>
          <w:lang w:val="el-GR"/>
        </w:rPr>
        <w:t>τις περισσότερες εξαγωγές (Σ.Ο.8518, 8517 και 8544</w:t>
      </w:r>
      <w:r w:rsidRPr="00466073">
        <w:rPr>
          <w:rFonts w:asciiTheme="minorHAnsi" w:hAnsiTheme="minorHAnsi" w:cstheme="minorHAnsi"/>
          <w:lang w:val="el-GR"/>
        </w:rPr>
        <w:t>)</w:t>
      </w:r>
      <w:r w:rsidR="00142519" w:rsidRPr="00466073">
        <w:rPr>
          <w:rFonts w:asciiTheme="minorHAnsi" w:hAnsiTheme="minorHAnsi" w:cstheme="minorHAnsi"/>
          <w:lang w:val="el-GR"/>
        </w:rPr>
        <w:t xml:space="preserve"> και να ανακτήσει το μερίδιό της. </w:t>
      </w:r>
    </w:p>
    <w:p w:rsidR="008609E3" w:rsidRPr="00466073" w:rsidRDefault="008609E3" w:rsidP="00F04D17">
      <w:pPr>
        <w:jc w:val="both"/>
        <w:rPr>
          <w:rFonts w:asciiTheme="minorHAnsi" w:hAnsiTheme="minorHAnsi" w:cstheme="minorHAnsi"/>
          <w:lang w:val="el-GR"/>
        </w:rPr>
      </w:pPr>
    </w:p>
    <w:p w:rsidR="008609E3" w:rsidRPr="00466073" w:rsidRDefault="008609E3" w:rsidP="00F04D17">
      <w:pPr>
        <w:jc w:val="both"/>
        <w:rPr>
          <w:rFonts w:asciiTheme="minorHAnsi" w:hAnsiTheme="minorHAnsi" w:cstheme="minorHAnsi"/>
          <w:lang w:val="el-GR"/>
        </w:rPr>
      </w:pPr>
    </w:p>
    <w:p w:rsidR="00354952" w:rsidRPr="00466073" w:rsidRDefault="00354952" w:rsidP="00BA1081">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color w:val="000000" w:themeColor="text1"/>
          <w:u w:val="single"/>
          <w:lang w:val="el-GR"/>
        </w:rPr>
      </w:pPr>
      <w:r w:rsidRPr="00466073">
        <w:rPr>
          <w:rFonts w:asciiTheme="minorHAnsi" w:hAnsiTheme="minorHAnsi" w:cstheme="minorHAnsi"/>
          <w:color w:val="000000" w:themeColor="text1"/>
          <w:u w:val="single"/>
          <w:lang w:val="el-GR"/>
        </w:rPr>
        <w:t>Ουγγρικά προϊόντα στην ελληνική αγορά</w:t>
      </w:r>
    </w:p>
    <w:p w:rsidR="00B7570C" w:rsidRPr="00466073" w:rsidRDefault="00B7570C" w:rsidP="00B7570C">
      <w:pPr>
        <w:widowControl w:val="0"/>
        <w:autoSpaceDE w:val="0"/>
        <w:autoSpaceDN w:val="0"/>
        <w:adjustRightInd w:val="0"/>
        <w:rPr>
          <w:rFonts w:asciiTheme="minorHAnsi" w:hAnsiTheme="minorHAnsi" w:cstheme="minorHAnsi"/>
          <w:lang w:val="el-GR"/>
        </w:rPr>
      </w:pPr>
    </w:p>
    <w:p w:rsidR="004E2C0F" w:rsidRPr="00466073" w:rsidRDefault="004E2C0F" w:rsidP="00D913F7">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Όπως έχει ήδη αναφερθεί, τα εισαγόμενα από την Ουγγαρία </w:t>
      </w:r>
      <w:r w:rsidR="00EE0F29" w:rsidRPr="00466073">
        <w:rPr>
          <w:rFonts w:asciiTheme="minorHAnsi" w:hAnsiTheme="minorHAnsi" w:cstheme="minorHAnsi"/>
          <w:color w:val="000000" w:themeColor="text1"/>
          <w:lang w:val="el-GR"/>
        </w:rPr>
        <w:t>στην Ελλάδα προϊόντα, είναι υψηλής τεχνολογίας, εμπεριέχουν σημαντικό βαθμό προστιθέμενης αξίας</w:t>
      </w:r>
      <w:r w:rsidR="00D913F7" w:rsidRPr="00466073">
        <w:rPr>
          <w:rFonts w:asciiTheme="minorHAnsi" w:hAnsiTheme="minorHAnsi" w:cstheme="minorHAnsi"/>
          <w:color w:val="000000" w:themeColor="text1"/>
          <w:lang w:val="el-GR"/>
        </w:rPr>
        <w:t xml:space="preserve"> και κατά συνέπεια η συνολική τους αξία είναι πολύ μεγαλύτερη σε σχέση με αυτή των ελληνικών που εξάγονται στην Ουγγαρία.</w:t>
      </w:r>
    </w:p>
    <w:p w:rsidR="00E97262" w:rsidRPr="00466073" w:rsidRDefault="00C2328A" w:rsidP="00D913F7">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Τα </w:t>
      </w:r>
      <w:r w:rsidR="00376082" w:rsidRPr="00466073">
        <w:rPr>
          <w:rFonts w:asciiTheme="minorHAnsi" w:hAnsiTheme="minorHAnsi" w:cstheme="minorHAnsi"/>
          <w:color w:val="000000" w:themeColor="text1"/>
          <w:lang w:val="el-GR"/>
        </w:rPr>
        <w:t xml:space="preserve">έξι </w:t>
      </w:r>
      <w:r w:rsidRPr="00466073">
        <w:rPr>
          <w:rFonts w:asciiTheme="minorHAnsi" w:hAnsiTheme="minorHAnsi" w:cstheme="minorHAnsi"/>
          <w:color w:val="000000" w:themeColor="text1"/>
          <w:lang w:val="el-GR"/>
        </w:rPr>
        <w:t>κυριότερα, κατά σειρά αξίας</w:t>
      </w:r>
      <w:r w:rsidR="008A23CA" w:rsidRPr="00466073">
        <w:rPr>
          <w:rFonts w:asciiTheme="minorHAnsi" w:hAnsiTheme="minorHAnsi" w:cstheme="minorHAnsi"/>
          <w:color w:val="000000" w:themeColor="text1"/>
          <w:lang w:val="el-GR"/>
        </w:rPr>
        <w:t>,</w:t>
      </w:r>
      <w:r w:rsidRPr="00466073">
        <w:rPr>
          <w:rFonts w:asciiTheme="minorHAnsi" w:hAnsiTheme="minorHAnsi" w:cstheme="minorHAnsi"/>
          <w:color w:val="000000" w:themeColor="text1"/>
          <w:lang w:val="el-GR"/>
        </w:rPr>
        <w:t xml:space="preserve"> εξαγ</w:t>
      </w:r>
      <w:r w:rsidR="00E97262" w:rsidRPr="00466073">
        <w:rPr>
          <w:rFonts w:asciiTheme="minorHAnsi" w:hAnsiTheme="minorHAnsi" w:cstheme="minorHAnsi"/>
          <w:color w:val="000000" w:themeColor="text1"/>
          <w:lang w:val="el-GR"/>
        </w:rPr>
        <w:t xml:space="preserve">όμενα στην Ελλάδα ουγγρικά προϊόντα </w:t>
      </w:r>
      <w:r w:rsidR="0019652F" w:rsidRPr="00466073">
        <w:rPr>
          <w:rFonts w:asciiTheme="minorHAnsi" w:hAnsiTheme="minorHAnsi" w:cstheme="minorHAnsi"/>
          <w:color w:val="000000" w:themeColor="text1"/>
          <w:lang w:val="el-GR"/>
        </w:rPr>
        <w:t xml:space="preserve">4-ψήφιου κωδικού Σ.Ο. </w:t>
      </w:r>
      <w:r w:rsidRPr="00466073">
        <w:rPr>
          <w:rFonts w:asciiTheme="minorHAnsi" w:hAnsiTheme="minorHAnsi" w:cstheme="minorHAnsi"/>
          <w:color w:val="000000" w:themeColor="text1"/>
          <w:lang w:val="el-GR"/>
        </w:rPr>
        <w:t>για το 20</w:t>
      </w:r>
      <w:r w:rsidR="008A23CA" w:rsidRPr="00466073">
        <w:rPr>
          <w:rFonts w:asciiTheme="minorHAnsi" w:hAnsiTheme="minorHAnsi" w:cstheme="minorHAnsi"/>
          <w:color w:val="000000" w:themeColor="text1"/>
          <w:lang w:val="el-GR"/>
        </w:rPr>
        <w:t>2</w:t>
      </w:r>
      <w:r w:rsidR="00676DF3" w:rsidRPr="00466073">
        <w:rPr>
          <w:rFonts w:asciiTheme="minorHAnsi" w:hAnsiTheme="minorHAnsi" w:cstheme="minorHAnsi"/>
          <w:color w:val="000000" w:themeColor="text1"/>
          <w:lang w:val="el-GR"/>
        </w:rPr>
        <w:t>2</w:t>
      </w:r>
      <w:r w:rsidRPr="00466073">
        <w:rPr>
          <w:rFonts w:asciiTheme="minorHAnsi" w:hAnsiTheme="minorHAnsi" w:cstheme="minorHAnsi"/>
          <w:color w:val="000000" w:themeColor="text1"/>
          <w:lang w:val="el-GR"/>
        </w:rPr>
        <w:t xml:space="preserve"> είναι:</w:t>
      </w:r>
    </w:p>
    <w:p w:rsidR="00A27DDF" w:rsidRPr="00466073" w:rsidRDefault="00C2328A" w:rsidP="00A27DDF">
      <w:pPr>
        <w:jc w:val="both"/>
        <w:rPr>
          <w:rFonts w:asciiTheme="minorHAnsi" w:hAnsiTheme="minorHAnsi" w:cstheme="minorHAnsi"/>
          <w:color w:val="000000" w:themeColor="text1"/>
          <w:shd w:val="clear" w:color="auto" w:fill="FFFFFF"/>
          <w:lang w:val="el-GR"/>
        </w:rPr>
      </w:pPr>
      <w:r w:rsidRPr="00466073">
        <w:rPr>
          <w:rFonts w:asciiTheme="minorHAnsi" w:hAnsiTheme="minorHAnsi" w:cstheme="minorHAnsi"/>
          <w:color w:val="000000" w:themeColor="text1"/>
          <w:lang w:val="el-GR"/>
        </w:rPr>
        <w:t xml:space="preserve"> </w:t>
      </w:r>
      <w:r w:rsidR="00A27DDF" w:rsidRPr="00466073">
        <w:rPr>
          <w:rFonts w:asciiTheme="minorHAnsi" w:hAnsiTheme="minorHAnsi" w:cstheme="minorHAnsi"/>
          <w:color w:val="000000" w:themeColor="text1"/>
          <w:lang w:val="el-GR"/>
        </w:rPr>
        <w:t>-Επιβατικά αυτοκίνητα (Σ</w:t>
      </w:r>
      <w:r w:rsidR="008A23CA" w:rsidRPr="00466073">
        <w:rPr>
          <w:rFonts w:asciiTheme="minorHAnsi" w:hAnsiTheme="minorHAnsi" w:cstheme="minorHAnsi"/>
          <w:color w:val="000000" w:themeColor="text1"/>
          <w:lang w:val="el-GR"/>
        </w:rPr>
        <w:t>.</w:t>
      </w:r>
      <w:r w:rsidR="00A27DDF" w:rsidRPr="00466073">
        <w:rPr>
          <w:rFonts w:asciiTheme="minorHAnsi" w:hAnsiTheme="minorHAnsi" w:cstheme="minorHAnsi"/>
          <w:color w:val="000000" w:themeColor="text1"/>
          <w:lang w:val="el-GR"/>
        </w:rPr>
        <w:t>Ο</w:t>
      </w:r>
      <w:r w:rsidR="008A23CA" w:rsidRPr="00466073">
        <w:rPr>
          <w:rFonts w:asciiTheme="minorHAnsi" w:hAnsiTheme="minorHAnsi" w:cstheme="minorHAnsi"/>
          <w:color w:val="000000" w:themeColor="text1"/>
          <w:lang w:val="el-GR"/>
        </w:rPr>
        <w:t>.</w:t>
      </w:r>
      <w:r w:rsidR="00A27DDF" w:rsidRPr="00466073">
        <w:rPr>
          <w:rFonts w:asciiTheme="minorHAnsi" w:hAnsiTheme="minorHAnsi" w:cstheme="minorHAnsi"/>
          <w:color w:val="000000" w:themeColor="text1"/>
          <w:lang w:val="el-GR"/>
        </w:rPr>
        <w:t xml:space="preserve"> 8703) αξίας €</w:t>
      </w:r>
      <w:r w:rsidR="00967BCB" w:rsidRPr="00466073">
        <w:rPr>
          <w:rFonts w:asciiTheme="minorHAnsi" w:hAnsiTheme="minorHAnsi" w:cstheme="minorHAnsi"/>
          <w:color w:val="000000" w:themeColor="text1"/>
          <w:lang w:val="el-GR"/>
        </w:rPr>
        <w:t xml:space="preserve"> </w:t>
      </w:r>
      <w:r w:rsidR="00676DF3" w:rsidRPr="00466073">
        <w:rPr>
          <w:rFonts w:asciiTheme="minorHAnsi" w:hAnsiTheme="minorHAnsi" w:cstheme="minorHAnsi"/>
          <w:color w:val="000000" w:themeColor="text1"/>
          <w:shd w:val="clear" w:color="auto" w:fill="FFFFFF"/>
          <w:lang w:val="el-GR"/>
        </w:rPr>
        <w:t>101.673.800</w:t>
      </w:r>
    </w:p>
    <w:p w:rsidR="00676DF3" w:rsidRPr="00466073" w:rsidRDefault="00676DF3" w:rsidP="00A27DDF">
      <w:pPr>
        <w:jc w:val="both"/>
        <w:rPr>
          <w:rFonts w:asciiTheme="minorHAnsi" w:hAnsiTheme="minorHAnsi" w:cstheme="minorHAnsi"/>
          <w:color w:val="000000" w:themeColor="text1"/>
          <w:lang w:val="el-GR"/>
        </w:rPr>
      </w:pPr>
      <w:r w:rsidRPr="00466073">
        <w:rPr>
          <w:rFonts w:asciiTheme="minorHAnsi" w:hAnsiTheme="minorHAnsi" w:cstheme="minorHAnsi"/>
          <w:b/>
          <w:color w:val="000000" w:themeColor="text1"/>
          <w:lang w:val="el-GR"/>
        </w:rPr>
        <w:lastRenderedPageBreak/>
        <w:t>-</w:t>
      </w:r>
      <w:proofErr w:type="spellStart"/>
      <w:r w:rsidRPr="00466073">
        <w:rPr>
          <w:rFonts w:asciiTheme="minorHAnsi" w:hAnsiTheme="minorHAnsi" w:cstheme="minorHAnsi"/>
          <w:color w:val="000000" w:themeColor="text1"/>
          <w:lang w:val="el-GR"/>
        </w:rPr>
        <w:t>Φάρµακα</w:t>
      </w:r>
      <w:proofErr w:type="spellEnd"/>
      <w:r w:rsidRPr="00466073">
        <w:rPr>
          <w:rFonts w:asciiTheme="minorHAnsi" w:hAnsiTheme="minorHAnsi" w:cstheme="minorHAnsi"/>
          <w:color w:val="000000" w:themeColor="text1"/>
          <w:lang w:val="el-GR"/>
        </w:rPr>
        <w:t xml:space="preserve"> που προορίζονται για λιανική πώληση (Σ.Ο. 3004) αξίας €</w:t>
      </w:r>
      <w:r w:rsidRPr="00466073">
        <w:rPr>
          <w:rFonts w:asciiTheme="minorHAnsi" w:hAnsiTheme="minorHAnsi" w:cstheme="minorHAnsi"/>
          <w:color w:val="000000" w:themeColor="text1"/>
          <w:shd w:val="clear" w:color="auto" w:fill="FFFFFF"/>
          <w:lang w:val="el-GR"/>
        </w:rPr>
        <w:t xml:space="preserve"> 34.157.767</w:t>
      </w:r>
    </w:p>
    <w:p w:rsidR="00676DF3" w:rsidRPr="00466073" w:rsidRDefault="00676DF3" w:rsidP="00A27DDF">
      <w:pPr>
        <w:jc w:val="both"/>
        <w:rPr>
          <w:rFonts w:asciiTheme="minorHAnsi" w:hAnsiTheme="minorHAnsi" w:cstheme="minorHAnsi"/>
          <w:color w:val="000000" w:themeColor="text1"/>
          <w:shd w:val="clear" w:color="auto" w:fill="FFFFFF"/>
          <w:lang w:val="el-GR"/>
        </w:rPr>
      </w:pPr>
      <w:r w:rsidRPr="00466073">
        <w:rPr>
          <w:rFonts w:asciiTheme="minorHAnsi" w:hAnsiTheme="minorHAnsi" w:cstheme="minorHAnsi"/>
          <w:color w:val="000000" w:themeColor="text1"/>
          <w:lang w:val="el-GR"/>
        </w:rPr>
        <w:t>-Τηλεφωνικές συσκευές  συνδρομητών (Σ.Ο. 8517) αξίας €</w:t>
      </w:r>
      <w:r w:rsidRPr="00466073">
        <w:rPr>
          <w:rFonts w:asciiTheme="minorHAnsi" w:hAnsiTheme="minorHAnsi" w:cstheme="minorHAnsi"/>
          <w:color w:val="000000" w:themeColor="text1"/>
          <w:shd w:val="clear" w:color="auto" w:fill="FFFFFF"/>
          <w:lang w:val="el-GR"/>
        </w:rPr>
        <w:t xml:space="preserve"> 32.501.807</w:t>
      </w:r>
    </w:p>
    <w:p w:rsidR="00676DF3" w:rsidRPr="00466073" w:rsidRDefault="008A23CA" w:rsidP="00D913F7">
      <w:pPr>
        <w:jc w:val="both"/>
        <w:rPr>
          <w:rFonts w:asciiTheme="minorHAnsi" w:hAnsiTheme="minorHAnsi" w:cstheme="minorHAnsi"/>
          <w:color w:val="000000" w:themeColor="text1"/>
          <w:shd w:val="clear" w:color="auto" w:fill="FFFFFF"/>
          <w:lang w:val="el-GR"/>
        </w:rPr>
      </w:pPr>
      <w:r w:rsidRPr="00466073">
        <w:rPr>
          <w:rFonts w:asciiTheme="minorHAnsi" w:hAnsiTheme="minorHAnsi" w:cstheme="minorHAnsi"/>
          <w:color w:val="000000" w:themeColor="text1"/>
          <w:lang w:val="el-GR"/>
        </w:rPr>
        <w:t>-Οθόνες απεικόνισης και συσκευές προβολής (Σ.Ο. 8528) αξίας €</w:t>
      </w:r>
      <w:r w:rsidR="00376082" w:rsidRPr="00466073">
        <w:rPr>
          <w:rFonts w:asciiTheme="minorHAnsi" w:hAnsiTheme="minorHAnsi" w:cstheme="minorHAnsi"/>
          <w:color w:val="000000" w:themeColor="text1"/>
          <w:shd w:val="clear" w:color="auto" w:fill="FFFFFF"/>
          <w:lang w:val="el-GR"/>
        </w:rPr>
        <w:t xml:space="preserve"> </w:t>
      </w:r>
      <w:r w:rsidR="00676DF3" w:rsidRPr="00466073">
        <w:rPr>
          <w:rFonts w:asciiTheme="minorHAnsi" w:hAnsiTheme="minorHAnsi" w:cstheme="minorHAnsi"/>
          <w:color w:val="000000" w:themeColor="text1"/>
          <w:shd w:val="clear" w:color="auto" w:fill="FFFFFF"/>
          <w:lang w:val="el-GR"/>
        </w:rPr>
        <w:t>30.722.015</w:t>
      </w:r>
    </w:p>
    <w:p w:rsidR="00A27DDF" w:rsidRPr="00466073" w:rsidRDefault="00A27DDF" w:rsidP="00A27DDF">
      <w:pPr>
        <w:jc w:val="both"/>
        <w:rPr>
          <w:rFonts w:asciiTheme="minorHAnsi" w:hAnsiTheme="minorHAnsi" w:cstheme="minorHAnsi"/>
          <w:color w:val="000000" w:themeColor="text1"/>
          <w:shd w:val="clear" w:color="auto" w:fill="FFFFFF"/>
          <w:lang w:val="el-GR"/>
        </w:rPr>
      </w:pPr>
      <w:r w:rsidRPr="00466073">
        <w:rPr>
          <w:rFonts w:asciiTheme="minorHAnsi" w:hAnsiTheme="minorHAnsi" w:cstheme="minorHAnsi"/>
          <w:color w:val="000000" w:themeColor="text1"/>
          <w:lang w:val="el-GR"/>
        </w:rPr>
        <w:t>-Συσκευές και διατάξεις για ηλεκτρικά κυκλώματα  (Σ</w:t>
      </w:r>
      <w:r w:rsidR="0019652F" w:rsidRPr="00466073">
        <w:rPr>
          <w:rFonts w:asciiTheme="minorHAnsi" w:hAnsiTheme="minorHAnsi" w:cstheme="minorHAnsi"/>
          <w:color w:val="000000" w:themeColor="text1"/>
          <w:lang w:val="el-GR"/>
        </w:rPr>
        <w:t>.</w:t>
      </w:r>
      <w:r w:rsidRPr="00466073">
        <w:rPr>
          <w:rFonts w:asciiTheme="minorHAnsi" w:hAnsiTheme="minorHAnsi" w:cstheme="minorHAnsi"/>
          <w:color w:val="000000" w:themeColor="text1"/>
          <w:lang w:val="el-GR"/>
        </w:rPr>
        <w:t>Ο</w:t>
      </w:r>
      <w:r w:rsidR="0019652F" w:rsidRPr="00466073">
        <w:rPr>
          <w:rFonts w:asciiTheme="minorHAnsi" w:hAnsiTheme="minorHAnsi" w:cstheme="minorHAnsi"/>
          <w:color w:val="000000" w:themeColor="text1"/>
          <w:lang w:val="el-GR"/>
        </w:rPr>
        <w:t>.</w:t>
      </w:r>
      <w:r w:rsidRPr="00466073">
        <w:rPr>
          <w:rFonts w:asciiTheme="minorHAnsi" w:hAnsiTheme="minorHAnsi" w:cstheme="minorHAnsi"/>
          <w:color w:val="000000" w:themeColor="text1"/>
          <w:lang w:val="el-GR"/>
        </w:rPr>
        <w:t xml:space="preserve"> 8536) αξίας €</w:t>
      </w:r>
      <w:r w:rsidR="00376082" w:rsidRPr="00466073">
        <w:rPr>
          <w:rFonts w:asciiTheme="minorHAnsi" w:hAnsiTheme="minorHAnsi" w:cstheme="minorHAnsi"/>
          <w:color w:val="000000" w:themeColor="text1"/>
          <w:shd w:val="clear" w:color="auto" w:fill="FFFFFF"/>
          <w:lang w:val="el-GR"/>
        </w:rPr>
        <w:t xml:space="preserve"> </w:t>
      </w:r>
      <w:r w:rsidR="00676DF3" w:rsidRPr="00466073">
        <w:rPr>
          <w:rFonts w:asciiTheme="minorHAnsi" w:hAnsiTheme="minorHAnsi" w:cstheme="minorHAnsi"/>
          <w:color w:val="000000" w:themeColor="text1"/>
          <w:shd w:val="clear" w:color="auto" w:fill="FFFFFF"/>
          <w:lang w:val="el-GR"/>
        </w:rPr>
        <w:t>24.744.956</w:t>
      </w:r>
    </w:p>
    <w:p w:rsidR="00CE47AD" w:rsidRPr="00466073" w:rsidRDefault="00CE47AD" w:rsidP="00CE47AD">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-Εντομοκτόνα, ποντικοφάρμακα, ζιζανιοκτόνα (Σ</w:t>
      </w:r>
      <w:r w:rsidR="0019652F" w:rsidRPr="00466073">
        <w:rPr>
          <w:rFonts w:asciiTheme="minorHAnsi" w:hAnsiTheme="minorHAnsi" w:cstheme="minorHAnsi"/>
          <w:color w:val="000000" w:themeColor="text1"/>
          <w:lang w:val="el-GR"/>
        </w:rPr>
        <w:t>.</w:t>
      </w:r>
      <w:r w:rsidRPr="00466073">
        <w:rPr>
          <w:rFonts w:asciiTheme="minorHAnsi" w:hAnsiTheme="minorHAnsi" w:cstheme="minorHAnsi"/>
          <w:color w:val="000000" w:themeColor="text1"/>
          <w:lang w:val="el-GR"/>
        </w:rPr>
        <w:t>Ο</w:t>
      </w:r>
      <w:r w:rsidR="0019652F" w:rsidRPr="00466073">
        <w:rPr>
          <w:rFonts w:asciiTheme="minorHAnsi" w:hAnsiTheme="minorHAnsi" w:cstheme="minorHAnsi"/>
          <w:color w:val="000000" w:themeColor="text1"/>
          <w:lang w:val="el-GR"/>
        </w:rPr>
        <w:t>.</w:t>
      </w:r>
      <w:r w:rsidRPr="00466073">
        <w:rPr>
          <w:rFonts w:asciiTheme="minorHAnsi" w:hAnsiTheme="minorHAnsi" w:cstheme="minorHAnsi"/>
          <w:color w:val="000000" w:themeColor="text1"/>
          <w:lang w:val="el-GR"/>
        </w:rPr>
        <w:t xml:space="preserve"> 3808) αξίας €</w:t>
      </w:r>
      <w:r w:rsidR="00376082" w:rsidRPr="00466073">
        <w:rPr>
          <w:rFonts w:asciiTheme="minorHAnsi" w:hAnsiTheme="minorHAnsi" w:cstheme="minorHAnsi"/>
          <w:color w:val="000000" w:themeColor="text1"/>
          <w:shd w:val="clear" w:color="auto" w:fill="FFFFFF"/>
          <w:lang w:val="el-GR"/>
        </w:rPr>
        <w:t xml:space="preserve"> </w:t>
      </w:r>
      <w:r w:rsidR="00676DF3" w:rsidRPr="00466073">
        <w:rPr>
          <w:rFonts w:asciiTheme="minorHAnsi" w:hAnsiTheme="minorHAnsi" w:cstheme="minorHAnsi"/>
          <w:color w:val="000000" w:themeColor="text1"/>
          <w:shd w:val="clear" w:color="auto" w:fill="FFFFFF"/>
          <w:lang w:val="el-GR"/>
        </w:rPr>
        <w:t>20.113.070</w:t>
      </w:r>
    </w:p>
    <w:tbl>
      <w:tblPr>
        <w:tblW w:w="5000" w:type="pct"/>
        <w:tblCellMar>
          <w:left w:w="0" w:type="dxa"/>
          <w:right w:w="0" w:type="dxa"/>
        </w:tblCellMar>
        <w:tblLook w:val="04A0"/>
      </w:tblPr>
      <w:tblGrid>
        <w:gridCol w:w="9990"/>
      </w:tblGrid>
      <w:tr w:rsidR="00FF0CFD" w:rsidRPr="00433B1E" w:rsidTr="00FF0CFD">
        <w:tc>
          <w:tcPr>
            <w:tcW w:w="0" w:type="auto"/>
            <w:vAlign w:val="center"/>
            <w:hideMark/>
          </w:tcPr>
          <w:p w:rsidR="00FF0CFD" w:rsidRPr="00466073" w:rsidRDefault="00FF0CFD">
            <w:pPr>
              <w:textAlignment w:val="center"/>
              <w:rPr>
                <w:rFonts w:asciiTheme="minorHAnsi" w:hAnsiTheme="minorHAnsi" w:cstheme="minorHAnsi"/>
                <w:b/>
                <w:bCs/>
                <w:color w:val="1B407B"/>
                <w:lang w:val="el-GR"/>
              </w:rPr>
            </w:pPr>
          </w:p>
        </w:tc>
      </w:tr>
    </w:tbl>
    <w:p w:rsidR="00C2328A" w:rsidRPr="00466073" w:rsidRDefault="00C2328A" w:rsidP="00D913F7">
      <w:pPr>
        <w:jc w:val="both"/>
        <w:rPr>
          <w:rFonts w:asciiTheme="minorHAnsi" w:hAnsiTheme="minorHAnsi" w:cstheme="minorHAnsi"/>
          <w:color w:val="000000" w:themeColor="text1"/>
          <w:lang w:val="el-GR"/>
        </w:rPr>
      </w:pPr>
    </w:p>
    <w:p w:rsidR="00376082" w:rsidRPr="00466073" w:rsidRDefault="0019652F" w:rsidP="00D913F7">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Εντούτοις, με περαιτέρω ανάλυση των κωδικών, διαπιστώνουμε ότι τα </w:t>
      </w:r>
      <w:r w:rsidR="008021E9" w:rsidRPr="00466073">
        <w:rPr>
          <w:rFonts w:asciiTheme="minorHAnsi" w:hAnsiTheme="minorHAnsi" w:cstheme="minorHAnsi"/>
          <w:color w:val="000000" w:themeColor="text1"/>
          <w:lang w:val="el-GR"/>
        </w:rPr>
        <w:t xml:space="preserve">πρώτα δέκα, κατά σειρά αξίας, </w:t>
      </w:r>
      <w:r w:rsidRPr="00466073">
        <w:rPr>
          <w:rFonts w:asciiTheme="minorHAnsi" w:hAnsiTheme="minorHAnsi" w:cstheme="minorHAnsi"/>
          <w:color w:val="000000" w:themeColor="text1"/>
          <w:lang w:val="el-GR"/>
        </w:rPr>
        <w:t>ουγγρικά προϊόντα πο</w:t>
      </w:r>
      <w:r w:rsidR="00676DF3" w:rsidRPr="00466073">
        <w:rPr>
          <w:rFonts w:asciiTheme="minorHAnsi" w:hAnsiTheme="minorHAnsi" w:cstheme="minorHAnsi"/>
          <w:color w:val="000000" w:themeColor="text1"/>
          <w:lang w:val="el-GR"/>
        </w:rPr>
        <w:t>υ εισήχθησαν στην Ελλάδα το 2022</w:t>
      </w:r>
      <w:r w:rsidRPr="00466073">
        <w:rPr>
          <w:rFonts w:asciiTheme="minorHAnsi" w:hAnsiTheme="minorHAnsi" w:cstheme="minorHAnsi"/>
          <w:color w:val="000000" w:themeColor="text1"/>
          <w:lang w:val="el-GR"/>
        </w:rPr>
        <w:t xml:space="preserve">, ήταν: </w:t>
      </w:r>
    </w:p>
    <w:p w:rsidR="008609E3" w:rsidRPr="00466073" w:rsidRDefault="008609E3" w:rsidP="008609E3">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-Σ.Ο.</w:t>
      </w:r>
      <w:r w:rsidR="00942F29"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87034010 [Επιβατικά οχήματα υβριδικά], αξίας €</w:t>
      </w:r>
      <w:r w:rsidR="00FF0CFD" w:rsidRPr="00466073">
        <w:rPr>
          <w:rFonts w:asciiTheme="minorHAnsi" w:hAnsiTheme="minorHAnsi" w:cstheme="minorHAnsi"/>
          <w:color w:val="000000" w:themeColor="text1"/>
          <w:shd w:val="clear" w:color="auto" w:fill="FFFFFF"/>
          <w:lang w:val="el-GR"/>
        </w:rPr>
        <w:t xml:space="preserve"> </w:t>
      </w:r>
      <w:r w:rsidR="001B6255" w:rsidRPr="00466073">
        <w:rPr>
          <w:rFonts w:asciiTheme="minorHAnsi" w:hAnsiTheme="minorHAnsi" w:cstheme="minorHAnsi"/>
          <w:color w:val="000000" w:themeColor="text1"/>
          <w:shd w:val="clear" w:color="auto" w:fill="FFFFFF"/>
          <w:lang w:val="el-GR"/>
        </w:rPr>
        <w:t>59.074.</w:t>
      </w:r>
      <w:r w:rsidR="00FF0CFD" w:rsidRPr="00466073">
        <w:rPr>
          <w:rFonts w:asciiTheme="minorHAnsi" w:hAnsiTheme="minorHAnsi" w:cstheme="minorHAnsi"/>
          <w:color w:val="000000" w:themeColor="text1"/>
          <w:shd w:val="clear" w:color="auto" w:fill="FFFFFF"/>
          <w:lang w:val="el-GR"/>
        </w:rPr>
        <w:t>587</w:t>
      </w:r>
      <w:r w:rsidR="008B5F8E" w:rsidRPr="00466073">
        <w:rPr>
          <w:rFonts w:asciiTheme="minorHAnsi" w:hAnsiTheme="minorHAnsi" w:cstheme="minorHAnsi"/>
          <w:color w:val="000000" w:themeColor="text1"/>
          <w:lang w:val="el-GR"/>
        </w:rPr>
        <w:t xml:space="preserve"> </w:t>
      </w:r>
    </w:p>
    <w:p w:rsidR="00FF0CFD" w:rsidRPr="00466073" w:rsidRDefault="00FF0CFD" w:rsidP="00FF0CFD">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-Σ.Ο.</w:t>
      </w:r>
      <w:r w:rsidR="00942F29"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 xml:space="preserve">30049000 [Φάρμακα που προορίζονται για λιανική χρήση ], αξίας € </w:t>
      </w:r>
      <w:r w:rsidR="001B6255" w:rsidRPr="00466073">
        <w:rPr>
          <w:rFonts w:asciiTheme="minorHAnsi" w:hAnsiTheme="minorHAnsi" w:cstheme="minorHAnsi"/>
          <w:color w:val="000000" w:themeColor="text1"/>
          <w:shd w:val="clear" w:color="auto" w:fill="FFFFFF"/>
          <w:lang w:val="el-GR"/>
        </w:rPr>
        <w:t>30.</w:t>
      </w:r>
      <w:r w:rsidRPr="00466073">
        <w:rPr>
          <w:rFonts w:asciiTheme="minorHAnsi" w:hAnsiTheme="minorHAnsi" w:cstheme="minorHAnsi"/>
          <w:color w:val="000000" w:themeColor="text1"/>
          <w:shd w:val="clear" w:color="auto" w:fill="FFFFFF"/>
          <w:lang w:val="el-GR"/>
        </w:rPr>
        <w:t>706</w:t>
      </w:r>
      <w:r w:rsidR="001B6255" w:rsidRPr="00466073">
        <w:rPr>
          <w:rFonts w:asciiTheme="minorHAnsi" w:hAnsiTheme="minorHAnsi" w:cstheme="minorHAnsi"/>
          <w:color w:val="000000" w:themeColor="text1"/>
          <w:shd w:val="clear" w:color="auto" w:fill="FFFFFF"/>
          <w:lang w:val="el-GR"/>
        </w:rPr>
        <w:t>.</w:t>
      </w:r>
      <w:r w:rsidRPr="00466073">
        <w:rPr>
          <w:rFonts w:asciiTheme="minorHAnsi" w:hAnsiTheme="minorHAnsi" w:cstheme="minorHAnsi"/>
          <w:color w:val="000000" w:themeColor="text1"/>
          <w:shd w:val="clear" w:color="auto" w:fill="FFFFFF"/>
          <w:lang w:val="el-GR"/>
        </w:rPr>
        <w:t>785</w:t>
      </w:r>
    </w:p>
    <w:p w:rsidR="00FF0CFD" w:rsidRPr="00466073" w:rsidRDefault="008021E9" w:rsidP="008021E9">
      <w:pPr>
        <w:jc w:val="both"/>
        <w:rPr>
          <w:rFonts w:asciiTheme="minorHAnsi" w:hAnsiTheme="minorHAnsi" w:cstheme="minorHAnsi"/>
          <w:color w:val="000000" w:themeColor="text1"/>
          <w:shd w:val="clear" w:color="auto" w:fill="FFFFFF"/>
          <w:lang w:val="el-GR"/>
        </w:rPr>
      </w:pPr>
      <w:r w:rsidRPr="00466073">
        <w:rPr>
          <w:rFonts w:asciiTheme="minorHAnsi" w:hAnsiTheme="minorHAnsi" w:cstheme="minorHAnsi"/>
          <w:color w:val="000000" w:themeColor="text1"/>
          <w:lang w:val="el-GR"/>
        </w:rPr>
        <w:t>-Σ.Ο.</w:t>
      </w:r>
      <w:r w:rsidR="00942F29"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85287240 [Οθόνες υγρών κρυστάλλων LCD], αξίας €</w:t>
      </w:r>
      <w:r w:rsidR="00967BCB" w:rsidRPr="00466073">
        <w:rPr>
          <w:rFonts w:asciiTheme="minorHAnsi" w:hAnsiTheme="minorHAnsi" w:cstheme="minorHAnsi"/>
          <w:color w:val="000000" w:themeColor="text1"/>
          <w:lang w:val="el-GR"/>
        </w:rPr>
        <w:t xml:space="preserve"> </w:t>
      </w:r>
      <w:r w:rsidR="00FF0CFD" w:rsidRPr="00466073">
        <w:rPr>
          <w:rFonts w:asciiTheme="minorHAnsi" w:hAnsiTheme="minorHAnsi" w:cstheme="minorHAnsi"/>
          <w:color w:val="000000" w:themeColor="text1"/>
          <w:lang w:val="el-GR"/>
        </w:rPr>
        <w:t>28</w:t>
      </w:r>
      <w:r w:rsidR="001B6255" w:rsidRPr="00466073">
        <w:rPr>
          <w:rFonts w:asciiTheme="minorHAnsi" w:hAnsiTheme="minorHAnsi" w:cstheme="minorHAnsi"/>
          <w:color w:val="000000" w:themeColor="text1"/>
          <w:lang w:val="el-GR"/>
        </w:rPr>
        <w:t>.</w:t>
      </w:r>
      <w:r w:rsidR="00FF0CFD" w:rsidRPr="00466073">
        <w:rPr>
          <w:rFonts w:asciiTheme="minorHAnsi" w:hAnsiTheme="minorHAnsi" w:cstheme="minorHAnsi"/>
          <w:color w:val="000000" w:themeColor="text1"/>
          <w:lang w:val="el-GR"/>
        </w:rPr>
        <w:t>111</w:t>
      </w:r>
      <w:r w:rsidR="001B6255" w:rsidRPr="00466073">
        <w:rPr>
          <w:rFonts w:asciiTheme="minorHAnsi" w:hAnsiTheme="minorHAnsi" w:cstheme="minorHAnsi"/>
          <w:color w:val="000000" w:themeColor="text1"/>
          <w:lang w:val="el-GR"/>
        </w:rPr>
        <w:t>.</w:t>
      </w:r>
      <w:r w:rsidR="00FF0CFD" w:rsidRPr="00466073">
        <w:rPr>
          <w:rFonts w:asciiTheme="minorHAnsi" w:hAnsiTheme="minorHAnsi" w:cstheme="minorHAnsi"/>
          <w:color w:val="000000" w:themeColor="text1"/>
          <w:lang w:val="el-GR"/>
        </w:rPr>
        <w:t>752</w:t>
      </w:r>
    </w:p>
    <w:tbl>
      <w:tblPr>
        <w:tblW w:w="5000" w:type="pct"/>
        <w:tblCellMar>
          <w:left w:w="0" w:type="dxa"/>
          <w:right w:w="0" w:type="dxa"/>
        </w:tblCellMar>
        <w:tblLook w:val="04A0"/>
      </w:tblPr>
      <w:tblGrid>
        <w:gridCol w:w="9990"/>
      </w:tblGrid>
      <w:tr w:rsidR="00376082" w:rsidRPr="00433B1E" w:rsidTr="00376082">
        <w:tc>
          <w:tcPr>
            <w:tcW w:w="0" w:type="auto"/>
            <w:vAlign w:val="center"/>
            <w:hideMark/>
          </w:tcPr>
          <w:p w:rsidR="00376082" w:rsidRPr="00466073" w:rsidRDefault="00376082">
            <w:pPr>
              <w:textAlignment w:val="center"/>
              <w:rPr>
                <w:rFonts w:asciiTheme="minorHAnsi" w:hAnsiTheme="minorHAnsi" w:cstheme="minorHAnsi"/>
                <w:b/>
                <w:bCs/>
                <w:color w:val="000000" w:themeColor="text1"/>
                <w:lang w:val="el-GR"/>
              </w:rPr>
            </w:pPr>
          </w:p>
        </w:tc>
      </w:tr>
      <w:tr w:rsidR="00FF0CFD" w:rsidRPr="00433B1E" w:rsidTr="00FF0CFD">
        <w:tc>
          <w:tcPr>
            <w:tcW w:w="0" w:type="auto"/>
            <w:vAlign w:val="center"/>
            <w:hideMark/>
          </w:tcPr>
          <w:p w:rsidR="00FF0CFD" w:rsidRPr="00466073" w:rsidRDefault="00FF0CFD">
            <w:pPr>
              <w:textAlignment w:val="center"/>
              <w:rPr>
                <w:rFonts w:asciiTheme="minorHAnsi" w:hAnsiTheme="minorHAnsi" w:cstheme="minorHAnsi"/>
                <w:b/>
                <w:bCs/>
                <w:color w:val="000000" w:themeColor="text1"/>
                <w:lang w:val="el-GR"/>
              </w:rPr>
            </w:pPr>
          </w:p>
        </w:tc>
      </w:tr>
    </w:tbl>
    <w:p w:rsidR="00F108FD" w:rsidRPr="00466073" w:rsidRDefault="00F108FD" w:rsidP="008021E9">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-Σ.Ο.</w:t>
      </w:r>
      <w:r w:rsidR="00942F29"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 xml:space="preserve">87032210 [Επιβατικά οχήματα </w:t>
      </w:r>
      <w:proofErr w:type="spellStart"/>
      <w:r w:rsidRPr="00466073">
        <w:rPr>
          <w:rFonts w:asciiTheme="minorHAnsi" w:hAnsiTheme="minorHAnsi" w:cstheme="minorHAnsi"/>
          <w:color w:val="000000" w:themeColor="text1"/>
          <w:lang w:val="el-GR"/>
        </w:rPr>
        <w:t>κυλινδρισμού</w:t>
      </w:r>
      <w:proofErr w:type="spellEnd"/>
      <w:r w:rsidRPr="00466073">
        <w:rPr>
          <w:rFonts w:asciiTheme="minorHAnsi" w:hAnsiTheme="minorHAnsi" w:cstheme="minorHAnsi"/>
          <w:color w:val="000000" w:themeColor="text1"/>
          <w:lang w:val="el-GR"/>
        </w:rPr>
        <w:t xml:space="preserve"> 1000-1500 κ.</w:t>
      </w:r>
      <w:r w:rsidR="008B5F8E"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εκ.], αξίας €</w:t>
      </w:r>
      <w:r w:rsidR="008B5F8E" w:rsidRPr="00466073">
        <w:rPr>
          <w:rFonts w:asciiTheme="minorHAnsi" w:hAnsiTheme="minorHAnsi" w:cstheme="minorHAnsi"/>
          <w:color w:val="000000" w:themeColor="text1"/>
          <w:lang w:val="el-GR"/>
        </w:rPr>
        <w:t xml:space="preserve"> </w:t>
      </w:r>
      <w:r w:rsidR="00FF0CFD" w:rsidRPr="00466073">
        <w:rPr>
          <w:rFonts w:asciiTheme="minorHAnsi" w:hAnsiTheme="minorHAnsi" w:cstheme="minorHAnsi"/>
          <w:color w:val="000000" w:themeColor="text1"/>
          <w:shd w:val="clear" w:color="auto" w:fill="FFFFFF"/>
          <w:lang w:val="el-GR"/>
        </w:rPr>
        <w:t>23</w:t>
      </w:r>
      <w:r w:rsidR="001B6255" w:rsidRPr="00466073">
        <w:rPr>
          <w:rFonts w:asciiTheme="minorHAnsi" w:hAnsiTheme="minorHAnsi" w:cstheme="minorHAnsi"/>
          <w:color w:val="000000" w:themeColor="text1"/>
          <w:shd w:val="clear" w:color="auto" w:fill="FFFFFF"/>
          <w:lang w:val="el-GR"/>
        </w:rPr>
        <w:t>.341.</w:t>
      </w:r>
      <w:r w:rsidR="00FF0CFD" w:rsidRPr="00466073">
        <w:rPr>
          <w:rFonts w:asciiTheme="minorHAnsi" w:hAnsiTheme="minorHAnsi" w:cstheme="minorHAnsi"/>
          <w:color w:val="000000" w:themeColor="text1"/>
          <w:shd w:val="clear" w:color="auto" w:fill="FFFFFF"/>
          <w:lang w:val="el-GR"/>
        </w:rPr>
        <w:t>642</w:t>
      </w:r>
    </w:p>
    <w:p w:rsidR="00F108FD" w:rsidRPr="00466073" w:rsidRDefault="00F108FD" w:rsidP="008021E9">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-Σ.Ο.</w:t>
      </w:r>
      <w:r w:rsidR="00942F29"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85176100 [Σταθμοί βάσης για συσκευές επικοινωνίας], αξίας €</w:t>
      </w:r>
      <w:r w:rsidR="008B5F8E" w:rsidRPr="00466073">
        <w:rPr>
          <w:rFonts w:asciiTheme="minorHAnsi" w:hAnsiTheme="minorHAnsi" w:cstheme="minorHAnsi"/>
          <w:color w:val="000000" w:themeColor="text1"/>
          <w:lang w:val="el-GR"/>
        </w:rPr>
        <w:t xml:space="preserve"> </w:t>
      </w:r>
      <w:r w:rsidR="00FF0CFD" w:rsidRPr="00466073">
        <w:rPr>
          <w:rFonts w:asciiTheme="minorHAnsi" w:hAnsiTheme="minorHAnsi" w:cstheme="minorHAnsi"/>
          <w:color w:val="000000" w:themeColor="text1"/>
          <w:lang w:val="el-GR"/>
        </w:rPr>
        <w:t>13</w:t>
      </w:r>
      <w:r w:rsidR="001B6255" w:rsidRPr="00466073">
        <w:rPr>
          <w:rFonts w:asciiTheme="minorHAnsi" w:hAnsiTheme="minorHAnsi" w:cstheme="minorHAnsi"/>
          <w:color w:val="000000" w:themeColor="text1"/>
          <w:lang w:val="el-GR"/>
        </w:rPr>
        <w:t>.</w:t>
      </w:r>
      <w:r w:rsidR="00FF0CFD" w:rsidRPr="00466073">
        <w:rPr>
          <w:rFonts w:asciiTheme="minorHAnsi" w:hAnsiTheme="minorHAnsi" w:cstheme="minorHAnsi"/>
          <w:color w:val="000000" w:themeColor="text1"/>
          <w:lang w:val="el-GR"/>
        </w:rPr>
        <w:t>308</w:t>
      </w:r>
      <w:r w:rsidR="001B6255" w:rsidRPr="00466073">
        <w:rPr>
          <w:rFonts w:asciiTheme="minorHAnsi" w:hAnsiTheme="minorHAnsi" w:cstheme="minorHAnsi"/>
          <w:color w:val="000000" w:themeColor="text1"/>
          <w:lang w:val="el-GR"/>
        </w:rPr>
        <w:t>.</w:t>
      </w:r>
      <w:r w:rsidR="00FF0CFD" w:rsidRPr="00466073">
        <w:rPr>
          <w:rFonts w:asciiTheme="minorHAnsi" w:hAnsiTheme="minorHAnsi" w:cstheme="minorHAnsi"/>
          <w:color w:val="000000" w:themeColor="text1"/>
          <w:lang w:val="el-GR"/>
        </w:rPr>
        <w:t>553</w:t>
      </w:r>
    </w:p>
    <w:p w:rsidR="00A57941" w:rsidRPr="00466073" w:rsidRDefault="00A57941" w:rsidP="008021E9">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-Σ.Ο.</w:t>
      </w:r>
      <w:r w:rsidR="00942F29"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22021000 [Νερά μεταλλικά, αεριούχα με προσθήκη γλυκαντικών], αξίας €</w:t>
      </w:r>
      <w:r w:rsidR="008B5F8E" w:rsidRPr="00466073">
        <w:rPr>
          <w:rFonts w:asciiTheme="minorHAnsi" w:hAnsiTheme="minorHAnsi" w:cstheme="minorHAnsi"/>
          <w:color w:val="000000" w:themeColor="text1"/>
          <w:lang w:val="el-GR"/>
        </w:rPr>
        <w:t xml:space="preserve"> </w:t>
      </w:r>
      <w:r w:rsidR="00FF0CFD" w:rsidRPr="00466073">
        <w:rPr>
          <w:rFonts w:asciiTheme="minorHAnsi" w:hAnsiTheme="minorHAnsi" w:cstheme="minorHAnsi"/>
          <w:color w:val="000000" w:themeColor="text1"/>
          <w:lang w:val="el-GR"/>
        </w:rPr>
        <w:t>16</w:t>
      </w:r>
      <w:r w:rsidR="001B6255" w:rsidRPr="00466073">
        <w:rPr>
          <w:rFonts w:asciiTheme="minorHAnsi" w:hAnsiTheme="minorHAnsi" w:cstheme="minorHAnsi"/>
          <w:color w:val="000000" w:themeColor="text1"/>
          <w:lang w:val="el-GR"/>
        </w:rPr>
        <w:t>.</w:t>
      </w:r>
      <w:r w:rsidR="00FF0CFD" w:rsidRPr="00466073">
        <w:rPr>
          <w:rFonts w:asciiTheme="minorHAnsi" w:hAnsiTheme="minorHAnsi" w:cstheme="minorHAnsi"/>
          <w:color w:val="000000" w:themeColor="text1"/>
          <w:lang w:val="el-GR"/>
        </w:rPr>
        <w:t>219</w:t>
      </w:r>
      <w:r w:rsidR="001B6255" w:rsidRPr="00466073">
        <w:rPr>
          <w:rFonts w:asciiTheme="minorHAnsi" w:hAnsiTheme="minorHAnsi" w:cstheme="minorHAnsi"/>
          <w:color w:val="000000" w:themeColor="text1"/>
          <w:lang w:val="el-GR"/>
        </w:rPr>
        <w:t>.</w:t>
      </w:r>
      <w:r w:rsidR="00FF0CFD" w:rsidRPr="00466073">
        <w:rPr>
          <w:rFonts w:asciiTheme="minorHAnsi" w:hAnsiTheme="minorHAnsi" w:cstheme="minorHAnsi"/>
          <w:color w:val="000000" w:themeColor="text1"/>
          <w:lang w:val="el-GR"/>
        </w:rPr>
        <w:t>300</w:t>
      </w:r>
    </w:p>
    <w:p w:rsidR="001B6255" w:rsidRPr="00466073" w:rsidRDefault="001B6255" w:rsidP="008021E9">
      <w:pPr>
        <w:jc w:val="both"/>
        <w:rPr>
          <w:rFonts w:asciiTheme="minorHAnsi" w:hAnsiTheme="minorHAnsi" w:cstheme="minorHAnsi"/>
          <w:color w:val="000000" w:themeColor="text1"/>
          <w:lang w:val="el-GR"/>
        </w:rPr>
      </w:pPr>
    </w:p>
    <w:p w:rsidR="001B6255" w:rsidRPr="00466073" w:rsidRDefault="001B6255" w:rsidP="001B6255">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-Σ.Ο. 84705000 [Αριθμητικές ταμειακές μηχανές], αξίας € </w:t>
      </w:r>
      <w:r w:rsidRPr="00466073">
        <w:rPr>
          <w:rFonts w:asciiTheme="minorHAnsi" w:hAnsiTheme="minorHAnsi" w:cstheme="minorHAnsi"/>
          <w:color w:val="000000" w:themeColor="text1"/>
          <w:shd w:val="clear" w:color="auto" w:fill="FFFFFF"/>
          <w:lang w:val="el-GR"/>
        </w:rPr>
        <w:t>11.641.796</w:t>
      </w:r>
    </w:p>
    <w:p w:rsidR="001B6255" w:rsidRPr="00466073" w:rsidRDefault="001B6255" w:rsidP="001B6255">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-Σ.Ο. 28151200 [Υδροξείδιο του νατρίου σε υδατικό διάλυμα], αξίας € </w:t>
      </w:r>
      <w:r w:rsidRPr="00466073">
        <w:rPr>
          <w:rFonts w:asciiTheme="minorHAnsi" w:hAnsiTheme="minorHAnsi" w:cstheme="minorHAnsi"/>
          <w:color w:val="000000" w:themeColor="text1"/>
          <w:shd w:val="clear" w:color="auto" w:fill="FFFFFF"/>
          <w:lang w:val="el-GR"/>
        </w:rPr>
        <w:t>11.265.257</w:t>
      </w:r>
    </w:p>
    <w:p w:rsidR="008609E3" w:rsidRPr="00466073" w:rsidRDefault="008609E3" w:rsidP="008609E3">
      <w:pPr>
        <w:jc w:val="both"/>
        <w:rPr>
          <w:rFonts w:asciiTheme="minorHAnsi" w:hAnsiTheme="minorHAnsi" w:cstheme="minorHAnsi"/>
          <w:color w:val="000000" w:themeColor="text1"/>
          <w:shd w:val="clear" w:color="auto" w:fill="FFFFFF"/>
          <w:lang w:val="el-GR"/>
        </w:rPr>
      </w:pPr>
      <w:r w:rsidRPr="00466073">
        <w:rPr>
          <w:rFonts w:asciiTheme="minorHAnsi" w:hAnsiTheme="minorHAnsi" w:cstheme="minorHAnsi"/>
          <w:color w:val="000000" w:themeColor="text1"/>
          <w:lang w:val="el-GR"/>
        </w:rPr>
        <w:t>-Σ.Ο.</w:t>
      </w:r>
      <w:r w:rsidR="00942F29" w:rsidRPr="00466073">
        <w:rPr>
          <w:rFonts w:asciiTheme="minorHAnsi" w:hAnsiTheme="minorHAnsi" w:cstheme="minorHAnsi"/>
          <w:color w:val="000000" w:themeColor="text1"/>
          <w:lang w:val="el-GR"/>
        </w:rPr>
        <w:t xml:space="preserve"> </w:t>
      </w:r>
      <w:r w:rsidRPr="00466073">
        <w:rPr>
          <w:rFonts w:asciiTheme="minorHAnsi" w:hAnsiTheme="minorHAnsi" w:cstheme="minorHAnsi"/>
          <w:color w:val="000000" w:themeColor="text1"/>
          <w:lang w:val="el-GR"/>
        </w:rPr>
        <w:t>87036010 [Επιβατικά οχήματα κινούμενα με ηλεκτρική ενέργεια] αξίας €</w:t>
      </w:r>
      <w:r w:rsidR="008B5F8E" w:rsidRPr="00466073">
        <w:rPr>
          <w:rFonts w:asciiTheme="minorHAnsi" w:hAnsiTheme="minorHAnsi" w:cstheme="minorHAnsi"/>
          <w:color w:val="000000" w:themeColor="text1"/>
          <w:lang w:val="el-GR"/>
        </w:rPr>
        <w:t xml:space="preserve"> </w:t>
      </w:r>
      <w:r w:rsidR="001B6255" w:rsidRPr="00466073">
        <w:rPr>
          <w:rFonts w:asciiTheme="minorHAnsi" w:hAnsiTheme="minorHAnsi" w:cstheme="minorHAnsi"/>
          <w:color w:val="000000" w:themeColor="text1"/>
          <w:shd w:val="clear" w:color="auto" w:fill="FFFFFF"/>
          <w:lang w:val="el-GR"/>
        </w:rPr>
        <w:t>9.803.</w:t>
      </w:r>
      <w:r w:rsidR="00FF0CFD" w:rsidRPr="00466073">
        <w:rPr>
          <w:rFonts w:asciiTheme="minorHAnsi" w:hAnsiTheme="minorHAnsi" w:cstheme="minorHAnsi"/>
          <w:color w:val="000000" w:themeColor="text1"/>
          <w:shd w:val="clear" w:color="auto" w:fill="FFFFFF"/>
          <w:lang w:val="el-GR"/>
        </w:rPr>
        <w:t>685</w:t>
      </w:r>
    </w:p>
    <w:p w:rsidR="001B6255" w:rsidRPr="00466073" w:rsidRDefault="001B6255" w:rsidP="001B6255">
      <w:pPr>
        <w:jc w:val="both"/>
        <w:rPr>
          <w:rFonts w:asciiTheme="minorHAnsi" w:hAnsiTheme="minorHAnsi" w:cstheme="minorHAnsi"/>
          <w:color w:val="000000" w:themeColor="text1"/>
          <w:shd w:val="clear" w:color="auto" w:fill="FFFFFF"/>
          <w:lang w:val="el-GR"/>
        </w:rPr>
      </w:pPr>
      <w:r w:rsidRPr="00466073">
        <w:rPr>
          <w:rFonts w:asciiTheme="minorHAnsi" w:hAnsiTheme="minorHAnsi" w:cstheme="minorHAnsi"/>
          <w:color w:val="000000" w:themeColor="text1"/>
          <w:lang w:val="el-GR"/>
        </w:rPr>
        <w:t xml:space="preserve">-Σ.Ο. 15152190 [Καλαμποκέλαιο και τα κλάσματά του] αξίας € </w:t>
      </w:r>
      <w:r w:rsidRPr="00466073">
        <w:rPr>
          <w:rFonts w:asciiTheme="minorHAnsi" w:hAnsiTheme="minorHAnsi" w:cstheme="minorHAnsi"/>
          <w:color w:val="000000" w:themeColor="text1"/>
          <w:shd w:val="clear" w:color="auto" w:fill="FFFFFF"/>
          <w:lang w:val="el-GR"/>
        </w:rPr>
        <w:t>9.670.025</w:t>
      </w:r>
    </w:p>
    <w:p w:rsidR="001B6255" w:rsidRPr="00466073" w:rsidRDefault="001B6255" w:rsidP="001B6255">
      <w:pPr>
        <w:jc w:val="both"/>
        <w:rPr>
          <w:rFonts w:asciiTheme="minorHAnsi" w:hAnsiTheme="minorHAnsi" w:cstheme="minorHAnsi"/>
          <w:color w:val="000000" w:themeColor="text1"/>
          <w:shd w:val="clear" w:color="auto" w:fill="FFFFFF"/>
          <w:lang w:val="el-GR"/>
        </w:rPr>
      </w:pPr>
      <w:r w:rsidRPr="00466073">
        <w:rPr>
          <w:rFonts w:asciiTheme="minorHAnsi" w:hAnsiTheme="minorHAnsi" w:cstheme="minorHAnsi"/>
          <w:color w:val="000000" w:themeColor="text1"/>
          <w:lang w:val="el-GR"/>
        </w:rPr>
        <w:t xml:space="preserve"> -Σ.Ο. 85179900 [</w:t>
      </w:r>
      <w:r w:rsidR="00942F29" w:rsidRPr="00466073">
        <w:rPr>
          <w:rFonts w:asciiTheme="minorHAnsi" w:hAnsiTheme="minorHAnsi" w:cstheme="minorHAnsi"/>
          <w:color w:val="000000" w:themeColor="text1"/>
          <w:lang w:val="el-GR"/>
        </w:rPr>
        <w:t xml:space="preserve">Μέρη ηλεκτρικών συσκευών για την ενσύρματη τηλεφωνία </w:t>
      </w:r>
      <w:r w:rsidRPr="00466073">
        <w:rPr>
          <w:rFonts w:asciiTheme="minorHAnsi" w:hAnsiTheme="minorHAnsi" w:cstheme="minorHAnsi"/>
          <w:color w:val="000000" w:themeColor="text1"/>
          <w:lang w:val="el-GR"/>
        </w:rPr>
        <w:t xml:space="preserve">] αξίας € </w:t>
      </w:r>
      <w:r w:rsidR="00942F29" w:rsidRPr="00466073">
        <w:rPr>
          <w:rFonts w:asciiTheme="minorHAnsi" w:hAnsiTheme="minorHAnsi" w:cstheme="minorHAnsi"/>
          <w:color w:val="000000" w:themeColor="text1"/>
          <w:shd w:val="clear" w:color="auto" w:fill="FFFFFF"/>
          <w:lang w:val="el-GR"/>
        </w:rPr>
        <w:t>9.197.927</w:t>
      </w:r>
    </w:p>
    <w:p w:rsidR="00FF0CFD" w:rsidRPr="00466073" w:rsidRDefault="00942F29" w:rsidP="008609E3">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-Σ.Ο.  96190071 [Πάνες υγιεινής εκτός από υφαντική ύλη] αξίας € </w:t>
      </w:r>
      <w:r w:rsidRPr="00466073">
        <w:rPr>
          <w:rFonts w:asciiTheme="minorHAnsi" w:hAnsiTheme="minorHAnsi" w:cstheme="minorHAnsi"/>
          <w:color w:val="000000" w:themeColor="text1"/>
          <w:shd w:val="clear" w:color="auto" w:fill="FFFFFF"/>
          <w:lang w:val="el-GR"/>
        </w:rPr>
        <w:t>9.050.828</w:t>
      </w:r>
    </w:p>
    <w:p w:rsidR="00942F29" w:rsidRPr="00466073" w:rsidRDefault="00942F29" w:rsidP="00942F29">
      <w:pPr>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 -Σ.Ο. 40111000 [Καινούργια από καουτσούκ </w:t>
      </w:r>
      <w:proofErr w:type="spellStart"/>
      <w:r w:rsidRPr="00466073">
        <w:rPr>
          <w:rFonts w:asciiTheme="minorHAnsi" w:hAnsiTheme="minorHAnsi" w:cstheme="minorHAnsi"/>
          <w:color w:val="000000" w:themeColor="text1"/>
          <w:lang w:val="el-GR"/>
        </w:rPr>
        <w:t>επίσωτρα</w:t>
      </w:r>
      <w:proofErr w:type="spellEnd"/>
      <w:r w:rsidRPr="00466073">
        <w:rPr>
          <w:rFonts w:asciiTheme="minorHAnsi" w:hAnsiTheme="minorHAnsi" w:cstheme="minorHAnsi"/>
          <w:color w:val="000000" w:themeColor="text1"/>
          <w:lang w:val="el-GR"/>
        </w:rPr>
        <w:t xml:space="preserve">  (λάστιχα), των τύπων που χρησιμοποιούνται</w:t>
      </w:r>
    </w:p>
    <w:p w:rsidR="00942F29" w:rsidRPr="00466073" w:rsidRDefault="00942F29" w:rsidP="00942F29">
      <w:pPr>
        <w:ind w:left="720" w:firstLine="720"/>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   για επιβατικά αυτοκίνητα ] αξίας € </w:t>
      </w:r>
      <w:r w:rsidRPr="00466073">
        <w:rPr>
          <w:rFonts w:asciiTheme="minorHAnsi" w:hAnsiTheme="minorHAnsi" w:cstheme="minorHAnsi"/>
          <w:color w:val="000000" w:themeColor="text1"/>
          <w:shd w:val="clear" w:color="auto" w:fill="FFFFFF"/>
          <w:lang w:val="el-GR"/>
        </w:rPr>
        <w:t>8.995.</w:t>
      </w:r>
      <w:r w:rsidRPr="00466073">
        <w:rPr>
          <w:rFonts w:asciiTheme="minorHAnsi" w:hAnsiTheme="minorHAnsi" w:cstheme="minorHAnsi"/>
          <w:color w:val="3C3C3C"/>
          <w:shd w:val="clear" w:color="auto" w:fill="FFFFFF"/>
          <w:lang w:val="el-GR"/>
        </w:rPr>
        <w:t xml:space="preserve">787 </w:t>
      </w:r>
    </w:p>
    <w:p w:rsidR="00967BCB" w:rsidRPr="00466073" w:rsidRDefault="00967BCB" w:rsidP="00B2211C">
      <w:pPr>
        <w:jc w:val="both"/>
        <w:rPr>
          <w:rFonts w:asciiTheme="minorHAnsi" w:hAnsiTheme="minorHAnsi" w:cstheme="minorHAnsi"/>
          <w:b/>
          <w:bCs/>
          <w:color w:val="1B407B"/>
          <w:shd w:val="clear" w:color="auto" w:fill="E9EEF6"/>
          <w:lang w:val="el-GR"/>
        </w:rPr>
      </w:pPr>
    </w:p>
    <w:p w:rsidR="00942F29" w:rsidRPr="00466073" w:rsidRDefault="00942F29" w:rsidP="008609E3">
      <w:pPr>
        <w:widowControl w:val="0"/>
        <w:autoSpaceDE w:val="0"/>
        <w:autoSpaceDN w:val="0"/>
        <w:adjustRightInd w:val="0"/>
        <w:rPr>
          <w:rFonts w:asciiTheme="minorHAnsi" w:hAnsiTheme="minorHAnsi" w:cstheme="minorHAnsi"/>
          <w:color w:val="FF0000"/>
          <w:u w:val="single"/>
          <w:lang w:val="el-GR"/>
        </w:rPr>
      </w:pPr>
    </w:p>
    <w:p w:rsidR="00354952" w:rsidRPr="00466073" w:rsidRDefault="00354952" w:rsidP="008609E3">
      <w:pPr>
        <w:widowControl w:val="0"/>
        <w:autoSpaceDE w:val="0"/>
        <w:autoSpaceDN w:val="0"/>
        <w:adjustRightInd w:val="0"/>
        <w:rPr>
          <w:rFonts w:asciiTheme="minorHAnsi" w:hAnsiTheme="minorHAnsi" w:cstheme="minorHAnsi"/>
          <w:color w:val="000000" w:themeColor="text1"/>
          <w:u w:val="single"/>
          <w:lang w:val="el-GR"/>
        </w:rPr>
      </w:pPr>
      <w:r w:rsidRPr="00466073">
        <w:rPr>
          <w:rFonts w:asciiTheme="minorHAnsi" w:hAnsiTheme="minorHAnsi" w:cstheme="minorHAnsi"/>
          <w:color w:val="000000" w:themeColor="text1"/>
          <w:u w:val="single"/>
          <w:lang w:val="el-GR"/>
        </w:rPr>
        <w:t xml:space="preserve">Προβλήματα </w:t>
      </w:r>
    </w:p>
    <w:p w:rsidR="00354952" w:rsidRPr="00466073" w:rsidRDefault="00354952" w:rsidP="00354952">
      <w:pPr>
        <w:widowControl w:val="0"/>
        <w:autoSpaceDE w:val="0"/>
        <w:autoSpaceDN w:val="0"/>
        <w:adjustRightInd w:val="0"/>
        <w:spacing w:line="200" w:lineRule="exact"/>
        <w:rPr>
          <w:rFonts w:asciiTheme="minorHAnsi" w:hAnsiTheme="minorHAnsi" w:cstheme="minorHAnsi"/>
          <w:color w:val="FF0000"/>
          <w:lang w:val="el-GR"/>
        </w:rPr>
      </w:pPr>
    </w:p>
    <w:p w:rsidR="00812D1F" w:rsidRPr="00466073" w:rsidRDefault="00812D1F" w:rsidP="00812D1F">
      <w:pPr>
        <w:jc w:val="both"/>
        <w:rPr>
          <w:rFonts w:asciiTheme="minorHAnsi" w:hAnsiTheme="minorHAnsi" w:cstheme="minorHAnsi"/>
          <w:lang w:val="el-GR"/>
        </w:rPr>
      </w:pPr>
      <w:r w:rsidRPr="00466073">
        <w:rPr>
          <w:rFonts w:asciiTheme="minorHAnsi" w:hAnsiTheme="minorHAnsi" w:cstheme="minorHAnsi"/>
          <w:lang w:val="el-GR"/>
        </w:rPr>
        <w:t xml:space="preserve">Σε γενικές γραμμές, δεν υπάρχουν </w:t>
      </w:r>
      <w:r w:rsidR="00956EB1" w:rsidRPr="00466073">
        <w:rPr>
          <w:rFonts w:asciiTheme="minorHAnsi" w:hAnsiTheme="minorHAnsi" w:cstheme="minorHAnsi"/>
          <w:lang w:val="el-GR"/>
        </w:rPr>
        <w:t xml:space="preserve">ιδιαίτερα </w:t>
      </w:r>
      <w:r w:rsidRPr="00466073">
        <w:rPr>
          <w:rFonts w:asciiTheme="minorHAnsi" w:hAnsiTheme="minorHAnsi" w:cstheme="minorHAnsi"/>
          <w:lang w:val="el-GR"/>
        </w:rPr>
        <w:t xml:space="preserve">προβλήματα </w:t>
      </w:r>
      <w:r w:rsidR="001F09D9" w:rsidRPr="00466073">
        <w:rPr>
          <w:rFonts w:asciiTheme="minorHAnsi" w:hAnsiTheme="minorHAnsi" w:cstheme="minorHAnsi"/>
          <w:lang w:val="el-GR"/>
        </w:rPr>
        <w:t>και εμπόδια στις</w:t>
      </w:r>
      <w:r w:rsidR="00956EB1" w:rsidRPr="00466073">
        <w:rPr>
          <w:rFonts w:asciiTheme="minorHAnsi" w:hAnsiTheme="minorHAnsi" w:cstheme="minorHAnsi"/>
          <w:lang w:val="el-GR"/>
        </w:rPr>
        <w:t xml:space="preserve"> μεταξύ των δύο χωρών εμπορικές συναλλαγές. Εντούτοις, κατά καιρούς ανακύπτουν διάφορα θέματα που κυρίως συνοψίζονται στα παρακάτω:</w:t>
      </w:r>
    </w:p>
    <w:p w:rsidR="00C2328A" w:rsidRPr="00466073" w:rsidRDefault="00C2328A" w:rsidP="00812D1F">
      <w:pPr>
        <w:jc w:val="both"/>
        <w:rPr>
          <w:rFonts w:asciiTheme="minorHAnsi" w:hAnsiTheme="minorHAnsi" w:cstheme="minorHAnsi"/>
          <w:u w:val="single"/>
          <w:lang w:val="el-GR"/>
        </w:rPr>
      </w:pPr>
    </w:p>
    <w:p w:rsidR="00956EB1" w:rsidRPr="00466073" w:rsidRDefault="00956EB1" w:rsidP="00812D1F">
      <w:pPr>
        <w:jc w:val="both"/>
        <w:rPr>
          <w:rFonts w:asciiTheme="minorHAnsi" w:hAnsiTheme="minorHAnsi" w:cstheme="minorHAnsi"/>
          <w:u w:val="single"/>
          <w:lang w:val="el-GR"/>
        </w:rPr>
      </w:pPr>
      <w:r w:rsidRPr="00466073">
        <w:rPr>
          <w:rFonts w:asciiTheme="minorHAnsi" w:hAnsiTheme="minorHAnsi" w:cstheme="minorHAnsi"/>
          <w:u w:val="single"/>
          <w:lang w:val="el-GR"/>
        </w:rPr>
        <w:t>Μεταφορές</w:t>
      </w:r>
    </w:p>
    <w:p w:rsidR="00956EB1" w:rsidRPr="00466073" w:rsidRDefault="00956EB1" w:rsidP="00956EB1">
      <w:pPr>
        <w:jc w:val="both"/>
        <w:rPr>
          <w:rFonts w:asciiTheme="minorHAnsi" w:hAnsiTheme="minorHAnsi" w:cstheme="minorHAnsi"/>
          <w:lang w:val="el-GR"/>
        </w:rPr>
      </w:pPr>
      <w:r w:rsidRPr="00466073">
        <w:rPr>
          <w:rFonts w:asciiTheme="minorHAnsi" w:hAnsiTheme="minorHAnsi" w:cstheme="minorHAnsi"/>
          <w:lang w:val="el-GR"/>
        </w:rPr>
        <w:t xml:space="preserve">Στο πλαίσιο συνεργασίας των ουγγρικών τελωνειακών αρχών με </w:t>
      </w:r>
      <w:proofErr w:type="spellStart"/>
      <w:r w:rsidRPr="00466073">
        <w:rPr>
          <w:rFonts w:asciiTheme="minorHAnsi" w:hAnsiTheme="minorHAnsi" w:cstheme="minorHAnsi"/>
          <w:lang w:val="el-GR"/>
        </w:rPr>
        <w:t>Interpol</w:t>
      </w:r>
      <w:proofErr w:type="spellEnd"/>
      <w:r w:rsidRPr="00466073">
        <w:rPr>
          <w:rFonts w:asciiTheme="minorHAnsi" w:hAnsiTheme="minorHAnsi" w:cstheme="minorHAnsi"/>
          <w:lang w:val="el-GR"/>
        </w:rPr>
        <w:t>, Παγκόσμιο Οργανισμό Τελωνείων-WCO και των αρμοδίων Κοινοτικών οργάνων, έχουν τεθεί σε εφαρμογή αυστηροί συνοριακοί και τελωνειακοί έλεγχοι σε φορτηγά διεθνών μεταφορών, ανεξαρτήτως εθνικότητας, προέλευσης ή περιεχομένου φορτίων, είτε τα φορτία προορίζονται για Ουγγαρία είτε διέρχονται από τη χώρα (</w:t>
      </w:r>
      <w:proofErr w:type="spellStart"/>
      <w:r w:rsidRPr="00466073">
        <w:rPr>
          <w:rFonts w:asciiTheme="minorHAnsi" w:hAnsiTheme="minorHAnsi" w:cstheme="minorHAnsi"/>
          <w:lang w:val="el-GR"/>
        </w:rPr>
        <w:t>transit</w:t>
      </w:r>
      <w:proofErr w:type="spellEnd"/>
      <w:r w:rsidRPr="00466073">
        <w:rPr>
          <w:rFonts w:asciiTheme="minorHAnsi" w:hAnsiTheme="minorHAnsi" w:cstheme="minorHAnsi"/>
          <w:lang w:val="el-GR"/>
        </w:rPr>
        <w:t>).</w:t>
      </w:r>
    </w:p>
    <w:p w:rsidR="008958A4" w:rsidRPr="00466073" w:rsidRDefault="00956EB1" w:rsidP="00956EB1">
      <w:pPr>
        <w:widowControl w:val="0"/>
        <w:overflowPunct w:val="0"/>
        <w:autoSpaceDE w:val="0"/>
        <w:autoSpaceDN w:val="0"/>
        <w:adjustRightInd w:val="0"/>
        <w:spacing w:line="234" w:lineRule="auto"/>
        <w:jc w:val="both"/>
        <w:rPr>
          <w:rFonts w:asciiTheme="minorHAnsi" w:hAnsiTheme="minorHAnsi" w:cstheme="minorHAnsi"/>
          <w:lang w:val="el-GR"/>
        </w:rPr>
      </w:pPr>
      <w:r w:rsidRPr="00466073">
        <w:rPr>
          <w:rFonts w:asciiTheme="minorHAnsi" w:hAnsiTheme="minorHAnsi" w:cstheme="minorHAnsi"/>
          <w:lang w:val="el-GR"/>
        </w:rPr>
        <w:t xml:space="preserve">Έλληνες οδηγοί φορτηγών, μπορεί να αντιμετωπίσουν προβλήματα όταν εκτελούν μεταφορές προς την Ουγγαρία ή τη διασχίζουν </w:t>
      </w:r>
      <w:r w:rsidRPr="00466073">
        <w:rPr>
          <w:rFonts w:asciiTheme="minorHAnsi" w:hAnsiTheme="minorHAnsi" w:cstheme="minorHAnsi"/>
        </w:rPr>
        <w:t>transit</w:t>
      </w:r>
      <w:r w:rsidRPr="00466073">
        <w:rPr>
          <w:rFonts w:asciiTheme="minorHAnsi" w:hAnsiTheme="minorHAnsi" w:cstheme="minorHAnsi"/>
          <w:lang w:val="el-GR"/>
        </w:rPr>
        <w:t xml:space="preserve">. Οι περισσότερες των περιπτώσεων αφορούν </w:t>
      </w:r>
      <w:r w:rsidR="008958A4" w:rsidRPr="00466073">
        <w:rPr>
          <w:rFonts w:asciiTheme="minorHAnsi" w:hAnsiTheme="minorHAnsi" w:cstheme="minorHAnsi"/>
          <w:lang w:val="el-GR"/>
        </w:rPr>
        <w:t xml:space="preserve">σε </w:t>
      </w:r>
      <w:r w:rsidRPr="00466073">
        <w:rPr>
          <w:rFonts w:asciiTheme="minorHAnsi" w:hAnsiTheme="minorHAnsi" w:cstheme="minorHAnsi"/>
          <w:lang w:val="el-GR"/>
        </w:rPr>
        <w:t xml:space="preserve">επιβολή προστίμων λόγω λανθασμένης τοποθέτησης φορτίου ή </w:t>
      </w:r>
      <w:r w:rsidR="008958A4" w:rsidRPr="00466073">
        <w:rPr>
          <w:rFonts w:asciiTheme="minorHAnsi" w:hAnsiTheme="minorHAnsi" w:cstheme="minorHAnsi"/>
          <w:lang w:val="el-GR"/>
        </w:rPr>
        <w:t>κατανομής</w:t>
      </w:r>
      <w:r w:rsidRPr="00466073">
        <w:rPr>
          <w:rFonts w:asciiTheme="minorHAnsi" w:hAnsiTheme="minorHAnsi" w:cstheme="minorHAnsi"/>
          <w:lang w:val="el-GR"/>
        </w:rPr>
        <w:t xml:space="preserve"> του ανά άξονα, μεταβολής β</w:t>
      </w:r>
      <w:r w:rsidR="008958A4" w:rsidRPr="00466073">
        <w:rPr>
          <w:rFonts w:asciiTheme="minorHAnsi" w:hAnsiTheme="minorHAnsi" w:cstheme="minorHAnsi"/>
          <w:lang w:val="el-GR"/>
        </w:rPr>
        <w:t>άρους ζύγισης του ίδιου φορτίου</w:t>
      </w:r>
      <w:r w:rsidRPr="00466073">
        <w:rPr>
          <w:rFonts w:asciiTheme="minorHAnsi" w:hAnsiTheme="minorHAnsi" w:cstheme="minorHAnsi"/>
          <w:lang w:val="el-GR"/>
        </w:rPr>
        <w:t xml:space="preserve"> </w:t>
      </w:r>
      <w:r w:rsidR="008958A4" w:rsidRPr="00466073">
        <w:rPr>
          <w:rFonts w:asciiTheme="minorHAnsi" w:hAnsiTheme="minorHAnsi" w:cstheme="minorHAnsi"/>
          <w:lang w:val="el-GR"/>
        </w:rPr>
        <w:t xml:space="preserve">από τελωνείο σε </w:t>
      </w:r>
      <w:r w:rsidRPr="00466073">
        <w:rPr>
          <w:rFonts w:asciiTheme="minorHAnsi" w:hAnsiTheme="minorHAnsi" w:cstheme="minorHAnsi"/>
          <w:lang w:val="el-GR"/>
        </w:rPr>
        <w:t xml:space="preserve">τελωνείο στην Ουγγαρία, ελλιπή ή λανθασμένη αναγραφή των προβλεπόμενων διοικητικών στοιχείων (όνομα οδηγού, ρύθμιση ταχογράφων, τήρηση ωραρίου κλπ.). </w:t>
      </w:r>
    </w:p>
    <w:p w:rsidR="00956EB1" w:rsidRPr="00466073" w:rsidRDefault="008958A4" w:rsidP="00956EB1">
      <w:pPr>
        <w:widowControl w:val="0"/>
        <w:overflowPunct w:val="0"/>
        <w:autoSpaceDE w:val="0"/>
        <w:autoSpaceDN w:val="0"/>
        <w:adjustRightInd w:val="0"/>
        <w:spacing w:line="234" w:lineRule="auto"/>
        <w:jc w:val="both"/>
        <w:rPr>
          <w:rFonts w:asciiTheme="minorHAnsi" w:hAnsiTheme="minorHAnsi" w:cstheme="minorHAnsi"/>
          <w:lang w:val="el-GR"/>
        </w:rPr>
      </w:pPr>
      <w:r w:rsidRPr="00466073">
        <w:rPr>
          <w:rFonts w:asciiTheme="minorHAnsi" w:hAnsiTheme="minorHAnsi" w:cstheme="minorHAnsi"/>
          <w:lang w:val="el-GR"/>
        </w:rPr>
        <w:t xml:space="preserve">Επίσης, </w:t>
      </w:r>
      <w:r w:rsidR="00956EB1" w:rsidRPr="00466073">
        <w:rPr>
          <w:rFonts w:asciiTheme="minorHAnsi" w:hAnsiTheme="minorHAnsi" w:cstheme="minorHAnsi"/>
          <w:lang w:val="el-GR"/>
        </w:rPr>
        <w:t>προβλήματα παρουσιάζονται στην ορθή εφαρμογή του συστήματος</w:t>
      </w:r>
      <w:r w:rsidRPr="00466073">
        <w:rPr>
          <w:rFonts w:asciiTheme="minorHAnsi" w:hAnsiTheme="minorHAnsi" w:cstheme="minorHAnsi"/>
          <w:lang w:val="el-GR"/>
        </w:rPr>
        <w:t xml:space="preserve"> υποχρεωτικής </w:t>
      </w:r>
      <w:r w:rsidR="00956EB1" w:rsidRPr="00466073">
        <w:rPr>
          <w:rFonts w:asciiTheme="minorHAnsi" w:hAnsiTheme="minorHAnsi" w:cstheme="minorHAnsi"/>
          <w:lang w:val="el-GR"/>
        </w:rPr>
        <w:t xml:space="preserve"> είσπραξης ηλεκτρονικών διοδίων, με την ονομασία “</w:t>
      </w:r>
      <w:r w:rsidR="00956EB1" w:rsidRPr="00466073">
        <w:rPr>
          <w:rFonts w:asciiTheme="minorHAnsi" w:hAnsiTheme="minorHAnsi" w:cstheme="minorHAnsi"/>
        </w:rPr>
        <w:t>HU</w:t>
      </w:r>
      <w:r w:rsidR="00956EB1" w:rsidRPr="00466073">
        <w:rPr>
          <w:rFonts w:asciiTheme="minorHAnsi" w:hAnsiTheme="minorHAnsi" w:cstheme="minorHAnsi"/>
          <w:lang w:val="el-GR"/>
        </w:rPr>
        <w:t>-</w:t>
      </w:r>
      <w:r w:rsidR="00956EB1" w:rsidRPr="00466073">
        <w:rPr>
          <w:rFonts w:asciiTheme="minorHAnsi" w:hAnsiTheme="minorHAnsi" w:cstheme="minorHAnsi"/>
        </w:rPr>
        <w:t>GO</w:t>
      </w:r>
      <w:r w:rsidR="00956EB1" w:rsidRPr="00466073">
        <w:rPr>
          <w:rFonts w:asciiTheme="minorHAnsi" w:hAnsiTheme="minorHAnsi" w:cstheme="minorHAnsi"/>
          <w:lang w:val="el-GR"/>
        </w:rPr>
        <w:t>”, που αφορά όλα τα επαγγελματικά φορτηγά μ</w:t>
      </w:r>
      <w:r w:rsidRPr="00466073">
        <w:rPr>
          <w:rFonts w:asciiTheme="minorHAnsi" w:hAnsiTheme="minorHAnsi" w:cstheme="minorHAnsi"/>
          <w:lang w:val="el-GR"/>
        </w:rPr>
        <w:t xml:space="preserve">ικτού βάρους άνω των 3,5 </w:t>
      </w:r>
      <w:proofErr w:type="spellStart"/>
      <w:r w:rsidRPr="00466073">
        <w:rPr>
          <w:rFonts w:asciiTheme="minorHAnsi" w:hAnsiTheme="minorHAnsi" w:cstheme="minorHAnsi"/>
          <w:lang w:val="el-GR"/>
        </w:rPr>
        <w:t>τόννων</w:t>
      </w:r>
      <w:proofErr w:type="spellEnd"/>
      <w:r w:rsidRPr="00466073">
        <w:rPr>
          <w:rFonts w:asciiTheme="minorHAnsi" w:hAnsiTheme="minorHAnsi" w:cstheme="minorHAnsi"/>
          <w:lang w:val="el-GR"/>
        </w:rPr>
        <w:t xml:space="preserve">. </w:t>
      </w:r>
      <w:r w:rsidR="00956EB1" w:rsidRPr="00466073">
        <w:rPr>
          <w:rFonts w:asciiTheme="minorHAnsi" w:hAnsiTheme="minorHAnsi" w:cstheme="minorHAnsi"/>
          <w:lang w:val="el-GR"/>
        </w:rPr>
        <w:t xml:space="preserve"> </w:t>
      </w:r>
    </w:p>
    <w:p w:rsidR="00812D1F" w:rsidRPr="00466073" w:rsidRDefault="00812D1F" w:rsidP="00812D1F">
      <w:pPr>
        <w:jc w:val="both"/>
        <w:rPr>
          <w:rFonts w:asciiTheme="minorHAnsi" w:hAnsiTheme="minorHAnsi" w:cstheme="minorHAnsi"/>
          <w:lang w:val="el-GR"/>
        </w:rPr>
      </w:pPr>
    </w:p>
    <w:p w:rsidR="00354952" w:rsidRPr="00466073" w:rsidRDefault="00354952" w:rsidP="00812D1F">
      <w:pPr>
        <w:jc w:val="both"/>
        <w:rPr>
          <w:rFonts w:asciiTheme="minorHAnsi" w:hAnsiTheme="minorHAnsi" w:cstheme="minorHAnsi"/>
          <w:lang w:val="el-GR"/>
        </w:rPr>
      </w:pPr>
    </w:p>
    <w:p w:rsidR="008958A4" w:rsidRPr="00466073" w:rsidRDefault="008958A4" w:rsidP="00E94693">
      <w:pPr>
        <w:rPr>
          <w:rFonts w:asciiTheme="minorHAnsi" w:hAnsiTheme="minorHAnsi" w:cstheme="minorHAnsi"/>
          <w:lang w:val="el-GR"/>
        </w:rPr>
      </w:pPr>
      <w:r w:rsidRPr="00466073">
        <w:rPr>
          <w:rFonts w:asciiTheme="minorHAnsi" w:hAnsiTheme="minorHAnsi" w:cstheme="minorHAnsi"/>
          <w:u w:val="single"/>
          <w:lang w:val="el-GR"/>
        </w:rPr>
        <w:t>Ηλεκτρονικές απάτες</w:t>
      </w:r>
      <w:r w:rsidR="004F1690" w:rsidRPr="00466073">
        <w:rPr>
          <w:rFonts w:asciiTheme="minorHAnsi" w:hAnsiTheme="minorHAnsi" w:cstheme="minorHAnsi"/>
          <w:u w:val="single"/>
          <w:lang w:val="el-GR"/>
        </w:rPr>
        <w:t xml:space="preserve"> </w:t>
      </w:r>
    </w:p>
    <w:p w:rsidR="002F7BF0" w:rsidRPr="00466073" w:rsidRDefault="008958A4" w:rsidP="008958A4">
      <w:pPr>
        <w:jc w:val="both"/>
        <w:rPr>
          <w:rFonts w:asciiTheme="minorHAnsi" w:hAnsiTheme="minorHAnsi" w:cstheme="minorHAnsi"/>
          <w:lang w:val="el-GR"/>
        </w:rPr>
      </w:pPr>
      <w:r w:rsidRPr="00466073">
        <w:rPr>
          <w:rFonts w:asciiTheme="minorHAnsi" w:hAnsiTheme="minorHAnsi" w:cstheme="minorHAnsi"/>
          <w:lang w:val="el-GR"/>
        </w:rPr>
        <w:t>Έχουν σημειωθεί αλλεπάλληλα κρούσματα παραπλάνησης ελληνικών επιχειρήσεων μέσω Διαδικτύου. Επισημαίνεται ότι π</w:t>
      </w:r>
      <w:r w:rsidR="002F7BF0" w:rsidRPr="00466073">
        <w:rPr>
          <w:rFonts w:asciiTheme="minorHAnsi" w:hAnsiTheme="minorHAnsi" w:cstheme="minorHAnsi"/>
          <w:lang w:val="el-GR"/>
        </w:rPr>
        <w:t>έραν των νομίμως καταχωρημένων και αξιόπιστων ουγγρικών εταιρειών, που χρησιμοποιούν το Διαδίκτυο για εμπόριο και προβολή των προϊόντων τους, κατά καιρούς εμφανίζονται, αμφίβολης προέλευσης, ιστοσελίδες εταιρειών που φέρονται να έχουν την έδρα τους στην Ουγγαρία και προσφέρουν προϊόντα σε ιδιαιτέρως χαμηλές τιμές.</w:t>
      </w:r>
      <w:r w:rsidRPr="00466073">
        <w:rPr>
          <w:rFonts w:asciiTheme="minorHAnsi" w:hAnsiTheme="minorHAnsi" w:cstheme="minorHAnsi"/>
          <w:lang w:val="el-GR"/>
        </w:rPr>
        <w:t xml:space="preserve"> </w:t>
      </w:r>
      <w:r w:rsidR="002F7BF0" w:rsidRPr="00466073">
        <w:rPr>
          <w:rFonts w:asciiTheme="minorHAnsi" w:hAnsiTheme="minorHAnsi" w:cstheme="minorHAnsi"/>
          <w:lang w:val="el-GR"/>
        </w:rPr>
        <w:t>Στις ιστοσελίδες των εταιρειών αυτών, συνήθως αναφέρεται ότι υπάρχει η δυνατότητα εμπορίας πολλών και διαφορετικών προϊόντων, σε ιδιαιτέρως ελκυστικές τιμές (συχνότερα καταχωρούνται προϊόντα ξυλείας, καυσόξυλα-</w:t>
      </w:r>
      <w:r w:rsidR="002F7BF0" w:rsidRPr="00466073">
        <w:rPr>
          <w:rFonts w:asciiTheme="minorHAnsi" w:hAnsiTheme="minorHAnsi" w:cstheme="minorHAnsi"/>
        </w:rPr>
        <w:t>pellets</w:t>
      </w:r>
      <w:r w:rsidR="002F7BF0" w:rsidRPr="00466073">
        <w:rPr>
          <w:rFonts w:asciiTheme="minorHAnsi" w:hAnsiTheme="minorHAnsi" w:cstheme="minorHAnsi"/>
          <w:lang w:val="el-GR"/>
        </w:rPr>
        <w:t xml:space="preserve">, ζάχαρη, αλεύρι, </w:t>
      </w:r>
      <w:r w:rsidR="002F7BF0" w:rsidRPr="00466073">
        <w:rPr>
          <w:rFonts w:asciiTheme="minorHAnsi" w:hAnsiTheme="minorHAnsi" w:cstheme="minorHAnsi"/>
        </w:rPr>
        <w:t>scrap</w:t>
      </w:r>
      <w:r w:rsidR="002F7BF0" w:rsidRPr="00466073">
        <w:rPr>
          <w:rFonts w:asciiTheme="minorHAnsi" w:hAnsiTheme="minorHAnsi" w:cstheme="minorHAnsi"/>
          <w:lang w:val="el-GR"/>
        </w:rPr>
        <w:t>, μέρη από πουλερικά, αναπτήρες και φυτικά έλαια</w:t>
      </w:r>
      <w:r w:rsidRPr="00466073">
        <w:rPr>
          <w:rFonts w:asciiTheme="minorHAnsi" w:hAnsiTheme="minorHAnsi" w:cstheme="minorHAnsi"/>
          <w:lang w:val="el-GR"/>
        </w:rPr>
        <w:t xml:space="preserve">). </w:t>
      </w:r>
      <w:r w:rsidR="002F7BF0" w:rsidRPr="00466073">
        <w:rPr>
          <w:rFonts w:asciiTheme="minorHAnsi" w:hAnsiTheme="minorHAnsi" w:cstheme="minorHAnsi"/>
          <w:lang w:val="el-GR"/>
        </w:rPr>
        <w:t>Οι προσφερόμενες τιμές πώλησης των προϊόντων, είναι προκλητικά χαμηλές σε σχέση με τον υπόλοιπο ανταγωνισμό στην αγορά, προκειμένου να προσελκύσουν ανυποψίαστες εταιρείες και καλόπιστους επιχειρηματίες</w:t>
      </w:r>
      <w:r w:rsidRPr="00466073">
        <w:rPr>
          <w:rFonts w:asciiTheme="minorHAnsi" w:hAnsiTheme="minorHAnsi" w:cstheme="minorHAnsi"/>
          <w:lang w:val="el-GR"/>
        </w:rPr>
        <w:t xml:space="preserve">. </w:t>
      </w:r>
    </w:p>
    <w:p w:rsidR="002F7BF0" w:rsidRPr="00466073" w:rsidRDefault="002F7BF0" w:rsidP="002F7BF0">
      <w:pPr>
        <w:pStyle w:val="Default"/>
        <w:jc w:val="both"/>
        <w:rPr>
          <w:rFonts w:asciiTheme="minorHAnsi" w:hAnsiTheme="minorHAnsi" w:cstheme="minorHAnsi"/>
          <w:lang w:val="el-GR"/>
        </w:rPr>
      </w:pPr>
      <w:r w:rsidRPr="00466073">
        <w:rPr>
          <w:rFonts w:asciiTheme="minorHAnsi" w:hAnsiTheme="minorHAnsi" w:cstheme="minorHAnsi"/>
          <w:lang w:val="el-GR"/>
        </w:rPr>
        <w:t xml:space="preserve">Τα </w:t>
      </w:r>
      <w:r w:rsidRPr="00466073">
        <w:rPr>
          <w:rFonts w:asciiTheme="minorHAnsi" w:hAnsiTheme="minorHAnsi" w:cstheme="minorHAnsi"/>
        </w:rPr>
        <w:t xml:space="preserve">στοιχεία επικοινωνίας </w:t>
      </w:r>
      <w:r w:rsidRPr="00466073">
        <w:rPr>
          <w:rFonts w:asciiTheme="minorHAnsi" w:hAnsiTheme="minorHAnsi" w:cstheme="minorHAnsi"/>
          <w:lang w:val="el-GR"/>
        </w:rPr>
        <w:t xml:space="preserve">των εταιρειών </w:t>
      </w:r>
      <w:r w:rsidR="00BA7458" w:rsidRPr="00466073">
        <w:rPr>
          <w:rFonts w:asciiTheme="minorHAnsi" w:hAnsiTheme="minorHAnsi" w:cstheme="minorHAnsi"/>
          <w:lang w:val="el-GR"/>
        </w:rPr>
        <w:t>που επιχειρούν την απάτη, είναι</w:t>
      </w:r>
      <w:r w:rsidRPr="00466073">
        <w:rPr>
          <w:rFonts w:asciiTheme="minorHAnsi" w:hAnsiTheme="minorHAnsi" w:cstheme="minorHAnsi"/>
          <w:lang w:val="el-GR"/>
        </w:rPr>
        <w:t xml:space="preserve"> συνήθως ηλεκτρονικές </w:t>
      </w:r>
      <w:r w:rsidR="00BA7458" w:rsidRPr="00466073">
        <w:rPr>
          <w:rFonts w:asciiTheme="minorHAnsi" w:hAnsiTheme="minorHAnsi" w:cstheme="minorHAnsi"/>
          <w:lang w:val="el-GR"/>
        </w:rPr>
        <w:t xml:space="preserve">ταχυδρομικές </w:t>
      </w:r>
      <w:r w:rsidRPr="00466073">
        <w:rPr>
          <w:rFonts w:asciiTheme="minorHAnsi" w:hAnsiTheme="minorHAnsi" w:cstheme="minorHAnsi"/>
          <w:lang w:val="el-GR"/>
        </w:rPr>
        <w:t>διευθύνσεις</w:t>
      </w:r>
      <w:r w:rsidRPr="00466073">
        <w:rPr>
          <w:rFonts w:asciiTheme="minorHAnsi" w:hAnsiTheme="minorHAnsi" w:cstheme="minorHAnsi"/>
        </w:rPr>
        <w:t xml:space="preserve"> (yahoo, gmail, hotmail, κλπ) και αριθμοί ουγγρικών καρτοκινητών τηλεφώνων, έτσι ώστε να καθίσταται εξαιρετικά δύσκολος ο</w:t>
      </w:r>
      <w:r w:rsidR="00BA7458" w:rsidRPr="00466073">
        <w:rPr>
          <w:rFonts w:asciiTheme="minorHAnsi" w:hAnsiTheme="minorHAnsi" w:cstheme="minorHAnsi"/>
          <w:lang w:val="el-GR"/>
        </w:rPr>
        <w:t xml:space="preserve"> οποιοσδήποτε έλεγχος και </w:t>
      </w:r>
      <w:r w:rsidRPr="00466073">
        <w:rPr>
          <w:rFonts w:asciiTheme="minorHAnsi" w:hAnsiTheme="minorHAnsi" w:cstheme="minorHAnsi"/>
        </w:rPr>
        <w:t xml:space="preserve">εντοπισμός </w:t>
      </w:r>
      <w:r w:rsidR="00BA7458" w:rsidRPr="00466073">
        <w:rPr>
          <w:rFonts w:asciiTheme="minorHAnsi" w:hAnsiTheme="minorHAnsi" w:cstheme="minorHAnsi"/>
        </w:rPr>
        <w:t>τους</w:t>
      </w:r>
      <w:r w:rsidR="00BA7458" w:rsidRPr="00466073">
        <w:rPr>
          <w:rFonts w:asciiTheme="minorHAnsi" w:hAnsiTheme="minorHAnsi" w:cstheme="minorHAnsi"/>
          <w:lang w:val="el-GR"/>
        </w:rPr>
        <w:t xml:space="preserve">. </w:t>
      </w:r>
    </w:p>
    <w:p w:rsidR="002F7BF0" w:rsidRPr="00466073" w:rsidRDefault="002F7BF0" w:rsidP="002F7BF0">
      <w:pPr>
        <w:pStyle w:val="Default"/>
        <w:jc w:val="both"/>
        <w:rPr>
          <w:rFonts w:asciiTheme="minorHAnsi" w:hAnsiTheme="minorHAnsi" w:cstheme="minorHAnsi"/>
          <w:lang w:val="el-GR"/>
        </w:rPr>
      </w:pPr>
      <w:r w:rsidRPr="00466073">
        <w:rPr>
          <w:rFonts w:asciiTheme="minorHAnsi" w:hAnsiTheme="minorHAnsi" w:cstheme="minorHAnsi"/>
          <w:lang w:val="el-GR"/>
        </w:rPr>
        <w:t>Η</w:t>
      </w:r>
      <w:r w:rsidRPr="00466073">
        <w:rPr>
          <w:rFonts w:asciiTheme="minorHAnsi" w:hAnsiTheme="minorHAnsi" w:cstheme="minorHAnsi"/>
        </w:rPr>
        <w:t xml:space="preserve"> πλέον συνηθισμένη</w:t>
      </w:r>
      <w:r w:rsidRPr="00466073">
        <w:rPr>
          <w:rFonts w:asciiTheme="minorHAnsi" w:hAnsiTheme="minorHAnsi" w:cstheme="minorHAnsi"/>
          <w:lang w:val="el-GR"/>
        </w:rPr>
        <w:t xml:space="preserve"> τακτική </w:t>
      </w:r>
      <w:r w:rsidRPr="00466073">
        <w:rPr>
          <w:rFonts w:asciiTheme="minorHAnsi" w:hAnsiTheme="minorHAnsi" w:cstheme="minorHAnsi"/>
        </w:rPr>
        <w:t>που ακολουθούν οι εν λόγω «εταιρείες»</w:t>
      </w:r>
      <w:r w:rsidRPr="00466073">
        <w:rPr>
          <w:rFonts w:asciiTheme="minorHAnsi" w:hAnsiTheme="minorHAnsi" w:cstheme="minorHAnsi"/>
          <w:lang w:val="el-GR"/>
        </w:rPr>
        <w:t xml:space="preserve"> για </w:t>
      </w:r>
      <w:r w:rsidR="00BA7458" w:rsidRPr="00466073">
        <w:rPr>
          <w:rFonts w:asciiTheme="minorHAnsi" w:hAnsiTheme="minorHAnsi" w:cstheme="minorHAnsi"/>
          <w:lang w:val="el-GR"/>
        </w:rPr>
        <w:t>να αποσπάσουν χρηματικά ποσά από τα θύματά τους</w:t>
      </w:r>
      <w:r w:rsidRPr="00466073">
        <w:rPr>
          <w:rFonts w:asciiTheme="minorHAnsi" w:hAnsiTheme="minorHAnsi" w:cstheme="minorHAnsi"/>
        </w:rPr>
        <w:t xml:space="preserve">, είναι </w:t>
      </w:r>
      <w:r w:rsidRPr="00466073">
        <w:rPr>
          <w:rFonts w:asciiTheme="minorHAnsi" w:hAnsiTheme="minorHAnsi" w:cstheme="minorHAnsi"/>
          <w:lang w:val="el-GR"/>
        </w:rPr>
        <w:t xml:space="preserve">να θέτουν ως προϋπόθεση ολοκλήρωσης της εμπορικής συναλλαγής την </w:t>
      </w:r>
      <w:r w:rsidRPr="00466073">
        <w:rPr>
          <w:rFonts w:asciiTheme="minorHAnsi" w:hAnsiTheme="minorHAnsi" w:cstheme="minorHAnsi"/>
        </w:rPr>
        <w:t xml:space="preserve">αποστολή εμβάσματος </w:t>
      </w:r>
      <w:r w:rsidRPr="00466073">
        <w:rPr>
          <w:rFonts w:asciiTheme="minorHAnsi" w:hAnsiTheme="minorHAnsi" w:cstheme="minorHAnsi"/>
          <w:lang w:val="el-GR"/>
        </w:rPr>
        <w:t xml:space="preserve">ή </w:t>
      </w:r>
      <w:r w:rsidRPr="00466073">
        <w:rPr>
          <w:rFonts w:asciiTheme="minorHAnsi" w:hAnsiTheme="minorHAnsi" w:cstheme="minorHAnsi"/>
        </w:rPr>
        <w:t xml:space="preserve">προκαταβολής, </w:t>
      </w:r>
      <w:r w:rsidRPr="00466073">
        <w:rPr>
          <w:rFonts w:asciiTheme="minorHAnsi" w:hAnsiTheme="minorHAnsi" w:cstheme="minorHAnsi"/>
          <w:lang w:val="el-GR"/>
        </w:rPr>
        <w:t>μικρού όμως ύψους (συνήθως μεταξύ</w:t>
      </w:r>
      <w:r w:rsidRPr="00466073">
        <w:rPr>
          <w:rFonts w:asciiTheme="minorHAnsi" w:hAnsiTheme="minorHAnsi" w:cstheme="minorHAnsi"/>
        </w:rPr>
        <w:t xml:space="preserve"> €1.000 </w:t>
      </w:r>
      <w:r w:rsidRPr="00466073">
        <w:rPr>
          <w:rFonts w:asciiTheme="minorHAnsi" w:hAnsiTheme="minorHAnsi" w:cstheme="minorHAnsi"/>
          <w:lang w:val="el-GR"/>
        </w:rPr>
        <w:t xml:space="preserve">- </w:t>
      </w:r>
      <w:r w:rsidRPr="00466073">
        <w:rPr>
          <w:rFonts w:asciiTheme="minorHAnsi" w:hAnsiTheme="minorHAnsi" w:cstheme="minorHAnsi"/>
        </w:rPr>
        <w:t>€2.000</w:t>
      </w:r>
      <w:r w:rsidRPr="00466073">
        <w:rPr>
          <w:rFonts w:asciiTheme="minorHAnsi" w:hAnsiTheme="minorHAnsi" w:cstheme="minorHAnsi"/>
          <w:lang w:val="el-GR"/>
        </w:rPr>
        <w:t xml:space="preserve">, χωρίς να αποκλείονται μεγαλύτερα ποσά, αλλά πάντως πολύ χαμηλά ως προς τη συνολική αξία της παραγγελίας) ώστε να μην </w:t>
      </w:r>
      <w:r w:rsidRPr="00466073">
        <w:rPr>
          <w:rFonts w:asciiTheme="minorHAnsi" w:hAnsiTheme="minorHAnsi" w:cstheme="minorHAnsi"/>
        </w:rPr>
        <w:t xml:space="preserve"> αποθαρρυνθούν οι ενδιαφερόμενοι</w:t>
      </w:r>
      <w:r w:rsidRPr="00466073">
        <w:rPr>
          <w:rFonts w:asciiTheme="minorHAnsi" w:hAnsiTheme="minorHAnsi" w:cstheme="minorHAnsi"/>
          <w:lang w:val="el-GR"/>
        </w:rPr>
        <w:t xml:space="preserve">. </w:t>
      </w:r>
      <w:r w:rsidRPr="00466073">
        <w:rPr>
          <w:rFonts w:asciiTheme="minorHAnsi" w:hAnsiTheme="minorHAnsi" w:cstheme="minorHAnsi"/>
        </w:rPr>
        <w:t xml:space="preserve">Τα χρηματικά </w:t>
      </w:r>
      <w:r w:rsidRPr="00466073">
        <w:rPr>
          <w:rFonts w:asciiTheme="minorHAnsi" w:hAnsiTheme="minorHAnsi" w:cstheme="minorHAnsi"/>
          <w:lang w:val="el-GR"/>
        </w:rPr>
        <w:t xml:space="preserve">αυτά </w:t>
      </w:r>
      <w:r w:rsidRPr="00466073">
        <w:rPr>
          <w:rFonts w:asciiTheme="minorHAnsi" w:hAnsiTheme="minorHAnsi" w:cstheme="minorHAnsi"/>
        </w:rPr>
        <w:t>εμβάσματα</w:t>
      </w:r>
      <w:r w:rsidRPr="00466073">
        <w:rPr>
          <w:rFonts w:asciiTheme="minorHAnsi" w:hAnsiTheme="minorHAnsi" w:cstheme="minorHAnsi"/>
          <w:lang w:val="el-GR"/>
        </w:rPr>
        <w:t>, οι εταιρείες-θύματα καλούνται να αποστείλουν</w:t>
      </w:r>
      <w:r w:rsidRPr="00466073">
        <w:rPr>
          <w:rFonts w:asciiTheme="minorHAnsi" w:hAnsiTheme="minorHAnsi" w:cstheme="minorHAnsi"/>
        </w:rPr>
        <w:t xml:space="preserve">: </w:t>
      </w:r>
    </w:p>
    <w:p w:rsidR="002F7BF0" w:rsidRPr="00466073" w:rsidRDefault="002F7BF0" w:rsidP="002F7BF0">
      <w:pPr>
        <w:pStyle w:val="Default"/>
        <w:jc w:val="both"/>
        <w:rPr>
          <w:rFonts w:asciiTheme="minorHAnsi" w:hAnsiTheme="minorHAnsi" w:cstheme="minorHAnsi"/>
          <w:lang w:val="el-GR"/>
        </w:rPr>
      </w:pPr>
      <w:r w:rsidRPr="00466073">
        <w:rPr>
          <w:rFonts w:asciiTheme="minorHAnsi" w:hAnsiTheme="minorHAnsi" w:cstheme="minorHAnsi"/>
          <w:lang w:val="el-GR"/>
        </w:rPr>
        <w:t xml:space="preserve">α) σε </w:t>
      </w:r>
      <w:r w:rsidRPr="00466073">
        <w:rPr>
          <w:rFonts w:asciiTheme="minorHAnsi" w:hAnsiTheme="minorHAnsi" w:cstheme="minorHAnsi"/>
        </w:rPr>
        <w:t>τραπεζικούς λογαριασμούς ουγγρικών τραπεζών, για τον έλεγχο των οποίων απαιτείται δικαστική εντολή</w:t>
      </w:r>
    </w:p>
    <w:p w:rsidR="002F7BF0" w:rsidRPr="00466073" w:rsidRDefault="002F7BF0" w:rsidP="002F7BF0">
      <w:pPr>
        <w:pStyle w:val="Default"/>
        <w:jc w:val="both"/>
        <w:rPr>
          <w:rFonts w:asciiTheme="minorHAnsi" w:hAnsiTheme="minorHAnsi" w:cstheme="minorHAnsi"/>
          <w:lang w:val="el-GR"/>
        </w:rPr>
      </w:pPr>
      <w:r w:rsidRPr="00466073">
        <w:rPr>
          <w:rFonts w:asciiTheme="minorHAnsi" w:hAnsiTheme="minorHAnsi" w:cstheme="minorHAnsi"/>
          <w:lang w:val="el-GR"/>
        </w:rPr>
        <w:t>β)</w:t>
      </w:r>
      <w:r w:rsidRPr="00466073">
        <w:rPr>
          <w:rFonts w:asciiTheme="minorHAnsi" w:hAnsiTheme="minorHAnsi" w:cstheme="minorHAnsi"/>
        </w:rPr>
        <w:t xml:space="preserve"> μέσω του διεθνούς συστήματος ηλεκτρονικών πληρωμών και αυθημερόν εκτέλεσης της εντολής (π.χ. Western Union)</w:t>
      </w:r>
    </w:p>
    <w:p w:rsidR="002F7BF0" w:rsidRPr="00466073" w:rsidRDefault="002F7BF0" w:rsidP="002F7BF0">
      <w:pPr>
        <w:pStyle w:val="Default"/>
        <w:jc w:val="both"/>
        <w:rPr>
          <w:rFonts w:asciiTheme="minorHAnsi" w:hAnsiTheme="minorHAnsi" w:cstheme="minorHAnsi"/>
          <w:lang w:val="el-GR"/>
        </w:rPr>
      </w:pPr>
      <w:r w:rsidRPr="00466073">
        <w:rPr>
          <w:rFonts w:asciiTheme="minorHAnsi" w:hAnsiTheme="minorHAnsi" w:cstheme="minorHAnsi"/>
          <w:lang w:val="el-GR"/>
        </w:rPr>
        <w:t xml:space="preserve">γ) </w:t>
      </w:r>
      <w:r w:rsidRPr="00466073">
        <w:rPr>
          <w:rFonts w:asciiTheme="minorHAnsi" w:hAnsiTheme="minorHAnsi" w:cstheme="minorHAnsi"/>
        </w:rPr>
        <w:t xml:space="preserve">σε τραπεζικά </w:t>
      </w:r>
      <w:r w:rsidRPr="00466073">
        <w:rPr>
          <w:rFonts w:asciiTheme="minorHAnsi" w:hAnsiTheme="minorHAnsi" w:cstheme="minorHAnsi"/>
          <w:lang w:val="el-GR"/>
        </w:rPr>
        <w:t xml:space="preserve">ιδρύματα </w:t>
      </w:r>
      <w:r w:rsidRPr="00466073">
        <w:rPr>
          <w:rFonts w:asciiTheme="minorHAnsi" w:hAnsiTheme="minorHAnsi" w:cstheme="minorHAnsi"/>
        </w:rPr>
        <w:t>εκτός Ουγγαρίας (</w:t>
      </w:r>
      <w:r w:rsidRPr="00466073">
        <w:rPr>
          <w:rFonts w:asciiTheme="minorHAnsi" w:hAnsiTheme="minorHAnsi" w:cstheme="minorHAnsi"/>
          <w:lang w:val="el-GR"/>
        </w:rPr>
        <w:t xml:space="preserve">συνήθως σε </w:t>
      </w:r>
      <w:r w:rsidRPr="00466073">
        <w:rPr>
          <w:rFonts w:asciiTheme="minorHAnsi" w:hAnsiTheme="minorHAnsi" w:cstheme="minorHAnsi"/>
        </w:rPr>
        <w:t xml:space="preserve">Πολωνία, Βουλγαρία, </w:t>
      </w:r>
      <w:r w:rsidRPr="00466073">
        <w:rPr>
          <w:rFonts w:asciiTheme="minorHAnsi" w:hAnsiTheme="minorHAnsi" w:cstheme="minorHAnsi"/>
          <w:lang w:val="el-GR"/>
        </w:rPr>
        <w:t>ΠΓΔΜ, και αλλού</w:t>
      </w:r>
      <w:r w:rsidRPr="00466073">
        <w:rPr>
          <w:rFonts w:asciiTheme="minorHAnsi" w:hAnsiTheme="minorHAnsi" w:cstheme="minorHAnsi"/>
        </w:rPr>
        <w:t xml:space="preserve">) </w:t>
      </w:r>
    </w:p>
    <w:p w:rsidR="00BA7458" w:rsidRPr="00466073" w:rsidRDefault="00BA7458" w:rsidP="002F7BF0">
      <w:pPr>
        <w:pStyle w:val="Default"/>
        <w:jc w:val="both"/>
        <w:rPr>
          <w:rFonts w:asciiTheme="minorHAnsi" w:hAnsiTheme="minorHAnsi" w:cstheme="minorHAnsi"/>
          <w:lang w:val="el-GR"/>
        </w:rPr>
      </w:pPr>
    </w:p>
    <w:p w:rsidR="002F7BF0" w:rsidRPr="00466073" w:rsidRDefault="002F7BF0" w:rsidP="002F7BF0">
      <w:pPr>
        <w:pStyle w:val="Default"/>
        <w:jc w:val="both"/>
        <w:rPr>
          <w:rFonts w:asciiTheme="minorHAnsi" w:hAnsiTheme="minorHAnsi" w:cstheme="minorHAnsi"/>
        </w:rPr>
      </w:pPr>
      <w:r w:rsidRPr="00466073">
        <w:rPr>
          <w:rFonts w:asciiTheme="minorHAnsi" w:hAnsiTheme="minorHAnsi" w:cstheme="minorHAnsi"/>
          <w:lang w:val="el-GR"/>
        </w:rPr>
        <w:t>Τ</w:t>
      </w:r>
      <w:r w:rsidRPr="00466073">
        <w:rPr>
          <w:rFonts w:asciiTheme="minorHAnsi" w:hAnsiTheme="minorHAnsi" w:cstheme="minorHAnsi"/>
        </w:rPr>
        <w:t xml:space="preserve">α </w:t>
      </w:r>
      <w:r w:rsidRPr="00466073">
        <w:rPr>
          <w:rFonts w:asciiTheme="minorHAnsi" w:hAnsiTheme="minorHAnsi" w:cstheme="minorHAnsi"/>
          <w:lang w:val="el-GR"/>
        </w:rPr>
        <w:t xml:space="preserve">στοιχεία και </w:t>
      </w:r>
      <w:r w:rsidRPr="00466073">
        <w:rPr>
          <w:rFonts w:asciiTheme="minorHAnsi" w:hAnsiTheme="minorHAnsi" w:cstheme="minorHAnsi"/>
        </w:rPr>
        <w:t xml:space="preserve">παραστατικά που </w:t>
      </w:r>
      <w:r w:rsidRPr="00466073">
        <w:rPr>
          <w:rFonts w:asciiTheme="minorHAnsi" w:hAnsiTheme="minorHAnsi" w:cstheme="minorHAnsi"/>
          <w:lang w:val="el-GR"/>
        </w:rPr>
        <w:t xml:space="preserve">προωθούνται </w:t>
      </w:r>
      <w:r w:rsidRPr="00466073">
        <w:rPr>
          <w:rFonts w:asciiTheme="minorHAnsi" w:hAnsiTheme="minorHAnsi" w:cstheme="minorHAnsi"/>
        </w:rPr>
        <w:t xml:space="preserve">στις ελληνικές επιχειρήσεις (προτιμολόγια, </w:t>
      </w:r>
      <w:r w:rsidRPr="00466073">
        <w:rPr>
          <w:rFonts w:asciiTheme="minorHAnsi" w:hAnsiTheme="minorHAnsi" w:cstheme="minorHAnsi"/>
          <w:lang w:val="el-GR"/>
        </w:rPr>
        <w:t xml:space="preserve">δελτία παραγγελίας, </w:t>
      </w:r>
      <w:r w:rsidRPr="00466073">
        <w:rPr>
          <w:rFonts w:asciiTheme="minorHAnsi" w:hAnsiTheme="minorHAnsi" w:cstheme="minorHAnsi"/>
        </w:rPr>
        <w:t xml:space="preserve">συμφωνίες συνεργασίας, εγγυητικές επιστολές, κ.ά.), για να τις πείσουν να αναπτύξουν συνεργασία, περιλαμβάνουν: </w:t>
      </w:r>
    </w:p>
    <w:p w:rsidR="002F7BF0" w:rsidRPr="00466073" w:rsidRDefault="002F7BF0" w:rsidP="002F7BF0">
      <w:pPr>
        <w:pStyle w:val="Default"/>
        <w:jc w:val="both"/>
        <w:rPr>
          <w:rFonts w:asciiTheme="minorHAnsi" w:hAnsiTheme="minorHAnsi" w:cstheme="minorHAnsi"/>
        </w:rPr>
      </w:pPr>
      <w:r w:rsidRPr="00466073">
        <w:rPr>
          <w:rFonts w:asciiTheme="minorHAnsi" w:hAnsiTheme="minorHAnsi" w:cstheme="minorHAnsi"/>
          <w:bCs/>
          <w:lang w:val="el-GR"/>
        </w:rPr>
        <w:t>α)</w:t>
      </w:r>
      <w:r w:rsidRPr="00466073">
        <w:rPr>
          <w:rFonts w:asciiTheme="minorHAnsi" w:hAnsiTheme="minorHAnsi" w:cstheme="minorHAnsi"/>
          <w:b/>
          <w:bCs/>
        </w:rPr>
        <w:t xml:space="preserve"> </w:t>
      </w:r>
      <w:r w:rsidRPr="00466073">
        <w:rPr>
          <w:rFonts w:asciiTheme="minorHAnsi" w:hAnsiTheme="minorHAnsi" w:cstheme="minorHAnsi"/>
        </w:rPr>
        <w:t xml:space="preserve">ανύπαρκτες επωνυμίες «εταιρειών» με παραπλανητικά ονόματα υπευθύνων και δ/νσεων (π.χ. πάρκα, πλατείες, ανύπαρκτες οδοί και αριθμοί, κλπ) </w:t>
      </w:r>
    </w:p>
    <w:p w:rsidR="002F7BF0" w:rsidRPr="00466073" w:rsidRDefault="002F7BF0" w:rsidP="002F7BF0">
      <w:pPr>
        <w:pStyle w:val="Default"/>
        <w:jc w:val="both"/>
        <w:rPr>
          <w:rFonts w:asciiTheme="minorHAnsi" w:hAnsiTheme="minorHAnsi" w:cstheme="minorHAnsi"/>
          <w:lang w:val="el-GR"/>
        </w:rPr>
      </w:pPr>
      <w:r w:rsidRPr="00466073">
        <w:rPr>
          <w:rFonts w:asciiTheme="minorHAnsi" w:hAnsiTheme="minorHAnsi" w:cstheme="minorHAnsi"/>
          <w:bCs/>
          <w:lang w:val="el-GR"/>
        </w:rPr>
        <w:t>β)</w:t>
      </w:r>
      <w:r w:rsidRPr="00466073">
        <w:rPr>
          <w:rFonts w:asciiTheme="minorHAnsi" w:hAnsiTheme="minorHAnsi" w:cstheme="minorHAnsi"/>
          <w:b/>
          <w:bCs/>
        </w:rPr>
        <w:t xml:space="preserve"> </w:t>
      </w:r>
      <w:r w:rsidRPr="00466073">
        <w:rPr>
          <w:rFonts w:asciiTheme="minorHAnsi" w:hAnsiTheme="minorHAnsi" w:cstheme="minorHAnsi"/>
        </w:rPr>
        <w:t xml:space="preserve">οικειοποίηση στοιχείων υπαρκτών εταιρειών (με χρήση επωνυμίας και δ/νσης), των οποίων το αντικείμενο εμπορικής δραστηριότητας </w:t>
      </w:r>
      <w:r w:rsidRPr="00466073">
        <w:rPr>
          <w:rFonts w:asciiTheme="minorHAnsi" w:hAnsiTheme="minorHAnsi" w:cstheme="minorHAnsi"/>
          <w:lang w:val="el-GR"/>
        </w:rPr>
        <w:t xml:space="preserve">μπορεί να είναι ακριβώς το ίδιο, παραπλήσιο, ή και </w:t>
      </w:r>
      <w:r w:rsidRPr="00466073">
        <w:rPr>
          <w:rFonts w:asciiTheme="minorHAnsi" w:hAnsiTheme="minorHAnsi" w:cstheme="minorHAnsi"/>
        </w:rPr>
        <w:t>εντελώς διαφορετικό</w:t>
      </w:r>
      <w:r w:rsidRPr="00466073">
        <w:rPr>
          <w:rFonts w:asciiTheme="minorHAnsi" w:hAnsiTheme="minorHAnsi" w:cstheme="minorHAnsi"/>
          <w:lang w:val="el-GR"/>
        </w:rPr>
        <w:t>.</w:t>
      </w:r>
    </w:p>
    <w:p w:rsidR="002F7BF0" w:rsidRPr="00466073" w:rsidRDefault="002F7BF0" w:rsidP="002F7BF0">
      <w:pPr>
        <w:pStyle w:val="Default"/>
        <w:jc w:val="both"/>
        <w:rPr>
          <w:rFonts w:asciiTheme="minorHAnsi" w:hAnsiTheme="minorHAnsi" w:cstheme="minorHAnsi"/>
          <w:lang w:val="el-GR"/>
        </w:rPr>
      </w:pPr>
    </w:p>
    <w:p w:rsidR="002F7BF0" w:rsidRPr="00466073" w:rsidRDefault="002F7BF0" w:rsidP="002F7BF0">
      <w:pPr>
        <w:pStyle w:val="Default"/>
        <w:jc w:val="both"/>
        <w:rPr>
          <w:rFonts w:asciiTheme="minorHAnsi" w:hAnsiTheme="minorHAnsi" w:cstheme="minorHAnsi"/>
          <w:lang w:val="el-GR"/>
        </w:rPr>
      </w:pPr>
      <w:r w:rsidRPr="00466073">
        <w:rPr>
          <w:rFonts w:asciiTheme="minorHAnsi" w:hAnsiTheme="minorHAnsi" w:cstheme="minorHAnsi"/>
        </w:rPr>
        <w:t>Οι ελληνικές επιχειρήσεις θα πρέπει να είναι ιδιαίτερα προσεκτικές στις συναλλαγές τους</w:t>
      </w:r>
      <w:r w:rsidRPr="00466073">
        <w:rPr>
          <w:rFonts w:asciiTheme="minorHAnsi" w:hAnsiTheme="minorHAnsi" w:cstheme="minorHAnsi"/>
          <w:lang w:val="el-GR"/>
        </w:rPr>
        <w:t xml:space="preserve"> με εταιρείες που έχουν εντοπίσει </w:t>
      </w:r>
      <w:r w:rsidRPr="00466073">
        <w:rPr>
          <w:rFonts w:asciiTheme="minorHAnsi" w:hAnsiTheme="minorHAnsi" w:cstheme="minorHAnsi"/>
        </w:rPr>
        <w:t xml:space="preserve">μέσω Διαδικτύου, </w:t>
      </w:r>
      <w:r w:rsidRPr="00466073">
        <w:rPr>
          <w:rFonts w:asciiTheme="minorHAnsi" w:hAnsiTheme="minorHAnsi" w:cstheme="minorHAnsi"/>
          <w:lang w:val="el-GR"/>
        </w:rPr>
        <w:t xml:space="preserve">και οι οποίες </w:t>
      </w:r>
      <w:r w:rsidRPr="00466073">
        <w:rPr>
          <w:rFonts w:asciiTheme="minorHAnsi" w:hAnsiTheme="minorHAnsi" w:cstheme="minorHAnsi"/>
        </w:rPr>
        <w:t>εμφανίζονται ως ουγγρικές. Ειδικότερα</w:t>
      </w:r>
      <w:r w:rsidRPr="00466073">
        <w:rPr>
          <w:rFonts w:asciiTheme="minorHAnsi" w:hAnsiTheme="minorHAnsi" w:cstheme="minorHAnsi"/>
          <w:lang w:val="el-GR"/>
        </w:rPr>
        <w:t xml:space="preserve">, θα πρέπει να αποφεύγεται </w:t>
      </w:r>
      <w:r w:rsidRPr="00466073">
        <w:rPr>
          <w:rFonts w:asciiTheme="minorHAnsi" w:hAnsiTheme="minorHAnsi" w:cstheme="minorHAnsi"/>
        </w:rPr>
        <w:t xml:space="preserve">η </w:t>
      </w:r>
      <w:r w:rsidRPr="00466073">
        <w:rPr>
          <w:rFonts w:asciiTheme="minorHAnsi" w:hAnsiTheme="minorHAnsi" w:cstheme="minorHAnsi"/>
          <w:b/>
          <w:bCs/>
        </w:rPr>
        <w:t>αποστολή χρηματικών εμβασμάτων</w:t>
      </w:r>
      <w:r w:rsidRPr="00466073">
        <w:rPr>
          <w:rFonts w:asciiTheme="minorHAnsi" w:hAnsiTheme="minorHAnsi" w:cstheme="minorHAnsi"/>
        </w:rPr>
        <w:t xml:space="preserve">, ανεξαρτήτως ποσού, αν δεν έχει προηγηθεί </w:t>
      </w:r>
      <w:r w:rsidRPr="00466073">
        <w:rPr>
          <w:rFonts w:asciiTheme="minorHAnsi" w:hAnsiTheme="minorHAnsi" w:cstheme="minorHAnsi"/>
          <w:lang w:val="el-GR"/>
        </w:rPr>
        <w:t xml:space="preserve">έστω και υποτυπώδης </w:t>
      </w:r>
      <w:r w:rsidRPr="00466073">
        <w:rPr>
          <w:rFonts w:asciiTheme="minorHAnsi" w:hAnsiTheme="minorHAnsi" w:cstheme="minorHAnsi"/>
        </w:rPr>
        <w:t>έλεγχος</w:t>
      </w:r>
      <w:r w:rsidRPr="00466073">
        <w:rPr>
          <w:rFonts w:asciiTheme="minorHAnsi" w:hAnsiTheme="minorHAnsi" w:cstheme="minorHAnsi"/>
          <w:lang w:val="el-GR"/>
        </w:rPr>
        <w:t xml:space="preserve"> για τις εταιρείες αυτές. Επισημαίνουμε ότι ακόμη και σε έναν πολύ απλό έλεγχο (π.χ. περιήγηση στην ιστοσελίδα της εταιρείας)</w:t>
      </w:r>
      <w:r w:rsidRPr="00466073">
        <w:rPr>
          <w:rFonts w:asciiTheme="minorHAnsi" w:hAnsiTheme="minorHAnsi" w:cstheme="minorHAnsi"/>
        </w:rPr>
        <w:t>,</w:t>
      </w:r>
      <w:r w:rsidRPr="00466073">
        <w:rPr>
          <w:rFonts w:asciiTheme="minorHAnsi" w:hAnsiTheme="minorHAnsi" w:cstheme="minorHAnsi"/>
          <w:lang w:val="el-GR"/>
        </w:rPr>
        <w:t xml:space="preserve"> είναι δυνατόν να εντοπισθεί κάποιο ή περισσότερα από τα στοιχεία/ενδείξεις απάτης που προαναφέραμε. </w:t>
      </w:r>
    </w:p>
    <w:p w:rsidR="00E22BDD" w:rsidRPr="00466073" w:rsidRDefault="00BA7458" w:rsidP="002F7BF0">
      <w:pPr>
        <w:pStyle w:val="Default"/>
        <w:jc w:val="both"/>
        <w:rPr>
          <w:rFonts w:asciiTheme="minorHAnsi" w:hAnsiTheme="minorHAnsi" w:cstheme="minorHAnsi"/>
          <w:lang w:val="el-GR"/>
        </w:rPr>
      </w:pPr>
      <w:r w:rsidRPr="00466073">
        <w:rPr>
          <w:rFonts w:asciiTheme="minorHAnsi" w:hAnsiTheme="minorHAnsi" w:cstheme="minorHAnsi"/>
          <w:lang w:val="el-GR"/>
        </w:rPr>
        <w:t>Το Γραφείο Οικονομικών και Εμπορικών Υποθέσεων</w:t>
      </w:r>
      <w:r w:rsidR="00C637D5" w:rsidRPr="00466073">
        <w:rPr>
          <w:rFonts w:asciiTheme="minorHAnsi" w:hAnsiTheme="minorHAnsi" w:cstheme="minorHAnsi"/>
          <w:lang w:val="el-GR"/>
        </w:rPr>
        <w:t xml:space="preserve"> (Ο</w:t>
      </w:r>
      <w:r w:rsidR="00E94693" w:rsidRPr="00466073">
        <w:rPr>
          <w:rFonts w:asciiTheme="minorHAnsi" w:hAnsiTheme="minorHAnsi" w:cstheme="minorHAnsi"/>
          <w:lang w:val="el-GR"/>
        </w:rPr>
        <w:t>.</w:t>
      </w:r>
      <w:r w:rsidR="00C637D5" w:rsidRPr="00466073">
        <w:rPr>
          <w:rFonts w:asciiTheme="minorHAnsi" w:hAnsiTheme="minorHAnsi" w:cstheme="minorHAnsi"/>
          <w:lang w:val="el-GR"/>
        </w:rPr>
        <w:t>Ε</w:t>
      </w:r>
      <w:r w:rsidR="00E94693" w:rsidRPr="00466073">
        <w:rPr>
          <w:rFonts w:asciiTheme="minorHAnsi" w:hAnsiTheme="minorHAnsi" w:cstheme="minorHAnsi"/>
          <w:lang w:val="el-GR"/>
        </w:rPr>
        <w:t>.</w:t>
      </w:r>
      <w:r w:rsidR="00C637D5" w:rsidRPr="00466073">
        <w:rPr>
          <w:rFonts w:asciiTheme="minorHAnsi" w:hAnsiTheme="minorHAnsi" w:cstheme="minorHAnsi"/>
          <w:lang w:val="el-GR"/>
        </w:rPr>
        <w:t>Υ</w:t>
      </w:r>
      <w:r w:rsidR="00E94693" w:rsidRPr="00466073">
        <w:rPr>
          <w:rFonts w:asciiTheme="minorHAnsi" w:hAnsiTheme="minorHAnsi" w:cstheme="minorHAnsi"/>
          <w:lang w:val="el-GR"/>
        </w:rPr>
        <w:t>.</w:t>
      </w:r>
      <w:r w:rsidR="00C637D5" w:rsidRPr="00466073">
        <w:rPr>
          <w:rFonts w:asciiTheme="minorHAnsi" w:hAnsiTheme="minorHAnsi" w:cstheme="minorHAnsi"/>
          <w:lang w:val="el-GR"/>
        </w:rPr>
        <w:t>)</w:t>
      </w:r>
      <w:r w:rsidRPr="00466073">
        <w:rPr>
          <w:rFonts w:asciiTheme="minorHAnsi" w:hAnsiTheme="minorHAnsi" w:cstheme="minorHAnsi"/>
          <w:lang w:val="el-GR"/>
        </w:rPr>
        <w:t xml:space="preserve"> της Ελληνικής Πρεσβείας στην Βουδαπέστη είναι σε θέση να ενεργήσει προληπτικό έλεγχο και να συλλέξει χρήσιμες πληροφορίες για οποιαδήποτε νόμιμη  εταιρεία που λειτουργεί στην Ουγγαρία. Ο μη εντοπισμός εταιρειών, τα </w:t>
      </w:r>
      <w:r w:rsidRPr="00466073">
        <w:rPr>
          <w:rFonts w:asciiTheme="minorHAnsi" w:hAnsiTheme="minorHAnsi" w:cstheme="minorHAnsi"/>
          <w:lang w:val="el-GR"/>
        </w:rPr>
        <w:lastRenderedPageBreak/>
        <w:t xml:space="preserve">αναληθή ή ελλιπή στοιχεία τους, τυχόν αποκλίσεις από το αντικείμενο εμπορικής δράσης τους, κλπ, αποτελούν ενδείξεις για πιθανή </w:t>
      </w:r>
      <w:r w:rsidR="00C637D5" w:rsidRPr="00466073">
        <w:rPr>
          <w:rFonts w:asciiTheme="minorHAnsi" w:hAnsiTheme="minorHAnsi" w:cstheme="minorHAnsi"/>
          <w:lang w:val="el-GR"/>
        </w:rPr>
        <w:t xml:space="preserve">απάτη και πάντως, σε κάθε περίπτωση, είναι παράγοντες που πρέπει ο Έλληνας επιχειρηματίας να γνωρίζει και να σταθμίσει προσεκτικά, προτού προβεί σε οποιαδήποτε συνεργασία. </w:t>
      </w:r>
    </w:p>
    <w:p w:rsidR="002F7BF0" w:rsidRPr="00466073" w:rsidRDefault="00C637D5" w:rsidP="002F7BF0">
      <w:pPr>
        <w:pStyle w:val="Default"/>
        <w:jc w:val="both"/>
        <w:rPr>
          <w:rFonts w:asciiTheme="minorHAnsi" w:hAnsiTheme="minorHAnsi" w:cstheme="minorHAnsi"/>
          <w:lang w:val="el-GR"/>
        </w:rPr>
      </w:pPr>
      <w:r w:rsidRPr="00466073">
        <w:rPr>
          <w:rFonts w:asciiTheme="minorHAnsi" w:hAnsiTheme="minorHAnsi" w:cstheme="minorHAnsi"/>
          <w:lang w:val="el-GR"/>
        </w:rPr>
        <w:t>Προληπτική σχετική επικοινωνία με το Γραφείο Ο</w:t>
      </w:r>
      <w:r w:rsidR="00E94693" w:rsidRPr="00466073">
        <w:rPr>
          <w:rFonts w:asciiTheme="minorHAnsi" w:hAnsiTheme="minorHAnsi" w:cstheme="minorHAnsi"/>
          <w:lang w:val="el-GR"/>
        </w:rPr>
        <w:t>.</w:t>
      </w:r>
      <w:r w:rsidRPr="00466073">
        <w:rPr>
          <w:rFonts w:asciiTheme="minorHAnsi" w:hAnsiTheme="minorHAnsi" w:cstheme="minorHAnsi"/>
          <w:lang w:val="el-GR"/>
        </w:rPr>
        <w:t>Ε</w:t>
      </w:r>
      <w:r w:rsidR="00E94693" w:rsidRPr="00466073">
        <w:rPr>
          <w:rFonts w:asciiTheme="minorHAnsi" w:hAnsiTheme="minorHAnsi" w:cstheme="minorHAnsi"/>
          <w:lang w:val="el-GR"/>
        </w:rPr>
        <w:t>.</w:t>
      </w:r>
      <w:r w:rsidRPr="00466073">
        <w:rPr>
          <w:rFonts w:asciiTheme="minorHAnsi" w:hAnsiTheme="minorHAnsi" w:cstheme="minorHAnsi"/>
          <w:lang w:val="el-GR"/>
        </w:rPr>
        <w:t>Υ</w:t>
      </w:r>
      <w:r w:rsidR="00E94693" w:rsidRPr="00466073">
        <w:rPr>
          <w:rFonts w:asciiTheme="minorHAnsi" w:hAnsiTheme="minorHAnsi" w:cstheme="minorHAnsi"/>
          <w:lang w:val="el-GR"/>
        </w:rPr>
        <w:t>.</w:t>
      </w:r>
      <w:r w:rsidRPr="00466073">
        <w:rPr>
          <w:rFonts w:asciiTheme="minorHAnsi" w:hAnsiTheme="minorHAnsi" w:cstheme="minorHAnsi"/>
          <w:lang w:val="el-GR"/>
        </w:rPr>
        <w:t xml:space="preserve"> αποτρέπει τυχόν απάτες εις βάρος Ελλήνων επιχειρηματιών, ή </w:t>
      </w:r>
      <w:r w:rsidR="002F7BF0" w:rsidRPr="00466073">
        <w:rPr>
          <w:rFonts w:asciiTheme="minorHAnsi" w:hAnsiTheme="minorHAnsi" w:cstheme="minorHAnsi"/>
          <w:lang w:val="el-GR"/>
        </w:rPr>
        <w:t xml:space="preserve">τουλάχιστον </w:t>
      </w:r>
      <w:r w:rsidRPr="00466073">
        <w:rPr>
          <w:rFonts w:asciiTheme="minorHAnsi" w:hAnsiTheme="minorHAnsi" w:cstheme="minorHAnsi"/>
          <w:lang w:val="el-GR"/>
        </w:rPr>
        <w:t xml:space="preserve">περιορίζει σημαντικά </w:t>
      </w:r>
      <w:r w:rsidR="002F7BF0" w:rsidRPr="00466073">
        <w:rPr>
          <w:rFonts w:asciiTheme="minorHAnsi" w:hAnsiTheme="minorHAnsi" w:cstheme="minorHAnsi"/>
          <w:lang w:val="el-GR"/>
        </w:rPr>
        <w:t xml:space="preserve">τις πιθανότητες </w:t>
      </w:r>
      <w:r w:rsidRPr="00466073">
        <w:rPr>
          <w:rFonts w:asciiTheme="minorHAnsi" w:hAnsiTheme="minorHAnsi" w:cstheme="minorHAnsi"/>
          <w:lang w:val="el-GR"/>
        </w:rPr>
        <w:t xml:space="preserve">να εξαπατηθούν </w:t>
      </w:r>
      <w:r w:rsidR="002F7BF0" w:rsidRPr="00466073">
        <w:rPr>
          <w:rFonts w:asciiTheme="minorHAnsi" w:hAnsiTheme="minorHAnsi" w:cstheme="minorHAnsi"/>
          <w:lang w:val="el-GR"/>
        </w:rPr>
        <w:t xml:space="preserve">από επιτήδειους κατά την επιχειρηματική τους δραστηριότητα στην Ουγγαρία.   </w:t>
      </w:r>
      <w:r w:rsidR="002F7BF0" w:rsidRPr="00466073">
        <w:rPr>
          <w:rFonts w:asciiTheme="minorHAnsi" w:hAnsiTheme="minorHAnsi" w:cstheme="minorHAnsi"/>
        </w:rPr>
        <w:t xml:space="preserve"> </w:t>
      </w:r>
    </w:p>
    <w:p w:rsidR="008D07F2" w:rsidRPr="00466073" w:rsidRDefault="008D07F2" w:rsidP="008D07F2">
      <w:pPr>
        <w:pStyle w:val="Default"/>
        <w:jc w:val="both"/>
        <w:rPr>
          <w:rFonts w:asciiTheme="minorHAnsi" w:hAnsiTheme="minorHAnsi" w:cstheme="minorHAnsi"/>
          <w:lang w:val="el-GR"/>
        </w:rPr>
      </w:pPr>
    </w:p>
    <w:p w:rsidR="00E94693" w:rsidRPr="00466073" w:rsidRDefault="00E94693" w:rsidP="008D07F2">
      <w:pPr>
        <w:pStyle w:val="Default"/>
        <w:jc w:val="both"/>
        <w:rPr>
          <w:rFonts w:asciiTheme="minorHAnsi" w:hAnsiTheme="minorHAnsi" w:cstheme="minorHAnsi"/>
          <w:u w:val="single"/>
          <w:lang w:val="el-GR"/>
        </w:rPr>
      </w:pPr>
    </w:p>
    <w:p w:rsidR="008D07F2" w:rsidRPr="00466073" w:rsidRDefault="008D07F2" w:rsidP="008D07F2">
      <w:pPr>
        <w:pStyle w:val="Default"/>
        <w:jc w:val="both"/>
        <w:rPr>
          <w:rFonts w:asciiTheme="minorHAnsi" w:hAnsiTheme="minorHAnsi" w:cstheme="minorHAnsi"/>
          <w:u w:val="single"/>
          <w:lang w:val="el-GR"/>
        </w:rPr>
      </w:pPr>
      <w:r w:rsidRPr="00466073">
        <w:rPr>
          <w:rFonts w:asciiTheme="minorHAnsi" w:hAnsiTheme="minorHAnsi" w:cstheme="minorHAnsi"/>
          <w:u w:val="single"/>
          <w:lang w:val="el-GR"/>
        </w:rPr>
        <w:t xml:space="preserve">Εμπόριο </w:t>
      </w:r>
      <w:r w:rsidR="00CC3C6D" w:rsidRPr="00466073">
        <w:rPr>
          <w:rFonts w:asciiTheme="minorHAnsi" w:hAnsiTheme="minorHAnsi" w:cstheme="minorHAnsi"/>
          <w:u w:val="single"/>
          <w:lang w:val="el-GR"/>
        </w:rPr>
        <w:t xml:space="preserve">εποχικών </w:t>
      </w:r>
      <w:r w:rsidRPr="00466073">
        <w:rPr>
          <w:rFonts w:asciiTheme="minorHAnsi" w:hAnsiTheme="minorHAnsi" w:cstheme="minorHAnsi"/>
          <w:u w:val="single"/>
          <w:lang w:val="el-GR"/>
        </w:rPr>
        <w:t>φρούτων (κυρίως καρπουζιών)</w:t>
      </w:r>
    </w:p>
    <w:p w:rsidR="00C637D5" w:rsidRPr="00466073" w:rsidRDefault="00CC3C6D" w:rsidP="008D07F2">
      <w:pPr>
        <w:pStyle w:val="Default"/>
        <w:jc w:val="both"/>
        <w:rPr>
          <w:rFonts w:asciiTheme="minorHAnsi" w:hAnsiTheme="minorHAnsi" w:cstheme="minorHAnsi"/>
          <w:lang w:val="el-GR"/>
        </w:rPr>
      </w:pPr>
      <w:r w:rsidRPr="00466073">
        <w:rPr>
          <w:rFonts w:asciiTheme="minorHAnsi" w:hAnsiTheme="minorHAnsi" w:cstheme="minorHAnsi"/>
          <w:lang w:val="el-GR"/>
        </w:rPr>
        <w:t>Π</w:t>
      </w:r>
      <w:r w:rsidR="008D07F2" w:rsidRPr="00466073">
        <w:rPr>
          <w:rFonts w:asciiTheme="minorHAnsi" w:hAnsiTheme="minorHAnsi" w:cstheme="minorHAnsi"/>
          <w:lang w:val="el-GR"/>
        </w:rPr>
        <w:t xml:space="preserve">ροστριβές μεταξύ Ελλήνων και Ούγγρων επιχειρηματιών δημιουργούνται κατά τη διαδικασία εισαγωγής και διακίνησης ελληνικών καρπουζιών στην Ουγγαρία. </w:t>
      </w:r>
      <w:r w:rsidRPr="00466073">
        <w:rPr>
          <w:rFonts w:asciiTheme="minorHAnsi" w:hAnsiTheme="minorHAnsi" w:cstheme="minorHAnsi"/>
          <w:lang w:val="el-GR"/>
        </w:rPr>
        <w:t>Το πρόβλημα εντοπίζεται</w:t>
      </w:r>
      <w:r w:rsidR="004E30D4" w:rsidRPr="00466073">
        <w:rPr>
          <w:rFonts w:asciiTheme="minorHAnsi" w:hAnsiTheme="minorHAnsi" w:cstheme="minorHAnsi"/>
          <w:lang w:val="el-GR"/>
        </w:rPr>
        <w:t xml:space="preserve"> συνήθως προς τα μέσα της καλοκαιρινής περιόδου,</w:t>
      </w:r>
      <w:r w:rsidRPr="00466073">
        <w:rPr>
          <w:rFonts w:asciiTheme="minorHAnsi" w:hAnsiTheme="minorHAnsi" w:cstheme="minorHAnsi"/>
          <w:lang w:val="el-GR"/>
        </w:rPr>
        <w:t xml:space="preserve"> όταν στην αγορά εμφανίζονται τα ουγγρικής παραγωγής καρπούζια (τα οποία έχουν χαμηλότερη τιμή). Τότε, οι Ούγγροι εισαγωγείς προφασίζονται ότι δεν μπορούν να διαθέσουν στην ουγγρική αγορά τα (ακριβότερα) ελληνικά καρπούζια στην προσυμφωνημένη τιμή και απαιτούν από τους Έλληνες εξαγωγείς να αναπροσαρμόσουν προς τα κάτω την τιμολόγηση (απειλώντας πολλές φορές ότι δεν θα εξοφλήσουν το εμπόρευμα</w:t>
      </w:r>
      <w:r w:rsidR="004E30D4" w:rsidRPr="00466073">
        <w:rPr>
          <w:rFonts w:asciiTheme="minorHAnsi" w:hAnsiTheme="minorHAnsi" w:cstheme="minorHAnsi"/>
          <w:lang w:val="el-GR"/>
        </w:rPr>
        <w:t>, ότι θα διακόψουν κάθε συνεργασία κλπ.</w:t>
      </w:r>
      <w:r w:rsidRPr="00466073">
        <w:rPr>
          <w:rFonts w:asciiTheme="minorHAnsi" w:hAnsiTheme="minorHAnsi" w:cstheme="minorHAnsi"/>
          <w:lang w:val="el-GR"/>
        </w:rPr>
        <w:t xml:space="preserve">). Οι Έλληνες εξαγωγείς θα πρέπει να επιδεικνύουν προσοχή και να ασφαλίζουν τα εμπορεύματά τους κατά παντός κινδύνου.   </w:t>
      </w:r>
    </w:p>
    <w:p w:rsidR="00BE6951" w:rsidRPr="00466073" w:rsidRDefault="00BE6951" w:rsidP="00DD5441">
      <w:pPr>
        <w:pStyle w:val="Default"/>
        <w:jc w:val="both"/>
        <w:rPr>
          <w:rFonts w:asciiTheme="minorHAnsi" w:hAnsiTheme="minorHAnsi" w:cstheme="minorHAnsi"/>
          <w:u w:val="single"/>
          <w:lang w:val="el-GR"/>
        </w:rPr>
      </w:pPr>
    </w:p>
    <w:p w:rsidR="00E94693" w:rsidRPr="00466073" w:rsidRDefault="00E94693" w:rsidP="00DD5441">
      <w:pPr>
        <w:pStyle w:val="Default"/>
        <w:jc w:val="both"/>
        <w:rPr>
          <w:rFonts w:asciiTheme="minorHAnsi" w:hAnsiTheme="minorHAnsi" w:cstheme="minorHAnsi"/>
          <w:u w:val="single"/>
          <w:lang w:val="el-GR"/>
        </w:rPr>
      </w:pPr>
    </w:p>
    <w:p w:rsidR="008F5859" w:rsidRPr="00466073" w:rsidRDefault="00DD5441" w:rsidP="00DD5441">
      <w:pPr>
        <w:pStyle w:val="Default"/>
        <w:jc w:val="both"/>
        <w:rPr>
          <w:rFonts w:asciiTheme="minorHAnsi" w:hAnsiTheme="minorHAnsi" w:cstheme="minorHAnsi"/>
          <w:u w:val="single"/>
          <w:lang w:val="el-GR"/>
        </w:rPr>
      </w:pPr>
      <w:r w:rsidRPr="00466073">
        <w:rPr>
          <w:rFonts w:asciiTheme="minorHAnsi" w:hAnsiTheme="minorHAnsi" w:cstheme="minorHAnsi"/>
          <w:u w:val="single"/>
          <w:lang w:val="el-GR"/>
        </w:rPr>
        <w:t>Δ</w:t>
      </w:r>
      <w:r w:rsidR="00E94693" w:rsidRPr="00466073">
        <w:rPr>
          <w:rFonts w:asciiTheme="minorHAnsi" w:hAnsiTheme="minorHAnsi" w:cstheme="minorHAnsi"/>
          <w:u w:val="single"/>
          <w:lang w:val="el-GR"/>
        </w:rPr>
        <w:t>ιπλά πρότυπα τροφίμων</w:t>
      </w:r>
    </w:p>
    <w:p w:rsidR="00DD5441" w:rsidRPr="00466073" w:rsidRDefault="00DD5441" w:rsidP="00DD5441">
      <w:pPr>
        <w:jc w:val="both"/>
        <w:rPr>
          <w:rFonts w:asciiTheme="minorHAnsi" w:hAnsiTheme="minorHAnsi" w:cstheme="minorHAnsi"/>
          <w:lang w:val="el-GR"/>
        </w:rPr>
      </w:pPr>
      <w:r w:rsidRPr="00466073">
        <w:rPr>
          <w:rFonts w:asciiTheme="minorHAnsi" w:hAnsiTheme="minorHAnsi" w:cstheme="minorHAnsi"/>
          <w:lang w:val="el-GR"/>
        </w:rPr>
        <w:t>Σύμφωνα με την Υπηρεσία Ασφάλειας Τροφίμων της Ουγγαρίας (</w:t>
      </w:r>
      <w:r w:rsidRPr="00466073">
        <w:rPr>
          <w:rFonts w:asciiTheme="minorHAnsi" w:hAnsiTheme="minorHAnsi" w:cstheme="minorHAnsi"/>
        </w:rPr>
        <w:t>N</w:t>
      </w:r>
      <w:r w:rsidRPr="00466073">
        <w:rPr>
          <w:rFonts w:asciiTheme="minorHAnsi" w:hAnsiTheme="minorHAnsi" w:cstheme="minorHAnsi"/>
          <w:lang w:val="el-GR"/>
        </w:rPr>
        <w:t>é</w:t>
      </w:r>
      <w:proofErr w:type="spellStart"/>
      <w:r w:rsidRPr="00466073">
        <w:rPr>
          <w:rFonts w:asciiTheme="minorHAnsi" w:hAnsiTheme="minorHAnsi" w:cstheme="minorHAnsi"/>
        </w:rPr>
        <w:t>bih</w:t>
      </w:r>
      <w:proofErr w:type="spellEnd"/>
      <w:r w:rsidRPr="00466073">
        <w:rPr>
          <w:rFonts w:asciiTheme="minorHAnsi" w:hAnsiTheme="minorHAnsi" w:cstheme="minorHAnsi"/>
          <w:lang w:val="el-GR"/>
        </w:rPr>
        <w:t xml:space="preserve">), οι πολυεθνικές τροφίμων που δραστηριοποιούνται στην Ουγγαρία, διακινούν στην αγορά προϊόντα κατώτερης ποιότητας από αυτά που διακινούν σε άλλες (Δυτικές) χώρες της Ε.Ε. Πιο συγκεκριμένα, </w:t>
      </w:r>
      <w:r w:rsidR="0056189C" w:rsidRPr="00466073">
        <w:rPr>
          <w:rFonts w:asciiTheme="minorHAnsi" w:hAnsiTheme="minorHAnsi" w:cstheme="minorHAnsi"/>
          <w:lang w:val="el-GR"/>
        </w:rPr>
        <w:t xml:space="preserve">το 2018, </w:t>
      </w:r>
      <w:r w:rsidRPr="00466073">
        <w:rPr>
          <w:rFonts w:asciiTheme="minorHAnsi" w:hAnsiTheme="minorHAnsi" w:cstheme="minorHAnsi"/>
          <w:lang w:val="el-GR"/>
        </w:rPr>
        <w:t xml:space="preserve">η Υπηρεσία </w:t>
      </w:r>
      <w:r w:rsidR="0056189C" w:rsidRPr="00466073">
        <w:rPr>
          <w:rFonts w:asciiTheme="minorHAnsi" w:hAnsiTheme="minorHAnsi" w:cstheme="minorHAnsi"/>
          <w:lang w:val="el-GR"/>
        </w:rPr>
        <w:t xml:space="preserve">υποστήριξε ότι </w:t>
      </w:r>
      <w:r w:rsidRPr="00466073">
        <w:rPr>
          <w:rFonts w:asciiTheme="minorHAnsi" w:hAnsiTheme="minorHAnsi" w:cstheme="minorHAnsi"/>
          <w:lang w:val="el-GR"/>
        </w:rPr>
        <w:t>κατόπιν ελέγχων</w:t>
      </w:r>
      <w:r w:rsidR="00C42FDC" w:rsidRPr="00466073">
        <w:rPr>
          <w:rFonts w:asciiTheme="minorHAnsi" w:hAnsiTheme="minorHAnsi" w:cstheme="minorHAnsi"/>
          <w:lang w:val="el-GR"/>
        </w:rPr>
        <w:t xml:space="preserve"> της, διαπιστώθηκε ό</w:t>
      </w:r>
      <w:r w:rsidR="0056189C" w:rsidRPr="00466073">
        <w:rPr>
          <w:rFonts w:asciiTheme="minorHAnsi" w:hAnsiTheme="minorHAnsi" w:cstheme="minorHAnsi"/>
          <w:lang w:val="el-GR"/>
        </w:rPr>
        <w:t>τι</w:t>
      </w:r>
      <w:r w:rsidRPr="00466073">
        <w:rPr>
          <w:rFonts w:asciiTheme="minorHAnsi" w:hAnsiTheme="minorHAnsi" w:cstheme="minorHAnsi"/>
          <w:lang w:val="el-GR"/>
        </w:rPr>
        <w:t xml:space="preserve"> πολλές εταιρείες, μεταξύ αυτών και η </w:t>
      </w:r>
      <w:r w:rsidRPr="00466073">
        <w:rPr>
          <w:rFonts w:asciiTheme="minorHAnsi" w:hAnsiTheme="minorHAnsi" w:cstheme="minorHAnsi"/>
        </w:rPr>
        <w:t>Coca</w:t>
      </w:r>
      <w:r w:rsidRPr="00466073">
        <w:rPr>
          <w:rFonts w:asciiTheme="minorHAnsi" w:hAnsiTheme="minorHAnsi" w:cstheme="minorHAnsi"/>
          <w:lang w:val="el-GR"/>
        </w:rPr>
        <w:t>-</w:t>
      </w:r>
      <w:r w:rsidRPr="00466073">
        <w:rPr>
          <w:rFonts w:asciiTheme="minorHAnsi" w:hAnsiTheme="minorHAnsi" w:cstheme="minorHAnsi"/>
        </w:rPr>
        <w:t>Cola</w:t>
      </w:r>
      <w:r w:rsidR="008143CE" w:rsidRPr="00466073">
        <w:rPr>
          <w:rFonts w:asciiTheme="minorHAnsi" w:hAnsiTheme="minorHAnsi" w:cstheme="minorHAnsi"/>
          <w:lang w:val="el-GR"/>
        </w:rPr>
        <w:t xml:space="preserve"> Ουγγαρίας (θυγατρική της </w:t>
      </w:r>
      <w:proofErr w:type="spellStart"/>
      <w:r w:rsidR="008143CE" w:rsidRPr="00466073">
        <w:rPr>
          <w:rFonts w:asciiTheme="minorHAnsi" w:hAnsiTheme="minorHAnsi" w:cstheme="minorHAnsi"/>
          <w:lang w:val="el-GR"/>
        </w:rPr>
        <w:t>Coca</w:t>
      </w:r>
      <w:proofErr w:type="spellEnd"/>
      <w:r w:rsidR="008143CE" w:rsidRPr="00466073">
        <w:rPr>
          <w:rFonts w:asciiTheme="minorHAnsi" w:hAnsiTheme="minorHAnsi" w:cstheme="minorHAnsi"/>
          <w:lang w:val="el-GR"/>
        </w:rPr>
        <w:t>-</w:t>
      </w:r>
      <w:proofErr w:type="spellStart"/>
      <w:r w:rsidR="008143CE" w:rsidRPr="00466073">
        <w:rPr>
          <w:rFonts w:asciiTheme="minorHAnsi" w:hAnsiTheme="minorHAnsi" w:cstheme="minorHAnsi"/>
          <w:lang w:val="el-GR"/>
        </w:rPr>
        <w:t>Cola</w:t>
      </w:r>
      <w:proofErr w:type="spellEnd"/>
      <w:r w:rsidR="008143CE" w:rsidRPr="00466073">
        <w:rPr>
          <w:rFonts w:asciiTheme="minorHAnsi" w:hAnsiTheme="minorHAnsi" w:cstheme="minorHAnsi"/>
          <w:lang w:val="el-GR"/>
        </w:rPr>
        <w:t xml:space="preserve"> 3Ε)</w:t>
      </w:r>
      <w:r w:rsidRPr="00466073">
        <w:rPr>
          <w:rFonts w:asciiTheme="minorHAnsi" w:hAnsiTheme="minorHAnsi" w:cstheme="minorHAnsi"/>
          <w:lang w:val="el-GR"/>
        </w:rPr>
        <w:t xml:space="preserve"> διακινού</w:t>
      </w:r>
      <w:r w:rsidR="0056189C" w:rsidRPr="00466073">
        <w:rPr>
          <w:rFonts w:asciiTheme="minorHAnsi" w:hAnsiTheme="minorHAnsi" w:cstheme="minorHAnsi"/>
          <w:lang w:val="el-GR"/>
        </w:rPr>
        <w:t>σαν</w:t>
      </w:r>
      <w:r w:rsidRPr="00466073">
        <w:rPr>
          <w:rFonts w:asciiTheme="minorHAnsi" w:hAnsiTheme="minorHAnsi" w:cstheme="minorHAnsi"/>
          <w:lang w:val="el-GR"/>
        </w:rPr>
        <w:t xml:space="preserve"> κατώτερης ποιότητας προϊόντα στην Ουγγαρία σε σχέση με αυτά που διακινού</w:t>
      </w:r>
      <w:r w:rsidR="0056189C" w:rsidRPr="00466073">
        <w:rPr>
          <w:rFonts w:asciiTheme="minorHAnsi" w:hAnsiTheme="minorHAnsi" w:cstheme="minorHAnsi"/>
          <w:lang w:val="el-GR"/>
        </w:rPr>
        <w:t>σα</w:t>
      </w:r>
      <w:r w:rsidRPr="00466073">
        <w:rPr>
          <w:rFonts w:asciiTheme="minorHAnsi" w:hAnsiTheme="minorHAnsi" w:cstheme="minorHAnsi"/>
          <w:lang w:val="el-GR"/>
        </w:rPr>
        <w:t xml:space="preserve">ν σε άλλες χώρες (π.χ. Αυστρία). Με την Ουγγρική Υπηρεσία συντάχθηκε και η αντίστοιχη της Σλοβακίας κατόπιν ελέγχων που διενήργησε στην Σλοβακία. </w:t>
      </w:r>
      <w:r w:rsidR="001904E7" w:rsidRPr="00466073">
        <w:rPr>
          <w:rFonts w:asciiTheme="minorHAnsi" w:hAnsiTheme="minorHAnsi" w:cstheme="minorHAnsi"/>
          <w:lang w:val="el-GR"/>
        </w:rPr>
        <w:t xml:space="preserve">Στο ίδιο πνεύμα και οι υπόλοιπες χώρες </w:t>
      </w:r>
      <w:proofErr w:type="spellStart"/>
      <w:r w:rsidR="001904E7" w:rsidRPr="00466073">
        <w:rPr>
          <w:rFonts w:asciiTheme="minorHAnsi" w:hAnsiTheme="minorHAnsi" w:cstheme="minorHAnsi"/>
          <w:lang w:val="el-GR"/>
        </w:rPr>
        <w:t>Βίζεγκραντ</w:t>
      </w:r>
      <w:proofErr w:type="spellEnd"/>
      <w:r w:rsidR="001904E7" w:rsidRPr="00466073">
        <w:rPr>
          <w:rFonts w:asciiTheme="minorHAnsi" w:hAnsiTheme="minorHAnsi" w:cstheme="minorHAnsi"/>
          <w:lang w:val="el-GR"/>
        </w:rPr>
        <w:t xml:space="preserve"> που υιοθέτησαν κοινή στάση έναντι των πολυεθνικών. </w:t>
      </w:r>
    </w:p>
    <w:p w:rsidR="00DD5441" w:rsidRPr="00466073" w:rsidRDefault="00DD5441" w:rsidP="001904E7">
      <w:pPr>
        <w:jc w:val="both"/>
        <w:rPr>
          <w:rFonts w:asciiTheme="minorHAnsi" w:hAnsiTheme="minorHAnsi" w:cstheme="minorHAnsi"/>
          <w:lang w:val="el-GR"/>
        </w:rPr>
      </w:pPr>
      <w:r w:rsidRPr="00466073">
        <w:rPr>
          <w:rFonts w:asciiTheme="minorHAnsi" w:hAnsiTheme="minorHAnsi" w:cstheme="minorHAnsi"/>
          <w:lang w:val="el-GR"/>
        </w:rPr>
        <w:t xml:space="preserve">Στις καταγγελίες της </w:t>
      </w:r>
      <w:r w:rsidR="001904E7" w:rsidRPr="00466073">
        <w:rPr>
          <w:rFonts w:asciiTheme="minorHAnsi" w:hAnsiTheme="minorHAnsi" w:cstheme="minorHAnsi"/>
          <w:lang w:val="el-GR"/>
        </w:rPr>
        <w:t xml:space="preserve">ουγγρικής </w:t>
      </w:r>
      <w:r w:rsidRPr="00466073">
        <w:rPr>
          <w:rFonts w:asciiTheme="minorHAnsi" w:hAnsiTheme="minorHAnsi" w:cstheme="minorHAnsi"/>
          <w:lang w:val="el-GR"/>
        </w:rPr>
        <w:t xml:space="preserve">κυβέρνησης αντέδρασαν οι πολυεθνικές, με πρώτη την </w:t>
      </w:r>
      <w:r w:rsidRPr="00466073">
        <w:rPr>
          <w:rFonts w:asciiTheme="minorHAnsi" w:hAnsiTheme="minorHAnsi" w:cstheme="minorHAnsi"/>
        </w:rPr>
        <w:t>Coca</w:t>
      </w:r>
      <w:r w:rsidRPr="00466073">
        <w:rPr>
          <w:rFonts w:asciiTheme="minorHAnsi" w:hAnsiTheme="minorHAnsi" w:cstheme="minorHAnsi"/>
          <w:lang w:val="el-GR"/>
        </w:rPr>
        <w:t>-</w:t>
      </w:r>
      <w:r w:rsidRPr="00466073">
        <w:rPr>
          <w:rFonts w:asciiTheme="minorHAnsi" w:hAnsiTheme="minorHAnsi" w:cstheme="minorHAnsi"/>
        </w:rPr>
        <w:t>Cola</w:t>
      </w:r>
      <w:r w:rsidRPr="00466073">
        <w:rPr>
          <w:rFonts w:asciiTheme="minorHAnsi" w:hAnsiTheme="minorHAnsi" w:cstheme="minorHAnsi"/>
          <w:lang w:val="el-GR"/>
        </w:rPr>
        <w:t xml:space="preserve"> που δήλωσε ότι τόσο για την παραγωγή στις ΗΠΑ, όσο και στην Ουγγαρία, χρησιμοποιεί ακριβώς το ίδιο σιρόπι φρουκτόζης/γλυκόζης, το οποίο εξάλλου παρασκευάζεται στις εγκαταστάσεις της εταιρείας στην Ουγγαρία. </w:t>
      </w:r>
    </w:p>
    <w:p w:rsidR="00DD5441" w:rsidRPr="00466073" w:rsidRDefault="001904E7" w:rsidP="00DD5441">
      <w:pPr>
        <w:jc w:val="both"/>
        <w:rPr>
          <w:rFonts w:asciiTheme="minorHAnsi" w:hAnsiTheme="minorHAnsi" w:cstheme="minorHAnsi"/>
          <w:lang w:val="el-GR"/>
        </w:rPr>
      </w:pPr>
      <w:r w:rsidRPr="00466073">
        <w:rPr>
          <w:rFonts w:asciiTheme="minorHAnsi" w:hAnsiTheme="minorHAnsi" w:cstheme="minorHAnsi"/>
          <w:lang w:val="el-GR"/>
        </w:rPr>
        <w:t xml:space="preserve">Εντούτοις, η ουγγρική κυβέρνηση εμμένοντας στη στάση της προχώρησε σε κατάρτιση νομοσχεδίου που θα επέβαλλε στις πολυεθνικές εταιρείες να φέρουν ειδική προειδοποιητική σήμανση στη συσκευασία των προϊόντων τους. Τελικώς, όμως το νομοσχέδιο απεσύρθη και η κατάσταση εξομαλύνθηκε. </w:t>
      </w:r>
    </w:p>
    <w:p w:rsidR="00354952" w:rsidRPr="00466073" w:rsidRDefault="00354952" w:rsidP="00354952">
      <w:pPr>
        <w:widowControl w:val="0"/>
        <w:autoSpaceDE w:val="0"/>
        <w:autoSpaceDN w:val="0"/>
        <w:adjustRightInd w:val="0"/>
        <w:spacing w:after="120"/>
        <w:ind w:left="1800"/>
        <w:rPr>
          <w:rFonts w:asciiTheme="minorHAnsi" w:hAnsiTheme="minorHAnsi" w:cstheme="minorHAnsi"/>
          <w:lang w:val="el-GR"/>
        </w:rPr>
      </w:pPr>
    </w:p>
    <w:p w:rsidR="00354952" w:rsidRPr="00466073" w:rsidRDefault="00354952" w:rsidP="002055B5">
      <w:pPr>
        <w:spacing w:after="120"/>
        <w:rPr>
          <w:rFonts w:asciiTheme="minorHAnsi" w:hAnsiTheme="minorHAnsi" w:cstheme="minorHAnsi"/>
          <w:b/>
          <w:bCs/>
          <w:lang w:val="el-GR"/>
        </w:rPr>
      </w:pPr>
      <w:r w:rsidRPr="00466073">
        <w:rPr>
          <w:rFonts w:asciiTheme="minorHAnsi" w:hAnsiTheme="minorHAnsi" w:cstheme="minorHAnsi"/>
          <w:b/>
          <w:bCs/>
          <w:lang w:val="el-GR"/>
        </w:rPr>
        <w:t>Γ. Επενδύσεις</w:t>
      </w:r>
    </w:p>
    <w:p w:rsidR="009A51DA" w:rsidRPr="00466073" w:rsidRDefault="009A51DA" w:rsidP="009A51DA">
      <w:pPr>
        <w:widowControl w:val="0"/>
        <w:autoSpaceDE w:val="0"/>
        <w:autoSpaceDN w:val="0"/>
        <w:adjustRightInd w:val="0"/>
        <w:jc w:val="both"/>
        <w:rPr>
          <w:rFonts w:asciiTheme="minorHAnsi" w:hAnsiTheme="minorHAnsi" w:cstheme="minorHAnsi"/>
          <w:lang w:val="el-GR"/>
        </w:rPr>
      </w:pPr>
      <w:r w:rsidRPr="00466073">
        <w:rPr>
          <w:rFonts w:asciiTheme="minorHAnsi" w:hAnsiTheme="minorHAnsi" w:cstheme="minorHAnsi"/>
          <w:lang w:val="el-GR"/>
        </w:rPr>
        <w:t>Η ουγγρική κυβερνητική οικονομική πολιτική δίδει ιδιαίτερο βάρος στις επενδύσεις, παρέχοντας σειρά επενδυτικών κινήτρων</w:t>
      </w:r>
      <w:r w:rsidR="005E4473" w:rsidRPr="00466073">
        <w:rPr>
          <w:rFonts w:asciiTheme="minorHAnsi" w:hAnsiTheme="minorHAnsi" w:cstheme="minorHAnsi"/>
          <w:lang w:val="el-GR"/>
        </w:rPr>
        <w:t xml:space="preserve">: </w:t>
      </w:r>
    </w:p>
    <w:p w:rsidR="009A51DA" w:rsidRPr="00466073" w:rsidRDefault="009A51DA" w:rsidP="009A51DA">
      <w:pPr>
        <w:widowControl w:val="0"/>
        <w:autoSpaceDE w:val="0"/>
        <w:autoSpaceDN w:val="0"/>
        <w:adjustRightInd w:val="0"/>
        <w:jc w:val="both"/>
        <w:rPr>
          <w:rFonts w:asciiTheme="minorHAnsi" w:hAnsiTheme="minorHAnsi" w:cstheme="minorHAnsi"/>
          <w:lang w:val="el-GR"/>
        </w:rPr>
      </w:pPr>
      <w:r w:rsidRPr="00466073">
        <w:rPr>
          <w:rFonts w:asciiTheme="minorHAnsi" w:hAnsiTheme="minorHAnsi" w:cstheme="minorHAnsi"/>
          <w:lang w:val="el-GR"/>
        </w:rPr>
        <w:t>Για την</w:t>
      </w:r>
      <w:r w:rsidR="005E4473" w:rsidRPr="00466073">
        <w:rPr>
          <w:rFonts w:asciiTheme="minorHAnsi" w:hAnsiTheme="minorHAnsi" w:cstheme="minorHAnsi"/>
          <w:lang w:val="el-GR"/>
        </w:rPr>
        <w:t xml:space="preserve"> περίπτωση </w:t>
      </w:r>
      <w:r w:rsidRPr="00466073">
        <w:rPr>
          <w:rFonts w:asciiTheme="minorHAnsi" w:hAnsiTheme="minorHAnsi" w:cstheme="minorHAnsi"/>
          <w:lang w:val="el-GR"/>
        </w:rPr>
        <w:t>ό</w:t>
      </w:r>
      <w:r w:rsidR="005E4473" w:rsidRPr="00466073">
        <w:rPr>
          <w:rFonts w:asciiTheme="minorHAnsi" w:hAnsiTheme="minorHAnsi" w:cstheme="minorHAnsi"/>
          <w:lang w:val="el-GR"/>
        </w:rPr>
        <w:t xml:space="preserve">που μία επένδυση δεν </w:t>
      </w:r>
      <w:r w:rsidRPr="00466073">
        <w:rPr>
          <w:rFonts w:asciiTheme="minorHAnsi" w:hAnsiTheme="minorHAnsi" w:cstheme="minorHAnsi"/>
          <w:lang w:val="el-GR"/>
        </w:rPr>
        <w:t>συγχρηματοδοτείται από την Ε.Ε.</w:t>
      </w:r>
      <w:r w:rsidR="005E4473" w:rsidRPr="00466073">
        <w:rPr>
          <w:rFonts w:asciiTheme="minorHAnsi" w:hAnsiTheme="minorHAnsi" w:cstheme="minorHAnsi"/>
          <w:lang w:val="el-GR"/>
        </w:rPr>
        <w:t>, η ουγγρική κυβέρνηση, στο πλαίσιο του Εθνικού Σχεδίου Ανάπτυξης, προσφέρει δέσμες επενδυτικών κινήτρων που περιλα</w:t>
      </w:r>
      <w:r w:rsidRPr="00466073">
        <w:rPr>
          <w:rFonts w:asciiTheme="minorHAnsi" w:hAnsiTheme="minorHAnsi" w:cstheme="minorHAnsi"/>
          <w:lang w:val="el-GR"/>
        </w:rPr>
        <w:t>μβάνουν ε</w:t>
      </w:r>
      <w:r w:rsidR="005E4473" w:rsidRPr="00466073">
        <w:rPr>
          <w:rFonts w:asciiTheme="minorHAnsi" w:hAnsiTheme="minorHAnsi" w:cstheme="minorHAnsi"/>
          <w:lang w:val="el-GR"/>
        </w:rPr>
        <w:t>πιδοτήσεις με μορφ</w:t>
      </w:r>
      <w:r w:rsidRPr="00466073">
        <w:rPr>
          <w:rFonts w:asciiTheme="minorHAnsi" w:hAnsiTheme="minorHAnsi" w:cstheme="minorHAnsi"/>
          <w:lang w:val="el-GR"/>
        </w:rPr>
        <w:t>ή άμεσης χρηματικής συνεισφοράς</w:t>
      </w:r>
      <w:r w:rsidR="005E4473" w:rsidRPr="00466073">
        <w:rPr>
          <w:rFonts w:asciiTheme="minorHAnsi" w:hAnsiTheme="minorHAnsi" w:cstheme="minorHAnsi"/>
          <w:lang w:val="el-GR"/>
        </w:rPr>
        <w:t xml:space="preserve"> </w:t>
      </w:r>
      <w:r w:rsidRPr="00466073">
        <w:rPr>
          <w:rFonts w:asciiTheme="minorHAnsi" w:hAnsiTheme="minorHAnsi" w:cstheme="minorHAnsi"/>
          <w:lang w:val="el-GR"/>
        </w:rPr>
        <w:t>(</w:t>
      </w:r>
      <w:r w:rsidR="005E4473" w:rsidRPr="00466073">
        <w:rPr>
          <w:rFonts w:asciiTheme="minorHAnsi" w:hAnsiTheme="minorHAnsi" w:cstheme="minorHAnsi"/>
          <w:lang w:val="el-GR"/>
        </w:rPr>
        <w:t xml:space="preserve">με απόφαση της </w:t>
      </w:r>
      <w:r w:rsidR="005E4473" w:rsidRPr="00466073">
        <w:rPr>
          <w:rFonts w:asciiTheme="minorHAnsi" w:hAnsiTheme="minorHAnsi" w:cstheme="minorHAnsi"/>
          <w:lang w:val="el-GR"/>
        </w:rPr>
        <w:lastRenderedPageBreak/>
        <w:t>κυβέρνησης</w:t>
      </w:r>
      <w:r w:rsidRPr="00466073">
        <w:rPr>
          <w:rFonts w:asciiTheme="minorHAnsi" w:hAnsiTheme="minorHAnsi" w:cstheme="minorHAnsi"/>
          <w:lang w:val="el-GR"/>
        </w:rPr>
        <w:t>), φ</w:t>
      </w:r>
      <w:r w:rsidR="005E4473" w:rsidRPr="00466073">
        <w:rPr>
          <w:rFonts w:asciiTheme="minorHAnsi" w:hAnsiTheme="minorHAnsi" w:cstheme="minorHAnsi"/>
          <w:lang w:val="el-GR"/>
        </w:rPr>
        <w:t>οροαπαλλαγές</w:t>
      </w:r>
      <w:r w:rsidRPr="00466073">
        <w:rPr>
          <w:rFonts w:asciiTheme="minorHAnsi" w:hAnsiTheme="minorHAnsi" w:cstheme="minorHAnsi"/>
          <w:lang w:val="el-GR"/>
        </w:rPr>
        <w:t>, ε</w:t>
      </w:r>
      <w:r w:rsidR="005E4473" w:rsidRPr="00466073">
        <w:rPr>
          <w:rFonts w:asciiTheme="minorHAnsi" w:hAnsiTheme="minorHAnsi" w:cstheme="minorHAnsi"/>
          <w:lang w:val="el-GR"/>
        </w:rPr>
        <w:t>πιδοτήσεις για εκπαίδευση προσωπικού</w:t>
      </w:r>
      <w:r w:rsidRPr="00466073">
        <w:rPr>
          <w:rFonts w:asciiTheme="minorHAnsi" w:hAnsiTheme="minorHAnsi" w:cstheme="minorHAnsi"/>
          <w:lang w:val="el-GR"/>
        </w:rPr>
        <w:t>, ε</w:t>
      </w:r>
      <w:r w:rsidR="005E4473" w:rsidRPr="00466073">
        <w:rPr>
          <w:rFonts w:asciiTheme="minorHAnsi" w:hAnsiTheme="minorHAnsi" w:cstheme="minorHAnsi"/>
          <w:lang w:val="el-GR"/>
        </w:rPr>
        <w:t>πιδοτήσεις για δημιουργία νέων θέσεων εργασίας</w:t>
      </w:r>
      <w:r w:rsidRPr="00466073">
        <w:rPr>
          <w:rFonts w:asciiTheme="minorHAnsi" w:hAnsiTheme="minorHAnsi" w:cstheme="minorHAnsi"/>
          <w:lang w:val="el-GR"/>
        </w:rPr>
        <w:t>, κλπ.</w:t>
      </w:r>
    </w:p>
    <w:p w:rsidR="00E22BDD" w:rsidRPr="00466073" w:rsidRDefault="005E4473" w:rsidP="00D82BB0">
      <w:pPr>
        <w:widowControl w:val="0"/>
        <w:autoSpaceDE w:val="0"/>
        <w:autoSpaceDN w:val="0"/>
        <w:adjustRightInd w:val="0"/>
        <w:jc w:val="both"/>
        <w:rPr>
          <w:rFonts w:asciiTheme="minorHAnsi" w:hAnsiTheme="minorHAnsi" w:cstheme="minorHAnsi"/>
          <w:lang w:val="el-GR"/>
        </w:rPr>
      </w:pPr>
      <w:r w:rsidRPr="00466073">
        <w:rPr>
          <w:rFonts w:asciiTheme="minorHAnsi" w:hAnsiTheme="minorHAnsi" w:cstheme="minorHAnsi"/>
          <w:lang w:val="el-GR"/>
        </w:rPr>
        <w:t xml:space="preserve">Τα επενδυτικά κίνητρα εφαρμόζονται </w:t>
      </w:r>
      <w:r w:rsidR="009A51DA" w:rsidRPr="00466073">
        <w:rPr>
          <w:rFonts w:asciiTheme="minorHAnsi" w:hAnsiTheme="minorHAnsi" w:cstheme="minorHAnsi"/>
          <w:lang w:val="el-GR"/>
        </w:rPr>
        <w:t>σε διάφ</w:t>
      </w:r>
      <w:r w:rsidR="004E30D4" w:rsidRPr="00466073">
        <w:rPr>
          <w:rFonts w:asciiTheme="minorHAnsi" w:hAnsiTheme="minorHAnsi" w:cstheme="minorHAnsi"/>
          <w:lang w:val="el-GR"/>
        </w:rPr>
        <w:t>ορ</w:t>
      </w:r>
      <w:r w:rsidR="009A51DA" w:rsidRPr="00466073">
        <w:rPr>
          <w:rFonts w:asciiTheme="minorHAnsi" w:hAnsiTheme="minorHAnsi" w:cstheme="minorHAnsi"/>
          <w:lang w:val="el-GR"/>
        </w:rPr>
        <w:t xml:space="preserve">ους τομείς της οικονομίας και σε διάφορες επιχειρήσεις, π.χ. στον τομέα </w:t>
      </w:r>
      <w:r w:rsidRPr="00466073">
        <w:rPr>
          <w:rFonts w:asciiTheme="minorHAnsi" w:hAnsiTheme="minorHAnsi" w:cstheme="minorHAnsi"/>
          <w:lang w:val="el-GR"/>
        </w:rPr>
        <w:t>Βιομηχανία</w:t>
      </w:r>
      <w:r w:rsidR="009A51DA" w:rsidRPr="00466073">
        <w:rPr>
          <w:rFonts w:asciiTheme="minorHAnsi" w:hAnsiTheme="minorHAnsi" w:cstheme="minorHAnsi"/>
          <w:lang w:val="el-GR"/>
        </w:rPr>
        <w:t>ς</w:t>
      </w:r>
      <w:r w:rsidRPr="00466073">
        <w:rPr>
          <w:rFonts w:asciiTheme="minorHAnsi" w:hAnsiTheme="minorHAnsi" w:cstheme="minorHAnsi"/>
          <w:lang w:val="el-GR"/>
        </w:rPr>
        <w:t>/Μεταποίηση</w:t>
      </w:r>
      <w:r w:rsidR="009A51DA" w:rsidRPr="00466073">
        <w:rPr>
          <w:rFonts w:asciiTheme="minorHAnsi" w:hAnsiTheme="minorHAnsi" w:cstheme="minorHAnsi"/>
          <w:lang w:val="el-GR"/>
        </w:rPr>
        <w:t>ς, στον τομέα του Τουρισμού, σε ε</w:t>
      </w:r>
      <w:r w:rsidRPr="00466073">
        <w:rPr>
          <w:rFonts w:asciiTheme="minorHAnsi" w:hAnsiTheme="minorHAnsi" w:cstheme="minorHAnsi"/>
          <w:lang w:val="el-GR"/>
        </w:rPr>
        <w:t>πιχειρήσεις Έρευνας και Τεχνολογίας</w:t>
      </w:r>
      <w:r w:rsidR="009A51DA" w:rsidRPr="00466073">
        <w:rPr>
          <w:rFonts w:asciiTheme="minorHAnsi" w:hAnsiTheme="minorHAnsi" w:cstheme="minorHAnsi"/>
          <w:lang w:val="el-GR"/>
        </w:rPr>
        <w:t xml:space="preserve">, σε </w:t>
      </w:r>
      <w:r w:rsidRPr="00466073">
        <w:rPr>
          <w:rFonts w:asciiTheme="minorHAnsi" w:hAnsiTheme="minorHAnsi" w:cstheme="minorHAnsi"/>
          <w:lang w:val="el-GR"/>
        </w:rPr>
        <w:t xml:space="preserve"> Περιφε</w:t>
      </w:r>
      <w:r w:rsidR="009A51DA" w:rsidRPr="00466073">
        <w:rPr>
          <w:rFonts w:asciiTheme="minorHAnsi" w:hAnsiTheme="minorHAnsi" w:cstheme="minorHAnsi"/>
          <w:lang w:val="el-GR"/>
        </w:rPr>
        <w:t>ρειακά Κέντρα Παροχής Υπηρεσιών, σε ε</w:t>
      </w:r>
      <w:r w:rsidRPr="00466073">
        <w:rPr>
          <w:rFonts w:asciiTheme="minorHAnsi" w:hAnsiTheme="minorHAnsi" w:cstheme="minorHAnsi"/>
          <w:lang w:val="el-GR"/>
        </w:rPr>
        <w:t>πιχειρήσεις Διαχείρισης Συστημάτων Διανομής και Μεταφοράς Προϊόντων (</w:t>
      </w:r>
      <w:r w:rsidRPr="00466073">
        <w:rPr>
          <w:rFonts w:asciiTheme="minorHAnsi" w:hAnsiTheme="minorHAnsi" w:cstheme="minorHAnsi"/>
        </w:rPr>
        <w:t>Logistics</w:t>
      </w:r>
      <w:r w:rsidR="009A51DA" w:rsidRPr="00466073">
        <w:rPr>
          <w:rFonts w:asciiTheme="minorHAnsi" w:hAnsiTheme="minorHAnsi" w:cstheme="minorHAnsi"/>
          <w:lang w:val="el-GR"/>
        </w:rPr>
        <w:t>), κ.α.</w:t>
      </w:r>
    </w:p>
    <w:p w:rsidR="00E44C3D" w:rsidRPr="00466073" w:rsidRDefault="00A34134" w:rsidP="00D82BB0">
      <w:pPr>
        <w:widowControl w:val="0"/>
        <w:autoSpaceDE w:val="0"/>
        <w:autoSpaceDN w:val="0"/>
        <w:adjustRightInd w:val="0"/>
        <w:jc w:val="both"/>
        <w:rPr>
          <w:rFonts w:asciiTheme="minorHAnsi" w:hAnsiTheme="minorHAnsi" w:cstheme="minorHAnsi"/>
          <w:b/>
          <w:bCs/>
          <w:u w:val="single"/>
          <w:lang w:val="el-GR"/>
        </w:rPr>
      </w:pPr>
      <w:r w:rsidRPr="00466073">
        <w:rPr>
          <w:rFonts w:asciiTheme="minorHAnsi" w:hAnsiTheme="minorHAnsi" w:cstheme="minorHAnsi"/>
          <w:lang w:val="el-GR"/>
        </w:rPr>
        <w:t xml:space="preserve">Μεταξύ των δυσκολιών </w:t>
      </w:r>
      <w:r w:rsidR="005E4473" w:rsidRPr="00466073">
        <w:rPr>
          <w:rFonts w:asciiTheme="minorHAnsi" w:hAnsiTheme="minorHAnsi" w:cstheme="minorHAnsi"/>
          <w:lang w:val="el-GR"/>
        </w:rPr>
        <w:t xml:space="preserve">που αντιμετωπίζουν οι ξένοι επενδυτές στην Ουγγαρία είναι </w:t>
      </w:r>
      <w:r w:rsidR="00C2328A" w:rsidRPr="00466073">
        <w:rPr>
          <w:rFonts w:asciiTheme="minorHAnsi" w:hAnsiTheme="minorHAnsi" w:cstheme="minorHAnsi"/>
          <w:lang w:val="el-GR"/>
        </w:rPr>
        <w:t>οι υψηλ</w:t>
      </w:r>
      <w:r w:rsidRPr="00466073">
        <w:rPr>
          <w:rFonts w:asciiTheme="minorHAnsi" w:hAnsiTheme="minorHAnsi" w:cstheme="minorHAnsi"/>
          <w:lang w:val="el-GR"/>
        </w:rPr>
        <w:t>ές εργοδοτικές εισφορές</w:t>
      </w:r>
      <w:r w:rsidR="009A51DA" w:rsidRPr="00466073">
        <w:rPr>
          <w:rFonts w:asciiTheme="minorHAnsi" w:hAnsiTheme="minorHAnsi" w:cstheme="minorHAnsi"/>
          <w:lang w:val="el-GR"/>
        </w:rPr>
        <w:t xml:space="preserve">, </w:t>
      </w:r>
      <w:r w:rsidR="005E4473" w:rsidRPr="00466073">
        <w:rPr>
          <w:rFonts w:asciiTheme="minorHAnsi" w:hAnsiTheme="minorHAnsi" w:cstheme="minorHAnsi"/>
          <w:lang w:val="el-GR"/>
        </w:rPr>
        <w:t xml:space="preserve">θέμα που η κυβέρνηση </w:t>
      </w:r>
      <w:r w:rsidRPr="00466073">
        <w:rPr>
          <w:rFonts w:asciiTheme="minorHAnsi" w:hAnsiTheme="minorHAnsi" w:cstheme="minorHAnsi"/>
          <w:lang w:val="el-GR"/>
        </w:rPr>
        <w:t xml:space="preserve">αντιμετωπίζει με </w:t>
      </w:r>
      <w:r w:rsidR="005E4473" w:rsidRPr="00466073">
        <w:rPr>
          <w:rFonts w:asciiTheme="minorHAnsi" w:hAnsiTheme="minorHAnsi" w:cstheme="minorHAnsi"/>
          <w:lang w:val="el-GR"/>
        </w:rPr>
        <w:t>τη μείωση των εργοδοτικώ</w:t>
      </w:r>
      <w:r w:rsidRPr="00466073">
        <w:rPr>
          <w:rFonts w:asciiTheme="minorHAnsi" w:hAnsiTheme="minorHAnsi" w:cstheme="minorHAnsi"/>
          <w:lang w:val="el-GR"/>
        </w:rPr>
        <w:t>ν εισφορών κοινωνικής ασφάλισης.</w:t>
      </w:r>
      <w:r w:rsidR="005E4473" w:rsidRPr="00466073">
        <w:rPr>
          <w:rFonts w:asciiTheme="minorHAnsi" w:hAnsiTheme="minorHAnsi" w:cstheme="minorHAnsi"/>
          <w:lang w:val="el-GR"/>
        </w:rPr>
        <w:t xml:space="preserve"> Επίσης το περίπλοκο σύστημα τοπικής αυτοδιοίκησης με την ύπαρξη δημοτικών και κοινοτικών επιβαρύνσεων δυσχεραίνει τη ξένη επενδυτική δραστηριότητα</w:t>
      </w:r>
      <w:r w:rsidR="009A51DA" w:rsidRPr="00466073">
        <w:rPr>
          <w:rFonts w:asciiTheme="minorHAnsi" w:hAnsiTheme="minorHAnsi" w:cstheme="minorHAnsi"/>
          <w:lang w:val="el-GR"/>
        </w:rPr>
        <w:t xml:space="preserve">. Τέλος, παρουσιάζεται έλλειψη σε </w:t>
      </w:r>
      <w:r w:rsidR="00D82BB0" w:rsidRPr="00466073">
        <w:rPr>
          <w:rFonts w:asciiTheme="minorHAnsi" w:hAnsiTheme="minorHAnsi" w:cstheme="minorHAnsi"/>
          <w:lang w:val="el-GR"/>
        </w:rPr>
        <w:t xml:space="preserve">εξειδικευμένο προσωπικό. </w:t>
      </w:r>
    </w:p>
    <w:p w:rsidR="00D82BB0" w:rsidRPr="00466073" w:rsidRDefault="00D82BB0" w:rsidP="00D82BB0">
      <w:pPr>
        <w:widowControl w:val="0"/>
        <w:autoSpaceDE w:val="0"/>
        <w:autoSpaceDN w:val="0"/>
        <w:adjustRightInd w:val="0"/>
        <w:jc w:val="both"/>
        <w:rPr>
          <w:rFonts w:asciiTheme="minorHAnsi" w:hAnsiTheme="minorHAnsi" w:cstheme="minorHAnsi"/>
          <w:b/>
          <w:bCs/>
          <w:u w:val="single"/>
          <w:lang w:val="el-GR"/>
        </w:rPr>
      </w:pPr>
    </w:p>
    <w:p w:rsidR="001D4EEC" w:rsidRDefault="001D4EEC" w:rsidP="00D82BB0">
      <w:pPr>
        <w:widowControl w:val="0"/>
        <w:autoSpaceDE w:val="0"/>
        <w:autoSpaceDN w:val="0"/>
        <w:adjustRightInd w:val="0"/>
        <w:jc w:val="both"/>
        <w:rPr>
          <w:rFonts w:asciiTheme="minorHAnsi" w:hAnsiTheme="minorHAnsi" w:cstheme="minorHAnsi"/>
          <w:bCs/>
          <w:u w:val="single"/>
          <w:lang w:val="el-GR"/>
        </w:rPr>
      </w:pPr>
    </w:p>
    <w:p w:rsidR="00D82BB0" w:rsidRDefault="00D82BB0" w:rsidP="00D82BB0">
      <w:pPr>
        <w:widowControl w:val="0"/>
        <w:autoSpaceDE w:val="0"/>
        <w:autoSpaceDN w:val="0"/>
        <w:adjustRightInd w:val="0"/>
        <w:jc w:val="both"/>
        <w:rPr>
          <w:rFonts w:asciiTheme="minorHAnsi" w:hAnsiTheme="minorHAnsi" w:cstheme="minorHAnsi"/>
          <w:bCs/>
          <w:u w:val="single"/>
          <w:lang w:val="el-GR"/>
        </w:rPr>
      </w:pPr>
      <w:r w:rsidRPr="00466073">
        <w:rPr>
          <w:rFonts w:asciiTheme="minorHAnsi" w:hAnsiTheme="minorHAnsi" w:cstheme="minorHAnsi"/>
          <w:bCs/>
          <w:u w:val="single"/>
          <w:lang w:val="el-GR"/>
        </w:rPr>
        <w:t>Δημόσιοι Διαγωνισμοί</w:t>
      </w:r>
    </w:p>
    <w:p w:rsidR="001D4EEC" w:rsidRPr="00466073" w:rsidRDefault="001D4EEC" w:rsidP="00D82BB0">
      <w:pPr>
        <w:widowControl w:val="0"/>
        <w:autoSpaceDE w:val="0"/>
        <w:autoSpaceDN w:val="0"/>
        <w:adjustRightInd w:val="0"/>
        <w:jc w:val="both"/>
        <w:rPr>
          <w:rFonts w:asciiTheme="minorHAnsi" w:hAnsiTheme="minorHAnsi" w:cstheme="minorHAnsi"/>
          <w:bCs/>
          <w:u w:val="single"/>
          <w:lang w:val="el-GR"/>
        </w:rPr>
      </w:pPr>
    </w:p>
    <w:p w:rsidR="00D82BB0" w:rsidRPr="00466073" w:rsidRDefault="00D82BB0" w:rsidP="00D82BB0">
      <w:pPr>
        <w:widowControl w:val="0"/>
        <w:overflowPunct w:val="0"/>
        <w:autoSpaceDE w:val="0"/>
        <w:autoSpaceDN w:val="0"/>
        <w:adjustRightInd w:val="0"/>
        <w:spacing w:line="214" w:lineRule="auto"/>
        <w:jc w:val="both"/>
        <w:rPr>
          <w:rFonts w:asciiTheme="minorHAnsi" w:hAnsiTheme="minorHAnsi" w:cstheme="minorHAnsi"/>
          <w:lang w:val="el-GR"/>
        </w:rPr>
      </w:pPr>
      <w:r w:rsidRPr="00466073">
        <w:rPr>
          <w:rFonts w:asciiTheme="minorHAnsi" w:hAnsiTheme="minorHAnsi" w:cstheme="minorHAnsi"/>
          <w:lang w:val="el-GR"/>
        </w:rPr>
        <w:t>Αρμόδια ουγγρική αρχή για τη δ</w:t>
      </w:r>
      <w:r w:rsidR="00E44C3D" w:rsidRPr="00466073">
        <w:rPr>
          <w:rFonts w:asciiTheme="minorHAnsi" w:hAnsiTheme="minorHAnsi" w:cstheme="minorHAnsi"/>
          <w:lang w:val="el-GR"/>
        </w:rPr>
        <w:t xml:space="preserve">ημοσίευση δημόσιων διαγωνισμών είναι </w:t>
      </w:r>
      <w:r w:rsidRPr="00466073">
        <w:rPr>
          <w:rFonts w:asciiTheme="minorHAnsi" w:hAnsiTheme="minorHAnsi" w:cstheme="minorHAnsi"/>
          <w:lang w:val="el-GR"/>
        </w:rPr>
        <w:t>η</w:t>
      </w:r>
      <w:r w:rsidR="00E44C3D" w:rsidRPr="00466073">
        <w:rPr>
          <w:rFonts w:asciiTheme="minorHAnsi" w:hAnsiTheme="minorHAnsi" w:cstheme="minorHAnsi"/>
          <w:lang w:val="el-GR"/>
        </w:rPr>
        <w:t xml:space="preserve"> Υπηρεσία Δημοσίων Προμηθειών (</w:t>
      </w:r>
      <w:r w:rsidR="00E44C3D" w:rsidRPr="00466073">
        <w:rPr>
          <w:rFonts w:asciiTheme="minorHAnsi" w:hAnsiTheme="minorHAnsi" w:cstheme="minorHAnsi"/>
        </w:rPr>
        <w:t>Public</w:t>
      </w:r>
      <w:r w:rsidR="00E44C3D" w:rsidRPr="00466073">
        <w:rPr>
          <w:rFonts w:asciiTheme="minorHAnsi" w:hAnsiTheme="minorHAnsi" w:cstheme="minorHAnsi"/>
          <w:lang w:val="el-GR"/>
        </w:rPr>
        <w:t xml:space="preserve"> </w:t>
      </w:r>
      <w:r w:rsidR="00E44C3D" w:rsidRPr="00466073">
        <w:rPr>
          <w:rFonts w:asciiTheme="minorHAnsi" w:hAnsiTheme="minorHAnsi" w:cstheme="minorHAnsi"/>
        </w:rPr>
        <w:t>Procurement</w:t>
      </w:r>
      <w:r w:rsidR="00E44C3D" w:rsidRPr="00466073">
        <w:rPr>
          <w:rFonts w:asciiTheme="minorHAnsi" w:hAnsiTheme="minorHAnsi" w:cstheme="minorHAnsi"/>
          <w:lang w:val="el-GR"/>
        </w:rPr>
        <w:t xml:space="preserve"> </w:t>
      </w:r>
      <w:r w:rsidR="00E44C3D" w:rsidRPr="00466073">
        <w:rPr>
          <w:rFonts w:asciiTheme="minorHAnsi" w:hAnsiTheme="minorHAnsi" w:cstheme="minorHAnsi"/>
        </w:rPr>
        <w:t>Authority</w:t>
      </w:r>
      <w:r w:rsidR="00E44C3D" w:rsidRPr="00466073">
        <w:rPr>
          <w:rFonts w:asciiTheme="minorHAnsi" w:hAnsiTheme="minorHAnsi" w:cstheme="minorHAnsi"/>
          <w:lang w:val="el-GR"/>
        </w:rPr>
        <w:t xml:space="preserve">, </w:t>
      </w:r>
      <w:hyperlink r:id="rId37" w:history="1">
        <w:r w:rsidRPr="00466073">
          <w:rPr>
            <w:rStyle w:val="Hyperlink"/>
            <w:rFonts w:asciiTheme="minorHAnsi" w:hAnsiTheme="minorHAnsi" w:cstheme="minorHAnsi"/>
            <w:b/>
            <w:bCs/>
          </w:rPr>
          <w:t>www</w:t>
        </w:r>
        <w:r w:rsidRPr="00466073">
          <w:rPr>
            <w:rStyle w:val="Hyperlink"/>
            <w:rFonts w:asciiTheme="minorHAnsi" w:hAnsiTheme="minorHAnsi" w:cstheme="minorHAnsi"/>
            <w:b/>
            <w:bCs/>
            <w:lang w:val="el-GR"/>
          </w:rPr>
          <w:t>.</w:t>
        </w:r>
        <w:proofErr w:type="spellStart"/>
        <w:r w:rsidRPr="00466073">
          <w:rPr>
            <w:rStyle w:val="Hyperlink"/>
            <w:rFonts w:asciiTheme="minorHAnsi" w:hAnsiTheme="minorHAnsi" w:cstheme="minorHAnsi"/>
            <w:b/>
            <w:bCs/>
          </w:rPr>
          <w:t>kozbeszerzes</w:t>
        </w:r>
        <w:proofErr w:type="spellEnd"/>
        <w:r w:rsidRPr="00466073">
          <w:rPr>
            <w:rStyle w:val="Hyperlink"/>
            <w:rFonts w:asciiTheme="minorHAnsi" w:hAnsiTheme="minorHAnsi" w:cstheme="minorHAnsi"/>
            <w:b/>
            <w:bCs/>
            <w:lang w:val="el-GR"/>
          </w:rPr>
          <w:t>.</w:t>
        </w:r>
        <w:proofErr w:type="spellStart"/>
        <w:r w:rsidRPr="00466073">
          <w:rPr>
            <w:rStyle w:val="Hyperlink"/>
            <w:rFonts w:asciiTheme="minorHAnsi" w:hAnsiTheme="minorHAnsi" w:cstheme="minorHAnsi"/>
            <w:b/>
            <w:bCs/>
          </w:rPr>
          <w:t>hu</w:t>
        </w:r>
        <w:proofErr w:type="spellEnd"/>
      </w:hyperlink>
      <w:r w:rsidR="00E44C3D" w:rsidRPr="00466073">
        <w:rPr>
          <w:rFonts w:asciiTheme="minorHAnsi" w:hAnsiTheme="minorHAnsi" w:cstheme="minorHAnsi"/>
          <w:lang w:val="el-GR"/>
        </w:rPr>
        <w:t>).</w:t>
      </w:r>
    </w:p>
    <w:p w:rsidR="00E44C3D" w:rsidRPr="00466073" w:rsidRDefault="00E44C3D" w:rsidP="00D82BB0">
      <w:pPr>
        <w:widowControl w:val="0"/>
        <w:overflowPunct w:val="0"/>
        <w:autoSpaceDE w:val="0"/>
        <w:autoSpaceDN w:val="0"/>
        <w:adjustRightInd w:val="0"/>
        <w:spacing w:line="214" w:lineRule="auto"/>
        <w:jc w:val="both"/>
        <w:rPr>
          <w:rFonts w:asciiTheme="minorHAnsi" w:hAnsiTheme="minorHAnsi" w:cstheme="minorHAnsi"/>
          <w:lang w:val="el-GR"/>
        </w:rPr>
      </w:pPr>
      <w:r w:rsidRPr="00466073">
        <w:rPr>
          <w:rFonts w:asciiTheme="minorHAnsi" w:hAnsiTheme="minorHAnsi" w:cstheme="minorHAnsi"/>
          <w:lang w:val="el-GR"/>
        </w:rPr>
        <w:t>Στον</w:t>
      </w:r>
      <w:r w:rsidR="00D82BB0" w:rsidRPr="00466073">
        <w:rPr>
          <w:rFonts w:asciiTheme="minorHAnsi" w:hAnsiTheme="minorHAnsi" w:cstheme="minorHAnsi"/>
          <w:lang w:val="el-GR"/>
        </w:rPr>
        <w:t xml:space="preserve"> </w:t>
      </w:r>
      <w:proofErr w:type="spellStart"/>
      <w:r w:rsidR="00D82BB0" w:rsidRPr="00466073">
        <w:rPr>
          <w:rFonts w:asciiTheme="minorHAnsi" w:hAnsiTheme="minorHAnsi" w:cstheme="minorHAnsi"/>
          <w:lang w:val="el-GR"/>
        </w:rPr>
        <w:t>ιστότοπο</w:t>
      </w:r>
      <w:proofErr w:type="spellEnd"/>
      <w:r w:rsidR="00D82BB0" w:rsidRPr="00466073">
        <w:rPr>
          <w:rFonts w:asciiTheme="minorHAnsi" w:hAnsiTheme="minorHAnsi" w:cstheme="minorHAnsi"/>
          <w:lang w:val="el-GR"/>
        </w:rPr>
        <w:t xml:space="preserve"> της Υπηρεσίας καταχωρούνται </w:t>
      </w:r>
      <w:r w:rsidR="004E30D4" w:rsidRPr="00466073">
        <w:rPr>
          <w:rFonts w:asciiTheme="minorHAnsi" w:hAnsiTheme="minorHAnsi" w:cstheme="minorHAnsi"/>
          <w:lang w:val="el-GR"/>
        </w:rPr>
        <w:t xml:space="preserve">και αναρτώνται </w:t>
      </w:r>
      <w:r w:rsidR="00D82BB0" w:rsidRPr="00466073">
        <w:rPr>
          <w:rFonts w:asciiTheme="minorHAnsi" w:hAnsiTheme="minorHAnsi" w:cstheme="minorHAnsi"/>
          <w:lang w:val="el-GR"/>
        </w:rPr>
        <w:t>(</w:t>
      </w:r>
      <w:r w:rsidR="004E30D4" w:rsidRPr="00466073">
        <w:rPr>
          <w:rFonts w:asciiTheme="minorHAnsi" w:hAnsiTheme="minorHAnsi" w:cstheme="minorHAnsi"/>
          <w:lang w:val="el-GR"/>
        </w:rPr>
        <w:t xml:space="preserve">κατά κύριο λόγο </w:t>
      </w:r>
      <w:r w:rsidR="00D82BB0" w:rsidRPr="00466073">
        <w:rPr>
          <w:rFonts w:asciiTheme="minorHAnsi" w:hAnsiTheme="minorHAnsi" w:cstheme="minorHAnsi"/>
          <w:lang w:val="el-GR"/>
        </w:rPr>
        <w:t xml:space="preserve">στην ουγγρική γλώσσα) οι ανακοινώσεις των διαγωνισμών. </w:t>
      </w:r>
    </w:p>
    <w:p w:rsidR="00E44C3D" w:rsidRPr="00466073" w:rsidRDefault="00E44C3D" w:rsidP="00E44C3D">
      <w:pPr>
        <w:widowControl w:val="0"/>
        <w:autoSpaceDE w:val="0"/>
        <w:autoSpaceDN w:val="0"/>
        <w:adjustRightInd w:val="0"/>
        <w:spacing w:line="175" w:lineRule="exact"/>
        <w:rPr>
          <w:rFonts w:asciiTheme="minorHAnsi" w:hAnsiTheme="minorHAnsi" w:cstheme="minorHAnsi"/>
          <w:lang w:val="el-GR"/>
        </w:rPr>
      </w:pPr>
    </w:p>
    <w:p w:rsidR="00E44C3D" w:rsidRPr="00466073" w:rsidRDefault="00E44C3D" w:rsidP="00D82BB0">
      <w:pPr>
        <w:widowControl w:val="0"/>
        <w:overflowPunct w:val="0"/>
        <w:autoSpaceDE w:val="0"/>
        <w:autoSpaceDN w:val="0"/>
        <w:adjustRightInd w:val="0"/>
        <w:spacing w:line="232" w:lineRule="auto"/>
        <w:jc w:val="both"/>
        <w:rPr>
          <w:rFonts w:asciiTheme="minorHAnsi" w:hAnsiTheme="minorHAnsi" w:cstheme="minorHAnsi"/>
          <w:lang w:val="el-GR"/>
        </w:rPr>
      </w:pPr>
      <w:r w:rsidRPr="00466073">
        <w:rPr>
          <w:rFonts w:asciiTheme="minorHAnsi" w:hAnsiTheme="minorHAnsi" w:cstheme="minorHAnsi"/>
          <w:lang w:val="el-GR"/>
        </w:rPr>
        <w:t>Σε περίπτωση που ένας δημόσιος διαγωνισμός υπερβαίνει το ποσό των 50 εκατ. φιορινιών-</w:t>
      </w:r>
      <w:r w:rsidRPr="00466073">
        <w:rPr>
          <w:rFonts w:asciiTheme="minorHAnsi" w:hAnsiTheme="minorHAnsi" w:cstheme="minorHAnsi"/>
        </w:rPr>
        <w:t>HUF</w:t>
      </w:r>
      <w:r w:rsidR="00BE6951" w:rsidRPr="00466073">
        <w:rPr>
          <w:rFonts w:asciiTheme="minorHAnsi" w:hAnsiTheme="minorHAnsi" w:cstheme="minorHAnsi"/>
          <w:lang w:val="el-GR"/>
        </w:rPr>
        <w:t xml:space="preserve"> (περίπου €128</w:t>
      </w:r>
      <w:r w:rsidRPr="00466073">
        <w:rPr>
          <w:rFonts w:asciiTheme="minorHAnsi" w:hAnsiTheme="minorHAnsi" w:cstheme="minorHAnsi"/>
          <w:lang w:val="el-GR"/>
        </w:rPr>
        <w:t>.000) τότε, η ανωτέρω Υπηρεσία, σε συνεργασία με τους ενδιαφερόμενους κρατικούς φορείς και οργανισμούς, προκηρύσσει διεθνή διαγωνισμό με παράλληλη δημοσίευση στην αντίστοιχη ιστοσελίδα της Ευρωπαϊκής Ένωσης (</w:t>
      </w:r>
      <w:hyperlink r:id="rId38" w:history="1">
        <w:r w:rsidR="00BE6951" w:rsidRPr="00466073">
          <w:rPr>
            <w:rStyle w:val="Hyperlink"/>
            <w:rFonts w:asciiTheme="minorHAnsi" w:hAnsiTheme="minorHAnsi" w:cstheme="minorHAnsi"/>
            <w:b/>
            <w:bCs/>
          </w:rPr>
          <w:t>http</w:t>
        </w:r>
        <w:r w:rsidR="00BE6951" w:rsidRPr="00466073">
          <w:rPr>
            <w:rStyle w:val="Hyperlink"/>
            <w:rFonts w:asciiTheme="minorHAnsi" w:hAnsiTheme="minorHAnsi" w:cstheme="minorHAnsi"/>
            <w:b/>
            <w:bCs/>
            <w:lang w:val="el-GR"/>
          </w:rPr>
          <w:t>://</w:t>
        </w:r>
        <w:r w:rsidR="00BE6951" w:rsidRPr="00466073">
          <w:rPr>
            <w:rStyle w:val="Hyperlink"/>
            <w:rFonts w:asciiTheme="minorHAnsi" w:hAnsiTheme="minorHAnsi" w:cstheme="minorHAnsi"/>
            <w:b/>
            <w:bCs/>
          </w:rPr>
          <w:t>ted</w:t>
        </w:r>
        <w:r w:rsidR="00BE6951" w:rsidRPr="00466073">
          <w:rPr>
            <w:rStyle w:val="Hyperlink"/>
            <w:rFonts w:asciiTheme="minorHAnsi" w:hAnsiTheme="minorHAnsi" w:cstheme="minorHAnsi"/>
            <w:b/>
            <w:bCs/>
            <w:lang w:val="el-GR"/>
          </w:rPr>
          <w:t>.</w:t>
        </w:r>
        <w:proofErr w:type="spellStart"/>
        <w:r w:rsidR="00BE6951" w:rsidRPr="00466073">
          <w:rPr>
            <w:rStyle w:val="Hyperlink"/>
            <w:rFonts w:asciiTheme="minorHAnsi" w:hAnsiTheme="minorHAnsi" w:cstheme="minorHAnsi"/>
            <w:b/>
            <w:bCs/>
          </w:rPr>
          <w:t>europa</w:t>
        </w:r>
        <w:proofErr w:type="spellEnd"/>
        <w:r w:rsidR="00BE6951" w:rsidRPr="00466073">
          <w:rPr>
            <w:rStyle w:val="Hyperlink"/>
            <w:rFonts w:asciiTheme="minorHAnsi" w:hAnsiTheme="minorHAnsi" w:cstheme="minorHAnsi"/>
            <w:b/>
            <w:bCs/>
            <w:lang w:val="el-GR"/>
          </w:rPr>
          <w:t>.</w:t>
        </w:r>
        <w:proofErr w:type="spellStart"/>
        <w:r w:rsidR="00BE6951" w:rsidRPr="00466073">
          <w:rPr>
            <w:rStyle w:val="Hyperlink"/>
            <w:rFonts w:asciiTheme="minorHAnsi" w:hAnsiTheme="minorHAnsi" w:cstheme="minorHAnsi"/>
            <w:b/>
            <w:bCs/>
          </w:rPr>
          <w:t>eu</w:t>
        </w:r>
        <w:proofErr w:type="spellEnd"/>
      </w:hyperlink>
      <w:r w:rsidR="00BE6951" w:rsidRPr="00466073">
        <w:rPr>
          <w:rFonts w:asciiTheme="minorHAnsi" w:hAnsiTheme="minorHAnsi" w:cstheme="minorHAnsi"/>
          <w:b/>
          <w:bCs/>
          <w:lang w:val="el-GR"/>
        </w:rPr>
        <w:t xml:space="preserve"> </w:t>
      </w:r>
      <w:r w:rsidRPr="00466073">
        <w:rPr>
          <w:rFonts w:asciiTheme="minorHAnsi" w:hAnsiTheme="minorHAnsi" w:cstheme="minorHAnsi"/>
          <w:lang w:val="el-GR"/>
        </w:rPr>
        <w:t xml:space="preserve">), όπου τυχόν ενδιαφερόμενοι, μετά τη σχετική εγγραφή τους, μπορούν να αναζητήσουν </w:t>
      </w:r>
      <w:r w:rsidR="00D82BB0" w:rsidRPr="00466073">
        <w:rPr>
          <w:rFonts w:asciiTheme="minorHAnsi" w:hAnsiTheme="minorHAnsi" w:cstheme="minorHAnsi"/>
          <w:lang w:val="el-GR"/>
        </w:rPr>
        <w:t xml:space="preserve">λεπτομέρειες του διαγωνισμού </w:t>
      </w:r>
      <w:r w:rsidRPr="00466073">
        <w:rPr>
          <w:rFonts w:asciiTheme="minorHAnsi" w:hAnsiTheme="minorHAnsi" w:cstheme="minorHAnsi"/>
          <w:lang w:val="el-GR"/>
        </w:rPr>
        <w:t xml:space="preserve">(είδος και ποσό διαγωνισμού, υπηρεσίες κατάθεσης και αξιολόγησης των προτάσεων – </w:t>
      </w:r>
      <w:r w:rsidR="00D82BB0" w:rsidRPr="00466073">
        <w:rPr>
          <w:rFonts w:asciiTheme="minorHAnsi" w:hAnsiTheme="minorHAnsi" w:cstheme="minorHAnsi"/>
          <w:lang w:val="el-GR"/>
        </w:rPr>
        <w:t>φακέλων</w:t>
      </w:r>
      <w:r w:rsidRPr="00466073">
        <w:rPr>
          <w:rFonts w:asciiTheme="minorHAnsi" w:hAnsiTheme="minorHAnsi" w:cstheme="minorHAnsi"/>
          <w:lang w:val="el-GR"/>
        </w:rPr>
        <w:t>, κλπ).</w:t>
      </w:r>
    </w:p>
    <w:p w:rsidR="00362B09" w:rsidRPr="00466073" w:rsidRDefault="00362B09" w:rsidP="00354952">
      <w:pPr>
        <w:widowControl w:val="0"/>
        <w:autoSpaceDE w:val="0"/>
        <w:autoSpaceDN w:val="0"/>
        <w:adjustRightInd w:val="0"/>
        <w:spacing w:line="345" w:lineRule="exact"/>
        <w:rPr>
          <w:rFonts w:asciiTheme="minorHAnsi" w:hAnsiTheme="minorHAnsi" w:cstheme="minorHAnsi"/>
          <w:lang w:val="el-GR"/>
        </w:rPr>
      </w:pPr>
    </w:p>
    <w:p w:rsidR="00B7570C" w:rsidRPr="00466073" w:rsidRDefault="00B7570C" w:rsidP="001726C8">
      <w:pPr>
        <w:widowControl w:val="0"/>
        <w:numPr>
          <w:ilvl w:val="0"/>
          <w:numId w:val="20"/>
        </w:numPr>
        <w:tabs>
          <w:tab w:val="clear" w:pos="1800"/>
          <w:tab w:val="num" w:pos="360"/>
        </w:tabs>
        <w:autoSpaceDE w:val="0"/>
        <w:autoSpaceDN w:val="0"/>
        <w:adjustRightInd w:val="0"/>
        <w:ind w:left="0" w:firstLine="0"/>
        <w:rPr>
          <w:rFonts w:asciiTheme="minorHAnsi" w:hAnsiTheme="minorHAnsi" w:cstheme="minorHAnsi"/>
          <w:color w:val="000000" w:themeColor="text1"/>
          <w:u w:val="single"/>
          <w:lang w:val="el-GR"/>
        </w:rPr>
      </w:pPr>
      <w:r w:rsidRPr="00466073">
        <w:rPr>
          <w:rFonts w:asciiTheme="minorHAnsi" w:hAnsiTheme="minorHAnsi" w:cstheme="minorHAnsi"/>
          <w:color w:val="000000" w:themeColor="text1"/>
          <w:u w:val="single"/>
          <w:lang w:val="el-GR"/>
        </w:rPr>
        <w:t>Ελληνικές επενδύσεις στην Ουγγαρία</w:t>
      </w:r>
    </w:p>
    <w:p w:rsidR="00E600DA" w:rsidRPr="00466073" w:rsidRDefault="00E600DA" w:rsidP="004B4EF3">
      <w:pPr>
        <w:widowControl w:val="0"/>
        <w:overflowPunct w:val="0"/>
        <w:autoSpaceDE w:val="0"/>
        <w:autoSpaceDN w:val="0"/>
        <w:adjustRightInd w:val="0"/>
        <w:spacing w:line="231" w:lineRule="auto"/>
        <w:jc w:val="both"/>
        <w:rPr>
          <w:rFonts w:asciiTheme="minorHAnsi" w:hAnsiTheme="minorHAnsi" w:cstheme="minorHAnsi"/>
          <w:color w:val="000000" w:themeColor="text1"/>
        </w:rPr>
      </w:pPr>
    </w:p>
    <w:p w:rsidR="004B4EF3" w:rsidRPr="00466073" w:rsidRDefault="004B4EF3" w:rsidP="004B4EF3">
      <w:pPr>
        <w:widowControl w:val="0"/>
        <w:overflowPunct w:val="0"/>
        <w:autoSpaceDE w:val="0"/>
        <w:autoSpaceDN w:val="0"/>
        <w:adjustRightInd w:val="0"/>
        <w:spacing w:line="231" w:lineRule="auto"/>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Στην Ουγγαρία δραστηριοποιούνται περί τις 60-70 ελληνικών συμφερόντων εταιρείες</w:t>
      </w:r>
      <w:r w:rsidR="001726C8" w:rsidRPr="00466073">
        <w:rPr>
          <w:rFonts w:asciiTheme="minorHAnsi" w:hAnsiTheme="minorHAnsi" w:cstheme="minorHAnsi"/>
          <w:color w:val="000000" w:themeColor="text1"/>
          <w:lang w:val="el-GR"/>
        </w:rPr>
        <w:t xml:space="preserve"> (μικτές και αμιγώς ελληνικές)</w:t>
      </w:r>
      <w:r w:rsidRPr="00466073">
        <w:rPr>
          <w:rFonts w:asciiTheme="minorHAnsi" w:hAnsiTheme="minorHAnsi" w:cstheme="minorHAnsi"/>
          <w:color w:val="000000" w:themeColor="text1"/>
          <w:lang w:val="el-GR"/>
        </w:rPr>
        <w:t>, κυρίως στο</w:t>
      </w:r>
      <w:r w:rsidR="00A64023" w:rsidRPr="00466073">
        <w:rPr>
          <w:rFonts w:asciiTheme="minorHAnsi" w:hAnsiTheme="minorHAnsi" w:cstheme="minorHAnsi"/>
          <w:color w:val="000000" w:themeColor="text1"/>
          <w:lang w:val="el-GR"/>
        </w:rPr>
        <w:t>υς</w:t>
      </w:r>
      <w:r w:rsidRPr="00466073">
        <w:rPr>
          <w:rFonts w:asciiTheme="minorHAnsi" w:hAnsiTheme="minorHAnsi" w:cstheme="minorHAnsi"/>
          <w:color w:val="000000" w:themeColor="text1"/>
          <w:lang w:val="el-GR"/>
        </w:rPr>
        <w:t xml:space="preserve"> τομ</w:t>
      </w:r>
      <w:r w:rsidR="00A64023" w:rsidRPr="00466073">
        <w:rPr>
          <w:rFonts w:asciiTheme="minorHAnsi" w:hAnsiTheme="minorHAnsi" w:cstheme="minorHAnsi"/>
          <w:color w:val="000000" w:themeColor="text1"/>
          <w:lang w:val="el-GR"/>
        </w:rPr>
        <w:t>είς</w:t>
      </w:r>
      <w:r w:rsidR="002A023C" w:rsidRPr="00466073">
        <w:rPr>
          <w:rFonts w:asciiTheme="minorHAnsi" w:hAnsiTheme="minorHAnsi" w:cstheme="minorHAnsi"/>
          <w:color w:val="000000" w:themeColor="text1"/>
          <w:lang w:val="el-GR"/>
        </w:rPr>
        <w:t xml:space="preserve"> του τουρισμού (πρακτορεία</w:t>
      </w:r>
      <w:r w:rsidRPr="00466073">
        <w:rPr>
          <w:rFonts w:asciiTheme="minorHAnsi" w:hAnsiTheme="minorHAnsi" w:cstheme="minorHAnsi"/>
          <w:color w:val="000000" w:themeColor="text1"/>
          <w:lang w:val="el-GR"/>
        </w:rPr>
        <w:t xml:space="preserve">) και του </w:t>
      </w:r>
      <w:r w:rsidR="001726C8" w:rsidRPr="00466073">
        <w:rPr>
          <w:rFonts w:asciiTheme="minorHAnsi" w:hAnsiTheme="minorHAnsi" w:cstheme="minorHAnsi"/>
          <w:color w:val="000000" w:themeColor="text1"/>
          <w:lang w:val="el-GR"/>
        </w:rPr>
        <w:t>εμπορίου (εισαγωγή</w:t>
      </w:r>
      <w:r w:rsidRPr="00466073">
        <w:rPr>
          <w:rFonts w:asciiTheme="minorHAnsi" w:hAnsiTheme="minorHAnsi" w:cstheme="minorHAnsi"/>
          <w:color w:val="000000" w:themeColor="text1"/>
          <w:lang w:val="el-GR"/>
        </w:rPr>
        <w:t xml:space="preserve">ς ειδών διατροφής/ποτών), </w:t>
      </w:r>
      <w:r w:rsidR="00A64023" w:rsidRPr="00466073">
        <w:rPr>
          <w:rFonts w:asciiTheme="minorHAnsi" w:hAnsiTheme="minorHAnsi" w:cstheme="minorHAnsi"/>
          <w:color w:val="000000" w:themeColor="text1"/>
          <w:lang w:val="el-GR"/>
        </w:rPr>
        <w:t>καθώς επίσης και στους</w:t>
      </w:r>
      <w:r w:rsidRPr="00466073">
        <w:rPr>
          <w:rFonts w:asciiTheme="minorHAnsi" w:hAnsiTheme="minorHAnsi" w:cstheme="minorHAnsi"/>
          <w:color w:val="000000" w:themeColor="text1"/>
          <w:lang w:val="el-GR"/>
        </w:rPr>
        <w:t xml:space="preserve"> τομείς βιομηχανίας, μεταφορών και παροχής υπηρεσιών. Εκτιμάται ότι το σύνολο του ελληνικού επενδυμένου κεφαλαίου κυμαίνεται περί </w:t>
      </w:r>
      <w:r w:rsidR="00C760A3" w:rsidRPr="00466073">
        <w:rPr>
          <w:rFonts w:asciiTheme="minorHAnsi" w:hAnsiTheme="minorHAnsi" w:cstheme="minorHAnsi"/>
          <w:color w:val="000000" w:themeColor="text1"/>
          <w:lang w:val="el-GR"/>
        </w:rPr>
        <w:t>τα $</w:t>
      </w:r>
      <w:r w:rsidR="002A023C" w:rsidRPr="00466073">
        <w:rPr>
          <w:rFonts w:asciiTheme="minorHAnsi" w:hAnsiTheme="minorHAnsi" w:cstheme="minorHAnsi"/>
          <w:color w:val="000000" w:themeColor="text1"/>
          <w:lang w:val="el-GR"/>
        </w:rPr>
        <w:t>41</w:t>
      </w:r>
      <w:r w:rsidRPr="00466073">
        <w:rPr>
          <w:rFonts w:asciiTheme="minorHAnsi" w:hAnsiTheme="minorHAnsi" w:cstheme="minorHAnsi"/>
          <w:color w:val="000000" w:themeColor="text1"/>
          <w:lang w:val="el-GR"/>
        </w:rPr>
        <w:t xml:space="preserve">0 εκ. Μεταξύ των </w:t>
      </w:r>
      <w:r w:rsidR="00666FFA" w:rsidRPr="00466073">
        <w:rPr>
          <w:rFonts w:asciiTheme="minorHAnsi" w:hAnsiTheme="minorHAnsi" w:cstheme="minorHAnsi"/>
          <w:color w:val="000000" w:themeColor="text1"/>
          <w:lang w:val="el-GR"/>
        </w:rPr>
        <w:t>σημαντικότερων</w:t>
      </w:r>
      <w:r w:rsidRPr="00466073">
        <w:rPr>
          <w:rFonts w:asciiTheme="minorHAnsi" w:hAnsiTheme="minorHAnsi" w:cstheme="minorHAnsi"/>
          <w:color w:val="000000" w:themeColor="text1"/>
          <w:lang w:val="el-GR"/>
        </w:rPr>
        <w:t xml:space="preserve"> ελληνικών επενδύσεων στην Ουγγαρία είναι αυτή της «</w:t>
      </w:r>
      <w:proofErr w:type="spellStart"/>
      <w:r w:rsidRPr="00466073">
        <w:rPr>
          <w:rFonts w:asciiTheme="minorHAnsi" w:hAnsiTheme="minorHAnsi" w:cstheme="minorHAnsi"/>
          <w:color w:val="000000" w:themeColor="text1"/>
          <w:lang w:val="el-GR"/>
        </w:rPr>
        <w:t>Coca</w:t>
      </w:r>
      <w:proofErr w:type="spellEnd"/>
      <w:r w:rsidRPr="00466073">
        <w:rPr>
          <w:rFonts w:asciiTheme="minorHAnsi" w:hAnsiTheme="minorHAnsi" w:cstheme="minorHAnsi"/>
          <w:color w:val="000000" w:themeColor="text1"/>
          <w:lang w:val="el-GR"/>
        </w:rPr>
        <w:t xml:space="preserve"> </w:t>
      </w:r>
      <w:proofErr w:type="spellStart"/>
      <w:r w:rsidRPr="00466073">
        <w:rPr>
          <w:rFonts w:asciiTheme="minorHAnsi" w:hAnsiTheme="minorHAnsi" w:cstheme="minorHAnsi"/>
          <w:color w:val="000000" w:themeColor="text1"/>
          <w:lang w:val="el-GR"/>
        </w:rPr>
        <w:t>Cola</w:t>
      </w:r>
      <w:proofErr w:type="spellEnd"/>
      <w:r w:rsidRPr="00466073">
        <w:rPr>
          <w:rFonts w:asciiTheme="minorHAnsi" w:hAnsiTheme="minorHAnsi" w:cstheme="minorHAnsi"/>
          <w:color w:val="000000" w:themeColor="text1"/>
          <w:lang w:val="el-GR"/>
        </w:rPr>
        <w:t xml:space="preserve"> </w:t>
      </w:r>
      <w:r w:rsidR="00A64023" w:rsidRPr="00466073">
        <w:rPr>
          <w:rFonts w:asciiTheme="minorHAnsi" w:hAnsiTheme="minorHAnsi" w:cstheme="minorHAnsi"/>
          <w:color w:val="000000" w:themeColor="text1"/>
        </w:rPr>
        <w:t>Hellenic</w:t>
      </w:r>
      <w:r w:rsidR="00A64023" w:rsidRPr="00466073">
        <w:rPr>
          <w:rFonts w:asciiTheme="minorHAnsi" w:hAnsiTheme="minorHAnsi" w:cstheme="minorHAnsi"/>
          <w:color w:val="000000" w:themeColor="text1"/>
          <w:lang w:val="el-GR"/>
        </w:rPr>
        <w:t xml:space="preserve"> </w:t>
      </w:r>
      <w:r w:rsidR="00A64023" w:rsidRPr="00466073">
        <w:rPr>
          <w:rFonts w:asciiTheme="minorHAnsi" w:hAnsiTheme="minorHAnsi" w:cstheme="minorHAnsi"/>
          <w:color w:val="000000" w:themeColor="text1"/>
        </w:rPr>
        <w:t>Bottling</w:t>
      </w:r>
      <w:r w:rsidR="00A64023" w:rsidRPr="00466073">
        <w:rPr>
          <w:rFonts w:asciiTheme="minorHAnsi" w:hAnsiTheme="minorHAnsi" w:cstheme="minorHAnsi"/>
          <w:color w:val="000000" w:themeColor="text1"/>
          <w:lang w:val="el-GR"/>
        </w:rPr>
        <w:t xml:space="preserve"> </w:t>
      </w:r>
      <w:r w:rsidR="00A64023" w:rsidRPr="00466073">
        <w:rPr>
          <w:rFonts w:asciiTheme="minorHAnsi" w:hAnsiTheme="minorHAnsi" w:cstheme="minorHAnsi"/>
          <w:color w:val="000000" w:themeColor="text1"/>
        </w:rPr>
        <w:t>Company</w:t>
      </w:r>
      <w:r w:rsidR="00A64023" w:rsidRPr="00466073">
        <w:rPr>
          <w:rFonts w:asciiTheme="minorHAnsi" w:hAnsiTheme="minorHAnsi" w:cstheme="minorHAnsi"/>
          <w:color w:val="000000" w:themeColor="text1"/>
          <w:lang w:val="el-GR"/>
        </w:rPr>
        <w:t xml:space="preserve"> </w:t>
      </w:r>
      <w:r w:rsidR="00A64023" w:rsidRPr="00466073">
        <w:rPr>
          <w:rFonts w:asciiTheme="minorHAnsi" w:hAnsiTheme="minorHAnsi" w:cstheme="minorHAnsi"/>
          <w:color w:val="000000" w:themeColor="text1"/>
        </w:rPr>
        <w:t>AG</w:t>
      </w:r>
      <w:r w:rsidRPr="00466073">
        <w:rPr>
          <w:rFonts w:asciiTheme="minorHAnsi" w:hAnsiTheme="minorHAnsi" w:cstheme="minorHAnsi"/>
          <w:color w:val="000000" w:themeColor="text1"/>
          <w:lang w:val="el-GR"/>
        </w:rPr>
        <w:t>»</w:t>
      </w:r>
      <w:r w:rsidR="00A64023" w:rsidRPr="00466073">
        <w:rPr>
          <w:rFonts w:asciiTheme="minorHAnsi" w:hAnsiTheme="minorHAnsi" w:cstheme="minorHAnsi"/>
          <w:color w:val="000000" w:themeColor="text1"/>
          <w:lang w:val="el-GR"/>
        </w:rPr>
        <w:t>.</w:t>
      </w:r>
    </w:p>
    <w:p w:rsidR="00276A1B" w:rsidRPr="00466073" w:rsidRDefault="008143CE" w:rsidP="008143CE">
      <w:pPr>
        <w:widowControl w:val="0"/>
        <w:overflowPunct w:val="0"/>
        <w:autoSpaceDE w:val="0"/>
        <w:autoSpaceDN w:val="0"/>
        <w:adjustRightInd w:val="0"/>
        <w:spacing w:line="231" w:lineRule="auto"/>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Το 2017 η «</w:t>
      </w:r>
      <w:proofErr w:type="spellStart"/>
      <w:r w:rsidRPr="00466073">
        <w:rPr>
          <w:rFonts w:asciiTheme="minorHAnsi" w:hAnsiTheme="minorHAnsi" w:cstheme="minorHAnsi"/>
          <w:color w:val="000000" w:themeColor="text1"/>
          <w:lang w:val="el-GR"/>
        </w:rPr>
        <w:t>Coca</w:t>
      </w:r>
      <w:proofErr w:type="spellEnd"/>
      <w:r w:rsidRPr="00466073">
        <w:rPr>
          <w:rFonts w:asciiTheme="minorHAnsi" w:hAnsiTheme="minorHAnsi" w:cstheme="minorHAnsi"/>
          <w:color w:val="000000" w:themeColor="text1"/>
          <w:lang w:val="el-GR"/>
        </w:rPr>
        <w:t>-</w:t>
      </w:r>
      <w:proofErr w:type="spellStart"/>
      <w:r w:rsidRPr="00466073">
        <w:rPr>
          <w:rFonts w:asciiTheme="minorHAnsi" w:hAnsiTheme="minorHAnsi" w:cstheme="minorHAnsi"/>
          <w:color w:val="000000" w:themeColor="text1"/>
          <w:lang w:val="el-GR"/>
        </w:rPr>
        <w:t>Cola</w:t>
      </w:r>
      <w:proofErr w:type="spellEnd"/>
      <w:r w:rsidRPr="00466073">
        <w:rPr>
          <w:rFonts w:asciiTheme="minorHAnsi" w:hAnsiTheme="minorHAnsi" w:cstheme="minorHAnsi"/>
          <w:color w:val="000000" w:themeColor="text1"/>
          <w:lang w:val="el-GR"/>
        </w:rPr>
        <w:t xml:space="preserve"> HBC </w:t>
      </w:r>
      <w:proofErr w:type="spellStart"/>
      <w:r w:rsidRPr="00466073">
        <w:rPr>
          <w:rFonts w:asciiTheme="minorHAnsi" w:hAnsiTheme="minorHAnsi" w:cstheme="minorHAnsi"/>
          <w:color w:val="000000" w:themeColor="text1"/>
          <w:lang w:val="el-GR"/>
        </w:rPr>
        <w:t>Hungary</w:t>
      </w:r>
      <w:proofErr w:type="spellEnd"/>
      <w:r w:rsidRPr="00466073">
        <w:rPr>
          <w:rFonts w:asciiTheme="minorHAnsi" w:hAnsiTheme="minorHAnsi" w:cstheme="minorHAnsi"/>
          <w:color w:val="000000" w:themeColor="text1"/>
          <w:lang w:val="el-GR"/>
        </w:rPr>
        <w:t xml:space="preserve">» προχώρησε σε νέα επένδυση ύψους €6,5 εκ., με επέκταση των αποθηκευτικών της χώρων που τώρα καταλαμβάνουν έκταση 6.500 </w:t>
      </w:r>
      <w:proofErr w:type="spellStart"/>
      <w:r w:rsidRPr="00466073">
        <w:rPr>
          <w:rFonts w:asciiTheme="minorHAnsi" w:hAnsiTheme="minorHAnsi" w:cstheme="minorHAnsi"/>
          <w:color w:val="000000" w:themeColor="text1"/>
          <w:lang w:val="el-GR"/>
        </w:rPr>
        <w:t>τ.μ</w:t>
      </w:r>
      <w:proofErr w:type="spellEnd"/>
      <w:r w:rsidRPr="00466073">
        <w:rPr>
          <w:rFonts w:asciiTheme="minorHAnsi" w:hAnsiTheme="minorHAnsi" w:cstheme="minorHAnsi"/>
          <w:color w:val="000000" w:themeColor="text1"/>
          <w:lang w:val="el-GR"/>
        </w:rPr>
        <w:t>. και δίνουν στην εταιρεία τη δυνατότητα αποθήκευσης 12.000 παλετών και 8,4 εκ. λίτρων αναψυκτικών. Η</w:t>
      </w:r>
      <w:r w:rsidR="00C24390" w:rsidRPr="00466073">
        <w:rPr>
          <w:rFonts w:asciiTheme="minorHAnsi" w:hAnsiTheme="minorHAnsi" w:cstheme="minorHAnsi"/>
          <w:color w:val="000000" w:themeColor="text1"/>
          <w:lang w:val="el-GR"/>
        </w:rPr>
        <w:t xml:space="preserve"> εταιρεία που λειτουργεί ήδη για μια 20ετία στην Ουγγαρία, εξάγει προϊόντα της σε 25 ευρωπαϊκές χώρες, ενώ ο τζίρος της τα τελευταία 5 έτη έχει αυξηθεί κατά €65 εκ., αγγίζοντας σχεδόν τα €350 εκ. το 2016. Το συνολικά επενδυμένο κεφάλαιο της εταιρείας στην Ουγγαρία αγγίζει τα €380 εκ. Η «</w:t>
      </w:r>
      <w:proofErr w:type="spellStart"/>
      <w:r w:rsidR="00C24390" w:rsidRPr="00466073">
        <w:rPr>
          <w:rFonts w:asciiTheme="minorHAnsi" w:hAnsiTheme="minorHAnsi" w:cstheme="minorHAnsi"/>
          <w:color w:val="000000" w:themeColor="text1"/>
          <w:lang w:val="el-GR"/>
        </w:rPr>
        <w:t>Coca</w:t>
      </w:r>
      <w:proofErr w:type="spellEnd"/>
      <w:r w:rsidR="00C24390" w:rsidRPr="00466073">
        <w:rPr>
          <w:rFonts w:asciiTheme="minorHAnsi" w:hAnsiTheme="minorHAnsi" w:cstheme="minorHAnsi"/>
          <w:color w:val="000000" w:themeColor="text1"/>
          <w:lang w:val="el-GR"/>
        </w:rPr>
        <w:t>-</w:t>
      </w:r>
      <w:proofErr w:type="spellStart"/>
      <w:r w:rsidR="00C24390" w:rsidRPr="00466073">
        <w:rPr>
          <w:rFonts w:asciiTheme="minorHAnsi" w:hAnsiTheme="minorHAnsi" w:cstheme="minorHAnsi"/>
          <w:color w:val="000000" w:themeColor="text1"/>
          <w:lang w:val="el-GR"/>
        </w:rPr>
        <w:t>Cola</w:t>
      </w:r>
      <w:proofErr w:type="spellEnd"/>
      <w:r w:rsidR="00C24390" w:rsidRPr="00466073">
        <w:rPr>
          <w:rFonts w:asciiTheme="minorHAnsi" w:hAnsiTheme="minorHAnsi" w:cstheme="minorHAnsi"/>
          <w:color w:val="000000" w:themeColor="text1"/>
          <w:lang w:val="el-GR"/>
        </w:rPr>
        <w:t xml:space="preserve"> HBC </w:t>
      </w:r>
      <w:proofErr w:type="spellStart"/>
      <w:r w:rsidR="00C24390" w:rsidRPr="00466073">
        <w:rPr>
          <w:rFonts w:asciiTheme="minorHAnsi" w:hAnsiTheme="minorHAnsi" w:cstheme="minorHAnsi"/>
          <w:color w:val="000000" w:themeColor="text1"/>
          <w:lang w:val="el-GR"/>
        </w:rPr>
        <w:t>Hungary</w:t>
      </w:r>
      <w:proofErr w:type="spellEnd"/>
      <w:r w:rsidR="00C24390" w:rsidRPr="00466073">
        <w:rPr>
          <w:rFonts w:asciiTheme="minorHAnsi" w:hAnsiTheme="minorHAnsi" w:cstheme="minorHAnsi"/>
          <w:color w:val="000000" w:themeColor="text1"/>
          <w:lang w:val="el-GR"/>
        </w:rPr>
        <w:t>» συγκαταλέγεται μεταξύ των πέντε μεγαλύτερων εταιρειών τρ</w:t>
      </w:r>
      <w:r w:rsidRPr="00466073">
        <w:rPr>
          <w:rFonts w:asciiTheme="minorHAnsi" w:hAnsiTheme="minorHAnsi" w:cstheme="minorHAnsi"/>
          <w:color w:val="000000" w:themeColor="text1"/>
          <w:lang w:val="el-GR"/>
        </w:rPr>
        <w:t xml:space="preserve">οφίμων και ποτών στην Ουγγαρία και </w:t>
      </w:r>
      <w:r w:rsidR="00276A1B" w:rsidRPr="00466073">
        <w:rPr>
          <w:rFonts w:asciiTheme="minorHAnsi" w:hAnsiTheme="minorHAnsi" w:cstheme="minorHAnsi"/>
          <w:color w:val="000000" w:themeColor="text1"/>
          <w:lang w:val="el-GR"/>
        </w:rPr>
        <w:t>ήταν η πρώτη ξένη εταιρεία που υπέγραψε «Στρατηγική Συμφωνία» με την Ουγγρική Κυβέρνηση</w:t>
      </w:r>
      <w:r w:rsidRPr="00466073">
        <w:rPr>
          <w:rFonts w:asciiTheme="minorHAnsi" w:hAnsiTheme="minorHAnsi" w:cstheme="minorHAnsi"/>
          <w:color w:val="000000" w:themeColor="text1"/>
          <w:lang w:val="el-GR"/>
        </w:rPr>
        <w:t xml:space="preserve"> το 2012.</w:t>
      </w:r>
      <w:r w:rsidR="00276A1B" w:rsidRPr="00466073">
        <w:rPr>
          <w:rFonts w:asciiTheme="minorHAnsi" w:hAnsiTheme="minorHAnsi" w:cstheme="minorHAnsi"/>
          <w:color w:val="000000" w:themeColor="text1"/>
          <w:lang w:val="el-GR"/>
        </w:rPr>
        <w:t xml:space="preserve"> </w:t>
      </w:r>
    </w:p>
    <w:p w:rsidR="00A34134" w:rsidRPr="00466073" w:rsidRDefault="00A34134" w:rsidP="00A34134">
      <w:pPr>
        <w:widowControl w:val="0"/>
        <w:overflowPunct w:val="0"/>
        <w:autoSpaceDE w:val="0"/>
        <w:autoSpaceDN w:val="0"/>
        <w:adjustRightInd w:val="0"/>
        <w:spacing w:line="231" w:lineRule="auto"/>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Η εταιρεία χημικών </w:t>
      </w:r>
      <w:proofErr w:type="spellStart"/>
      <w:r w:rsidRPr="00466073">
        <w:rPr>
          <w:rFonts w:asciiTheme="minorHAnsi" w:hAnsiTheme="minorHAnsi" w:cstheme="minorHAnsi"/>
          <w:color w:val="000000" w:themeColor="text1"/>
          <w:lang w:val="el-GR"/>
        </w:rPr>
        <w:t>Kapachim</w:t>
      </w:r>
      <w:proofErr w:type="spellEnd"/>
      <w:r w:rsidRPr="00466073">
        <w:rPr>
          <w:rFonts w:asciiTheme="minorHAnsi" w:hAnsiTheme="minorHAnsi" w:cstheme="minorHAnsi"/>
          <w:color w:val="000000" w:themeColor="text1"/>
          <w:lang w:val="el-GR"/>
        </w:rPr>
        <w:t xml:space="preserve"> A.E.. η οποία παράγει πρώτες ύλες για παραγωγούς απορρυπαντικών και καλλυντικών, και η οποία προμηθεύει τις αγορές της Ουγγαρίας, της  Τσεχίας, της Σλοβακίας, της Σερβίας και της Ρουμανίας, </w:t>
      </w:r>
      <w:r w:rsidR="00C42FDC" w:rsidRPr="00466073">
        <w:rPr>
          <w:rFonts w:asciiTheme="minorHAnsi" w:hAnsiTheme="minorHAnsi" w:cstheme="minorHAnsi"/>
          <w:color w:val="000000" w:themeColor="text1"/>
          <w:lang w:val="el-GR"/>
        </w:rPr>
        <w:t>επενδύει στην κατασκευή</w:t>
      </w:r>
      <w:r w:rsidRPr="00466073">
        <w:rPr>
          <w:rFonts w:asciiTheme="minorHAnsi" w:hAnsiTheme="minorHAnsi" w:cstheme="minorHAnsi"/>
          <w:color w:val="000000" w:themeColor="text1"/>
          <w:lang w:val="el-GR"/>
        </w:rPr>
        <w:t xml:space="preserve"> μονάδα</w:t>
      </w:r>
      <w:r w:rsidR="00C42FDC" w:rsidRPr="00466073">
        <w:rPr>
          <w:rFonts w:asciiTheme="minorHAnsi" w:hAnsiTheme="minorHAnsi" w:cstheme="minorHAnsi"/>
          <w:color w:val="000000" w:themeColor="text1"/>
          <w:lang w:val="el-GR"/>
        </w:rPr>
        <w:t>ς</w:t>
      </w:r>
      <w:r w:rsidRPr="00466073">
        <w:rPr>
          <w:rFonts w:asciiTheme="minorHAnsi" w:hAnsiTheme="minorHAnsi" w:cstheme="minorHAnsi"/>
          <w:color w:val="000000" w:themeColor="text1"/>
          <w:lang w:val="el-GR"/>
        </w:rPr>
        <w:t xml:space="preserve"> παραγωγής στην Ουγγαρία. Ο μέσος χρόνος απόσβεσης της επένδυσης υπολογίζεται στα 5 έτη. Το ύψος της επένδυσης ανέρχεται στα €16 </w:t>
      </w:r>
      <w:r w:rsidRPr="00466073">
        <w:rPr>
          <w:rFonts w:asciiTheme="minorHAnsi" w:hAnsiTheme="minorHAnsi" w:cstheme="minorHAnsi"/>
          <w:color w:val="000000" w:themeColor="text1"/>
          <w:lang w:val="el-GR"/>
        </w:rPr>
        <w:lastRenderedPageBreak/>
        <w:t xml:space="preserve">εκ., ο αριθμός του απασχολούμενου προσωπικού στην α’ φάση της επένδυσης υπολογίζεται στα 25 άτομα, ενώ με την έναρξη της παραγωγής στα  50 άτομα, με κύκλο εργασιών περί τα €100 εκ. </w:t>
      </w:r>
    </w:p>
    <w:p w:rsidR="004D526B" w:rsidRPr="00466073" w:rsidRDefault="004D526B" w:rsidP="002A023C">
      <w:pPr>
        <w:pStyle w:val="Heading2"/>
        <w:shd w:val="clear" w:color="auto" w:fill="FFFFFF"/>
        <w:spacing w:before="0"/>
        <w:rPr>
          <w:rFonts w:asciiTheme="minorHAnsi" w:hAnsiTheme="minorHAnsi" w:cstheme="minorHAnsi"/>
          <w:b w:val="0"/>
          <w:bCs w:val="0"/>
          <w:color w:val="000000" w:themeColor="text1"/>
          <w:sz w:val="24"/>
          <w:szCs w:val="24"/>
          <w:lang w:val="el-GR"/>
        </w:rPr>
      </w:pPr>
      <w:r w:rsidRPr="00466073">
        <w:rPr>
          <w:rFonts w:asciiTheme="minorHAnsi" w:hAnsiTheme="minorHAnsi" w:cstheme="minorHAnsi"/>
          <w:b w:val="0"/>
          <w:color w:val="000000" w:themeColor="text1"/>
          <w:sz w:val="24"/>
          <w:szCs w:val="24"/>
          <w:lang w:val="el-GR"/>
        </w:rPr>
        <w:t>Υπάρ</w:t>
      </w:r>
      <w:r w:rsidR="002A023C" w:rsidRPr="00466073">
        <w:rPr>
          <w:rFonts w:asciiTheme="minorHAnsi" w:hAnsiTheme="minorHAnsi" w:cstheme="minorHAnsi"/>
          <w:b w:val="0"/>
          <w:color w:val="000000" w:themeColor="text1"/>
          <w:sz w:val="24"/>
          <w:szCs w:val="24"/>
          <w:lang w:val="el-GR"/>
        </w:rPr>
        <w:t>χουν επίσης: η «</w:t>
      </w:r>
      <w:r w:rsidR="002A023C" w:rsidRPr="00466073">
        <w:rPr>
          <w:rFonts w:asciiTheme="minorHAnsi" w:hAnsiTheme="minorHAnsi" w:cstheme="minorHAnsi"/>
          <w:b w:val="0"/>
          <w:bCs w:val="0"/>
          <w:color w:val="000000" w:themeColor="text1"/>
          <w:sz w:val="24"/>
          <w:szCs w:val="24"/>
        </w:rPr>
        <w:t>BR</w:t>
      </w:r>
      <w:r w:rsidR="002A023C" w:rsidRPr="00466073">
        <w:rPr>
          <w:rFonts w:asciiTheme="minorHAnsi" w:hAnsiTheme="minorHAnsi" w:cstheme="minorHAnsi"/>
          <w:b w:val="0"/>
          <w:bCs w:val="0"/>
          <w:color w:val="000000" w:themeColor="text1"/>
          <w:sz w:val="24"/>
          <w:szCs w:val="24"/>
          <w:lang w:val="el-GR"/>
        </w:rPr>
        <w:t>.</w:t>
      </w:r>
      <w:r w:rsidR="002A023C" w:rsidRPr="00466073">
        <w:rPr>
          <w:rFonts w:asciiTheme="minorHAnsi" w:hAnsiTheme="minorHAnsi" w:cstheme="minorHAnsi"/>
          <w:b w:val="0"/>
          <w:bCs w:val="0"/>
          <w:color w:val="000000" w:themeColor="text1"/>
          <w:sz w:val="24"/>
          <w:szCs w:val="24"/>
        </w:rPr>
        <w:t>AL</w:t>
      </w:r>
      <w:r w:rsidR="002A023C" w:rsidRPr="00466073">
        <w:rPr>
          <w:rFonts w:asciiTheme="minorHAnsi" w:hAnsiTheme="minorHAnsi" w:cstheme="minorHAnsi"/>
          <w:b w:val="0"/>
          <w:bCs w:val="0"/>
          <w:color w:val="000000" w:themeColor="text1"/>
          <w:sz w:val="24"/>
          <w:szCs w:val="24"/>
          <w:lang w:val="el-GR"/>
        </w:rPr>
        <w:t>.</w:t>
      </w:r>
      <w:r w:rsidR="002A023C" w:rsidRPr="00466073">
        <w:rPr>
          <w:rFonts w:asciiTheme="minorHAnsi" w:hAnsiTheme="minorHAnsi" w:cstheme="minorHAnsi"/>
          <w:b w:val="0"/>
          <w:bCs w:val="0"/>
          <w:color w:val="000000" w:themeColor="text1"/>
          <w:sz w:val="24"/>
          <w:szCs w:val="24"/>
        </w:rPr>
        <w:t>CO</w:t>
      </w:r>
      <w:r w:rsidR="00D71F7D" w:rsidRPr="00466073">
        <w:rPr>
          <w:rFonts w:asciiTheme="minorHAnsi" w:hAnsiTheme="minorHAnsi" w:cstheme="minorHAnsi"/>
          <w:b w:val="0"/>
          <w:bCs w:val="0"/>
          <w:color w:val="000000" w:themeColor="text1"/>
          <w:sz w:val="24"/>
          <w:szCs w:val="24"/>
          <w:lang w:val="el-GR"/>
        </w:rPr>
        <w:t xml:space="preserve">. Α. </w:t>
      </w:r>
      <w:proofErr w:type="spellStart"/>
      <w:r w:rsidR="00D71F7D" w:rsidRPr="00466073">
        <w:rPr>
          <w:rFonts w:asciiTheme="minorHAnsi" w:hAnsiTheme="minorHAnsi" w:cstheme="minorHAnsi"/>
          <w:b w:val="0"/>
          <w:bCs w:val="0"/>
          <w:color w:val="000000" w:themeColor="text1"/>
          <w:sz w:val="24"/>
          <w:szCs w:val="24"/>
          <w:lang w:val="el-GR"/>
        </w:rPr>
        <w:t>Κουρεμένας</w:t>
      </w:r>
      <w:proofErr w:type="spellEnd"/>
      <w:r w:rsidR="00D71F7D" w:rsidRPr="00466073">
        <w:rPr>
          <w:rFonts w:asciiTheme="minorHAnsi" w:hAnsiTheme="minorHAnsi" w:cstheme="minorHAnsi"/>
          <w:b w:val="0"/>
          <w:bCs w:val="0"/>
          <w:color w:val="000000" w:themeColor="text1"/>
          <w:sz w:val="24"/>
          <w:szCs w:val="24"/>
          <w:lang w:val="el-GR"/>
        </w:rPr>
        <w:t xml:space="preserve"> </w:t>
      </w:r>
      <w:r w:rsidR="002A023C" w:rsidRPr="00466073">
        <w:rPr>
          <w:rFonts w:asciiTheme="minorHAnsi" w:hAnsiTheme="minorHAnsi" w:cstheme="minorHAnsi"/>
          <w:b w:val="0"/>
          <w:bCs w:val="0"/>
          <w:color w:val="000000" w:themeColor="text1"/>
          <w:sz w:val="24"/>
          <w:szCs w:val="24"/>
          <w:lang w:val="el-GR"/>
        </w:rPr>
        <w:t xml:space="preserve"> Α.Ε.</w:t>
      </w:r>
      <w:r w:rsidR="002A023C" w:rsidRPr="00466073">
        <w:rPr>
          <w:rFonts w:asciiTheme="minorHAnsi" w:hAnsiTheme="minorHAnsi" w:cstheme="minorHAnsi"/>
          <w:b w:val="0"/>
          <w:color w:val="000000" w:themeColor="text1"/>
          <w:sz w:val="24"/>
          <w:szCs w:val="24"/>
          <w:lang w:val="el-GR"/>
        </w:rPr>
        <w:t>»,  με επενδυτικό  κεφάλαιο περί 450 εκατ. HUF (€1,2 εκατ</w:t>
      </w:r>
      <w:r w:rsidRPr="00466073">
        <w:rPr>
          <w:rFonts w:asciiTheme="minorHAnsi" w:hAnsiTheme="minorHAnsi" w:cstheme="minorHAnsi"/>
          <w:b w:val="0"/>
          <w:color w:val="000000" w:themeColor="text1"/>
          <w:sz w:val="24"/>
          <w:szCs w:val="24"/>
          <w:lang w:val="el-GR"/>
        </w:rPr>
        <w:t xml:space="preserve">.) στον </w:t>
      </w:r>
      <w:r w:rsidR="002C6297" w:rsidRPr="00466073">
        <w:rPr>
          <w:rFonts w:asciiTheme="minorHAnsi" w:hAnsiTheme="minorHAnsi" w:cstheme="minorHAnsi"/>
          <w:b w:val="0"/>
          <w:color w:val="000000" w:themeColor="text1"/>
          <w:sz w:val="24"/>
          <w:szCs w:val="24"/>
          <w:lang w:val="el-GR"/>
        </w:rPr>
        <w:t xml:space="preserve">τομέα εκχύλισης μετάλλων, </w:t>
      </w:r>
      <w:r w:rsidRPr="00466073">
        <w:rPr>
          <w:rFonts w:asciiTheme="minorHAnsi" w:hAnsiTheme="minorHAnsi" w:cstheme="minorHAnsi"/>
          <w:b w:val="0"/>
          <w:color w:val="000000" w:themeColor="text1"/>
          <w:sz w:val="24"/>
          <w:szCs w:val="24"/>
          <w:lang w:val="el-GR"/>
        </w:rPr>
        <w:t>η «</w:t>
      </w:r>
      <w:proofErr w:type="spellStart"/>
      <w:r w:rsidRPr="00466073">
        <w:rPr>
          <w:rFonts w:asciiTheme="minorHAnsi" w:hAnsiTheme="minorHAnsi" w:cstheme="minorHAnsi"/>
          <w:b w:val="0"/>
          <w:color w:val="000000" w:themeColor="text1"/>
          <w:sz w:val="24"/>
          <w:szCs w:val="24"/>
          <w:lang w:val="el-GR"/>
        </w:rPr>
        <w:t>Helkon</w:t>
      </w:r>
      <w:proofErr w:type="spellEnd"/>
      <w:r w:rsidRPr="00466073">
        <w:rPr>
          <w:rFonts w:asciiTheme="minorHAnsi" w:hAnsiTheme="minorHAnsi" w:cstheme="minorHAnsi"/>
          <w:b w:val="0"/>
          <w:color w:val="000000" w:themeColor="text1"/>
          <w:sz w:val="24"/>
          <w:szCs w:val="24"/>
          <w:lang w:val="el-GR"/>
        </w:rPr>
        <w:t xml:space="preserve"> </w:t>
      </w:r>
      <w:proofErr w:type="spellStart"/>
      <w:r w:rsidRPr="00466073">
        <w:rPr>
          <w:rFonts w:asciiTheme="minorHAnsi" w:hAnsiTheme="minorHAnsi" w:cstheme="minorHAnsi"/>
          <w:b w:val="0"/>
          <w:color w:val="000000" w:themeColor="text1"/>
          <w:sz w:val="24"/>
          <w:szCs w:val="24"/>
          <w:lang w:val="el-GR"/>
        </w:rPr>
        <w:t>Ruhaipari</w:t>
      </w:r>
      <w:proofErr w:type="spellEnd"/>
      <w:r w:rsidRPr="00466073">
        <w:rPr>
          <w:rFonts w:asciiTheme="minorHAnsi" w:hAnsiTheme="minorHAnsi" w:cstheme="minorHAnsi"/>
          <w:b w:val="0"/>
          <w:color w:val="000000" w:themeColor="text1"/>
          <w:sz w:val="24"/>
          <w:szCs w:val="24"/>
          <w:lang w:val="el-GR"/>
        </w:rPr>
        <w:t xml:space="preserve"> </w:t>
      </w:r>
      <w:proofErr w:type="spellStart"/>
      <w:r w:rsidRPr="00466073">
        <w:rPr>
          <w:rFonts w:asciiTheme="minorHAnsi" w:hAnsiTheme="minorHAnsi" w:cstheme="minorHAnsi"/>
          <w:b w:val="0"/>
          <w:color w:val="000000" w:themeColor="text1"/>
          <w:sz w:val="24"/>
          <w:szCs w:val="24"/>
          <w:lang w:val="el-GR"/>
        </w:rPr>
        <w:t>Kft</w:t>
      </w:r>
      <w:proofErr w:type="spellEnd"/>
      <w:r w:rsidRPr="00466073">
        <w:rPr>
          <w:rFonts w:asciiTheme="minorHAnsi" w:hAnsiTheme="minorHAnsi" w:cstheme="minorHAnsi"/>
          <w:b w:val="0"/>
          <w:color w:val="000000" w:themeColor="text1"/>
          <w:sz w:val="24"/>
          <w:szCs w:val="24"/>
          <w:lang w:val="el-GR"/>
        </w:rPr>
        <w:t>.» με εγγεγραμμένο κεφάλαιο 25 εκατ. HUF (€77 χιλ.)</w:t>
      </w:r>
      <w:r w:rsidR="002C6297" w:rsidRPr="00466073">
        <w:rPr>
          <w:rFonts w:asciiTheme="minorHAnsi" w:hAnsiTheme="minorHAnsi" w:cstheme="minorHAnsi"/>
          <w:b w:val="0"/>
          <w:color w:val="000000" w:themeColor="text1"/>
          <w:sz w:val="24"/>
          <w:szCs w:val="24"/>
          <w:lang w:val="el-GR"/>
        </w:rPr>
        <w:t xml:space="preserve"> στην παραγωγή ειδών ρουχισμού και ο όμιλος </w:t>
      </w:r>
      <w:proofErr w:type="spellStart"/>
      <w:r w:rsidR="002C6297" w:rsidRPr="00466073">
        <w:rPr>
          <w:rFonts w:asciiTheme="minorHAnsi" w:hAnsiTheme="minorHAnsi" w:cstheme="minorHAnsi"/>
          <w:b w:val="0"/>
          <w:color w:val="000000" w:themeColor="text1"/>
          <w:sz w:val="24"/>
          <w:szCs w:val="24"/>
          <w:lang w:val="el-GR"/>
        </w:rPr>
        <w:t>Βlue</w:t>
      </w:r>
      <w:proofErr w:type="spellEnd"/>
      <w:r w:rsidR="002C6297" w:rsidRPr="00466073">
        <w:rPr>
          <w:rFonts w:asciiTheme="minorHAnsi" w:hAnsiTheme="minorHAnsi" w:cstheme="minorHAnsi"/>
          <w:b w:val="0"/>
          <w:color w:val="000000" w:themeColor="text1"/>
          <w:sz w:val="24"/>
          <w:szCs w:val="24"/>
          <w:lang w:val="el-GR"/>
        </w:rPr>
        <w:t xml:space="preserve"> </w:t>
      </w:r>
      <w:r w:rsidR="002C6297" w:rsidRPr="00466073">
        <w:rPr>
          <w:rFonts w:asciiTheme="minorHAnsi" w:hAnsiTheme="minorHAnsi" w:cstheme="minorHAnsi"/>
          <w:b w:val="0"/>
          <w:color w:val="000000" w:themeColor="text1"/>
          <w:sz w:val="24"/>
          <w:szCs w:val="24"/>
        </w:rPr>
        <w:t>H</w:t>
      </w:r>
      <w:proofErr w:type="spellStart"/>
      <w:r w:rsidR="002C6297" w:rsidRPr="00466073">
        <w:rPr>
          <w:rFonts w:asciiTheme="minorHAnsi" w:hAnsiTheme="minorHAnsi" w:cstheme="minorHAnsi"/>
          <w:b w:val="0"/>
          <w:color w:val="000000" w:themeColor="text1"/>
          <w:sz w:val="24"/>
          <w:szCs w:val="24"/>
          <w:lang w:val="el-GR"/>
        </w:rPr>
        <w:t>ouse</w:t>
      </w:r>
      <w:proofErr w:type="spellEnd"/>
      <w:r w:rsidR="002C6297" w:rsidRPr="00466073">
        <w:rPr>
          <w:rFonts w:asciiTheme="minorHAnsi" w:hAnsiTheme="minorHAnsi" w:cstheme="minorHAnsi"/>
          <w:b w:val="0"/>
          <w:color w:val="000000" w:themeColor="text1"/>
          <w:sz w:val="24"/>
          <w:szCs w:val="24"/>
          <w:lang w:val="el-GR"/>
        </w:rPr>
        <w:t xml:space="preserve"> </w:t>
      </w:r>
      <w:r w:rsidR="002C6297" w:rsidRPr="00466073">
        <w:rPr>
          <w:rFonts w:asciiTheme="minorHAnsi" w:hAnsiTheme="minorHAnsi" w:cstheme="minorHAnsi"/>
          <w:b w:val="0"/>
          <w:color w:val="000000" w:themeColor="text1"/>
          <w:sz w:val="24"/>
          <w:szCs w:val="24"/>
        </w:rPr>
        <w:t>C</w:t>
      </w:r>
      <w:proofErr w:type="spellStart"/>
      <w:r w:rsidR="002C6297" w:rsidRPr="00466073">
        <w:rPr>
          <w:rFonts w:asciiTheme="minorHAnsi" w:hAnsiTheme="minorHAnsi" w:cstheme="minorHAnsi"/>
          <w:b w:val="0"/>
          <w:color w:val="000000" w:themeColor="text1"/>
          <w:sz w:val="24"/>
          <w:szCs w:val="24"/>
          <w:lang w:val="el-GR"/>
        </w:rPr>
        <w:t>apital</w:t>
      </w:r>
      <w:proofErr w:type="spellEnd"/>
      <w:r w:rsidR="002C6297" w:rsidRPr="00466073">
        <w:rPr>
          <w:rFonts w:asciiTheme="minorHAnsi" w:hAnsiTheme="minorHAnsi" w:cstheme="minorHAnsi"/>
          <w:b w:val="0"/>
          <w:color w:val="000000" w:themeColor="text1"/>
          <w:sz w:val="24"/>
          <w:szCs w:val="24"/>
          <w:lang w:val="el-GR"/>
        </w:rPr>
        <w:t xml:space="preserve"> στον τομέα εκμετάλλευσης ακινήτων με συμμετοχή ελληνικών κεφαλαίων. </w:t>
      </w:r>
    </w:p>
    <w:p w:rsidR="00D71F7D" w:rsidRPr="00466073" w:rsidRDefault="00D71F7D" w:rsidP="00F83330">
      <w:pPr>
        <w:widowControl w:val="0"/>
        <w:overflowPunct w:val="0"/>
        <w:autoSpaceDE w:val="0"/>
        <w:autoSpaceDN w:val="0"/>
        <w:adjustRightInd w:val="0"/>
        <w:spacing w:line="231" w:lineRule="auto"/>
        <w:jc w:val="both"/>
        <w:rPr>
          <w:rFonts w:asciiTheme="minorHAnsi" w:hAnsiTheme="minorHAnsi" w:cstheme="minorHAnsi"/>
          <w:color w:val="000000" w:themeColor="text1"/>
          <w:lang w:val="el-GR"/>
        </w:rPr>
      </w:pPr>
    </w:p>
    <w:p w:rsidR="004D526B" w:rsidRPr="00466073" w:rsidRDefault="004D526B" w:rsidP="00F83330">
      <w:pPr>
        <w:widowControl w:val="0"/>
        <w:overflowPunct w:val="0"/>
        <w:autoSpaceDE w:val="0"/>
        <w:autoSpaceDN w:val="0"/>
        <w:adjustRightInd w:val="0"/>
        <w:spacing w:line="231" w:lineRule="auto"/>
        <w:jc w:val="both"/>
        <w:rPr>
          <w:rFonts w:asciiTheme="minorHAnsi" w:hAnsiTheme="minorHAnsi" w:cstheme="minorHAnsi"/>
          <w:color w:val="000000" w:themeColor="text1"/>
          <w:lang w:val="el-GR"/>
        </w:rPr>
      </w:pPr>
      <w:r w:rsidRPr="00466073">
        <w:rPr>
          <w:rFonts w:asciiTheme="minorHAnsi" w:hAnsiTheme="minorHAnsi" w:cstheme="minorHAnsi"/>
          <w:color w:val="000000" w:themeColor="text1"/>
          <w:lang w:val="el-GR"/>
        </w:rPr>
        <w:t xml:space="preserve">Στο παρελθόν, ο Όμιλος </w:t>
      </w:r>
      <w:proofErr w:type="spellStart"/>
      <w:r w:rsidRPr="00466073">
        <w:rPr>
          <w:rFonts w:asciiTheme="minorHAnsi" w:hAnsiTheme="minorHAnsi" w:cstheme="minorHAnsi"/>
          <w:color w:val="000000" w:themeColor="text1"/>
          <w:lang w:val="el-GR"/>
        </w:rPr>
        <w:t>Ζερίτης</w:t>
      </w:r>
      <w:proofErr w:type="spellEnd"/>
      <w:r w:rsidRPr="00466073">
        <w:rPr>
          <w:rFonts w:asciiTheme="minorHAnsi" w:hAnsiTheme="minorHAnsi" w:cstheme="minorHAnsi"/>
          <w:color w:val="000000" w:themeColor="text1"/>
          <w:lang w:val="el-GR"/>
        </w:rPr>
        <w:t xml:space="preserve"> είχε τρεις επενδύσεις στην Ουγγαρία: α) χαρτοβιομηχανία </w:t>
      </w:r>
      <w:proofErr w:type="spellStart"/>
      <w:r w:rsidRPr="00466073">
        <w:rPr>
          <w:rFonts w:asciiTheme="minorHAnsi" w:hAnsiTheme="minorHAnsi" w:cstheme="minorHAnsi"/>
          <w:color w:val="000000" w:themeColor="text1"/>
          <w:lang w:val="el-GR"/>
        </w:rPr>
        <w:t>Piszkei</w:t>
      </w:r>
      <w:proofErr w:type="spellEnd"/>
      <w:r w:rsidRPr="00466073">
        <w:rPr>
          <w:rFonts w:asciiTheme="minorHAnsi" w:hAnsiTheme="minorHAnsi" w:cstheme="minorHAnsi"/>
          <w:color w:val="000000" w:themeColor="text1"/>
          <w:lang w:val="el-GR"/>
        </w:rPr>
        <w:t xml:space="preserve">, η οποία κήρυξε πτώχευση και εκκαθαρίστηκε, β) χαρτοβιομηχανία </w:t>
      </w:r>
      <w:proofErr w:type="spellStart"/>
      <w:r w:rsidRPr="00466073">
        <w:rPr>
          <w:rFonts w:asciiTheme="minorHAnsi" w:hAnsiTheme="minorHAnsi" w:cstheme="minorHAnsi"/>
          <w:color w:val="000000" w:themeColor="text1"/>
          <w:lang w:val="el-GR"/>
        </w:rPr>
        <w:t>Szentendre</w:t>
      </w:r>
      <w:proofErr w:type="spellEnd"/>
      <w:r w:rsidRPr="00466073">
        <w:rPr>
          <w:rFonts w:asciiTheme="minorHAnsi" w:hAnsiTheme="minorHAnsi" w:cstheme="minorHAnsi"/>
          <w:color w:val="000000" w:themeColor="text1"/>
          <w:lang w:val="el-GR"/>
        </w:rPr>
        <w:t>, η οποία δεν είναι πλέον σε λειτουργία, ωστόσο εκμεταλλεύεται το ακίνητο που διαθέτει και γ) εταιρεία ανακύκλωσης απορριμμάτων χάρτου «</w:t>
      </w:r>
      <w:proofErr w:type="spellStart"/>
      <w:r w:rsidRPr="00466073">
        <w:rPr>
          <w:rFonts w:asciiTheme="minorHAnsi" w:hAnsiTheme="minorHAnsi" w:cstheme="minorHAnsi"/>
          <w:color w:val="000000" w:themeColor="text1"/>
          <w:lang w:val="el-GR"/>
        </w:rPr>
        <w:t>Budafok</w:t>
      </w:r>
      <w:proofErr w:type="spellEnd"/>
      <w:r w:rsidRPr="00466073">
        <w:rPr>
          <w:rFonts w:asciiTheme="minorHAnsi" w:hAnsiTheme="minorHAnsi" w:cstheme="minorHAnsi"/>
          <w:color w:val="000000" w:themeColor="text1"/>
          <w:lang w:val="el-GR"/>
        </w:rPr>
        <w:t xml:space="preserve">» (στην ιδιοκτησία του ομίλου ανήκει ποσοστό 50,2%), με εγγεγραμμένο κεφάλαιο 203 εκ. HUF (€626 χιλ.). </w:t>
      </w:r>
      <w:r w:rsidR="002C6297" w:rsidRPr="00466073">
        <w:rPr>
          <w:rFonts w:asciiTheme="minorHAnsi" w:hAnsiTheme="minorHAnsi" w:cstheme="minorHAnsi"/>
          <w:color w:val="000000" w:themeColor="text1"/>
          <w:lang w:val="el-GR"/>
        </w:rPr>
        <w:t xml:space="preserve">Τέλος, </w:t>
      </w:r>
      <w:r w:rsidR="00E600DA" w:rsidRPr="00466073">
        <w:rPr>
          <w:rFonts w:asciiTheme="minorHAnsi" w:hAnsiTheme="minorHAnsi" w:cstheme="minorHAnsi"/>
          <w:color w:val="000000" w:themeColor="text1"/>
          <w:lang w:val="el-GR"/>
        </w:rPr>
        <w:t xml:space="preserve">θα πρέπει να σημειωθεί η διακοπή λειτουργίας των εταιρειών ελληνικών συμφερόντων,  </w:t>
      </w:r>
      <w:r w:rsidR="00E600DA" w:rsidRPr="00466073">
        <w:rPr>
          <w:rFonts w:asciiTheme="minorHAnsi" w:hAnsiTheme="minorHAnsi" w:cstheme="minorHAnsi"/>
          <w:color w:val="000000" w:themeColor="text1"/>
        </w:rPr>
        <w:t>M</w:t>
      </w:r>
      <w:r w:rsidR="00E600DA" w:rsidRPr="00466073">
        <w:rPr>
          <w:rFonts w:asciiTheme="minorHAnsi" w:hAnsiTheme="minorHAnsi" w:cstheme="minorHAnsi"/>
          <w:color w:val="000000" w:themeColor="text1"/>
          <w:lang w:val="el-GR"/>
        </w:rPr>
        <w:t>.</w:t>
      </w:r>
      <w:r w:rsidR="00E600DA" w:rsidRPr="00466073">
        <w:rPr>
          <w:rFonts w:asciiTheme="minorHAnsi" w:hAnsiTheme="minorHAnsi" w:cstheme="minorHAnsi"/>
          <w:color w:val="000000" w:themeColor="text1"/>
        </w:rPr>
        <w:t>J</w:t>
      </w:r>
      <w:r w:rsidR="00E600DA" w:rsidRPr="00466073">
        <w:rPr>
          <w:rFonts w:asciiTheme="minorHAnsi" w:hAnsiTheme="minorHAnsi" w:cstheme="minorHAnsi"/>
          <w:color w:val="000000" w:themeColor="text1"/>
          <w:lang w:val="el-GR"/>
        </w:rPr>
        <w:t xml:space="preserve">. </w:t>
      </w:r>
      <w:proofErr w:type="spellStart"/>
      <w:r w:rsidR="00E600DA" w:rsidRPr="00466073">
        <w:rPr>
          <w:rFonts w:asciiTheme="minorHAnsi" w:hAnsiTheme="minorHAnsi" w:cstheme="minorHAnsi"/>
          <w:color w:val="000000" w:themeColor="text1"/>
        </w:rPr>
        <w:t>Maillis</w:t>
      </w:r>
      <w:proofErr w:type="spellEnd"/>
      <w:r w:rsidR="00E600DA" w:rsidRPr="00466073">
        <w:rPr>
          <w:rFonts w:asciiTheme="minorHAnsi" w:hAnsiTheme="minorHAnsi" w:cstheme="minorHAnsi"/>
          <w:color w:val="000000" w:themeColor="text1"/>
          <w:lang w:val="el-GR"/>
        </w:rPr>
        <w:t xml:space="preserve"> </w:t>
      </w:r>
      <w:r w:rsidR="00E600DA" w:rsidRPr="00466073">
        <w:rPr>
          <w:rFonts w:asciiTheme="minorHAnsi" w:hAnsiTheme="minorHAnsi" w:cstheme="minorHAnsi"/>
          <w:color w:val="000000" w:themeColor="text1"/>
        </w:rPr>
        <w:t>S</w:t>
      </w:r>
      <w:r w:rsidR="00E600DA" w:rsidRPr="00466073">
        <w:rPr>
          <w:rFonts w:asciiTheme="minorHAnsi" w:hAnsiTheme="minorHAnsi" w:cstheme="minorHAnsi"/>
          <w:color w:val="000000" w:themeColor="text1"/>
          <w:lang w:val="el-GR"/>
        </w:rPr>
        <w:t>.</w:t>
      </w:r>
      <w:r w:rsidR="00E600DA" w:rsidRPr="00466073">
        <w:rPr>
          <w:rFonts w:asciiTheme="minorHAnsi" w:hAnsiTheme="minorHAnsi" w:cstheme="minorHAnsi"/>
          <w:color w:val="000000" w:themeColor="text1"/>
        </w:rPr>
        <w:t>A</w:t>
      </w:r>
      <w:r w:rsidR="00E600DA" w:rsidRPr="00466073">
        <w:rPr>
          <w:rFonts w:asciiTheme="minorHAnsi" w:hAnsiTheme="minorHAnsi" w:cstheme="minorHAnsi"/>
          <w:color w:val="000000" w:themeColor="text1"/>
          <w:lang w:val="el-GR"/>
        </w:rPr>
        <w:t xml:space="preserve">, στον τομέα παραγωγής προϊόντων συσκευασίας και του γραφείου </w:t>
      </w:r>
      <w:r w:rsidR="00D71F7D" w:rsidRPr="00466073">
        <w:rPr>
          <w:rFonts w:asciiTheme="minorHAnsi" w:hAnsiTheme="minorHAnsi" w:cstheme="minorHAnsi"/>
          <w:color w:val="000000" w:themeColor="text1"/>
          <w:lang w:val="el-GR"/>
        </w:rPr>
        <w:t xml:space="preserve">εκπροσώπησης </w:t>
      </w:r>
      <w:r w:rsidR="00E600DA" w:rsidRPr="00466073">
        <w:rPr>
          <w:rFonts w:asciiTheme="minorHAnsi" w:hAnsiTheme="minorHAnsi" w:cstheme="minorHAnsi"/>
          <w:color w:val="000000" w:themeColor="text1"/>
          <w:lang w:val="el-GR"/>
        </w:rPr>
        <w:t xml:space="preserve">της </w:t>
      </w:r>
      <w:proofErr w:type="spellStart"/>
      <w:r w:rsidR="00E600DA" w:rsidRPr="00466073">
        <w:rPr>
          <w:rFonts w:asciiTheme="minorHAnsi" w:hAnsiTheme="minorHAnsi" w:cstheme="minorHAnsi"/>
          <w:color w:val="000000" w:themeColor="text1"/>
        </w:rPr>
        <w:t>Chipita</w:t>
      </w:r>
      <w:proofErr w:type="spellEnd"/>
      <w:r w:rsidR="00E600DA" w:rsidRPr="00466073">
        <w:rPr>
          <w:rFonts w:asciiTheme="minorHAnsi" w:hAnsiTheme="minorHAnsi" w:cstheme="minorHAnsi"/>
          <w:color w:val="000000" w:themeColor="text1"/>
          <w:lang w:val="el-GR"/>
        </w:rPr>
        <w:t xml:space="preserve"> </w:t>
      </w:r>
      <w:r w:rsidR="00E600DA" w:rsidRPr="00466073">
        <w:rPr>
          <w:rFonts w:asciiTheme="minorHAnsi" w:hAnsiTheme="minorHAnsi" w:cstheme="minorHAnsi"/>
          <w:color w:val="000000" w:themeColor="text1"/>
        </w:rPr>
        <w:t>A</w:t>
      </w:r>
      <w:r w:rsidR="00E600DA" w:rsidRPr="00466073">
        <w:rPr>
          <w:rFonts w:asciiTheme="minorHAnsi" w:hAnsiTheme="minorHAnsi" w:cstheme="minorHAnsi"/>
          <w:color w:val="000000" w:themeColor="text1"/>
          <w:lang w:val="el-GR"/>
        </w:rPr>
        <w:t>.</w:t>
      </w:r>
      <w:r w:rsidR="00E600DA" w:rsidRPr="00466073">
        <w:rPr>
          <w:rFonts w:asciiTheme="minorHAnsi" w:hAnsiTheme="minorHAnsi" w:cstheme="minorHAnsi"/>
          <w:color w:val="000000" w:themeColor="text1"/>
        </w:rPr>
        <w:t>E</w:t>
      </w:r>
      <w:r w:rsidR="00E600DA" w:rsidRPr="00466073">
        <w:rPr>
          <w:rFonts w:asciiTheme="minorHAnsi" w:hAnsiTheme="minorHAnsi" w:cstheme="minorHAnsi"/>
          <w:color w:val="000000" w:themeColor="text1"/>
          <w:lang w:val="el-GR"/>
        </w:rPr>
        <w:t>.</w:t>
      </w:r>
    </w:p>
    <w:p w:rsidR="00E22BDD" w:rsidRPr="00466073" w:rsidRDefault="00E22BDD" w:rsidP="007E206E">
      <w:pPr>
        <w:spacing w:after="120"/>
        <w:rPr>
          <w:rFonts w:asciiTheme="minorHAnsi" w:hAnsiTheme="minorHAnsi" w:cstheme="minorHAnsi"/>
          <w:b/>
          <w:bCs/>
          <w:lang w:val="el-GR"/>
        </w:rPr>
      </w:pPr>
    </w:p>
    <w:p w:rsidR="00354952" w:rsidRPr="00466073" w:rsidRDefault="00354952" w:rsidP="007E206E">
      <w:pPr>
        <w:spacing w:after="120"/>
        <w:rPr>
          <w:rFonts w:asciiTheme="minorHAnsi" w:hAnsiTheme="minorHAnsi" w:cstheme="minorHAnsi"/>
          <w:b/>
          <w:bCs/>
          <w:lang w:val="el-GR"/>
        </w:rPr>
      </w:pPr>
      <w:r w:rsidRPr="00466073">
        <w:rPr>
          <w:rFonts w:asciiTheme="minorHAnsi" w:hAnsiTheme="minorHAnsi" w:cstheme="minorHAnsi"/>
          <w:b/>
          <w:bCs/>
          <w:lang w:val="el-GR"/>
        </w:rPr>
        <w:t>Δ. Τουρισμός</w:t>
      </w:r>
    </w:p>
    <w:p w:rsidR="00D71F7D" w:rsidRPr="00466073" w:rsidRDefault="00E61466" w:rsidP="001941A5">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Σημαντικό κεφάλαιο στις διμερείς εμπορικές-οικονομικές σχέσεις Ελλάδας-Ουγγαρίας, αποτελεί ο τουρισμός. Η χώρα μας, ισχυρός</w:t>
      </w:r>
      <w:r w:rsidR="007E206E" w:rsidRPr="00466073">
        <w:rPr>
          <w:rFonts w:asciiTheme="minorHAnsi" w:hAnsiTheme="minorHAnsi" w:cstheme="minorHAnsi"/>
          <w:lang w:val="el-GR"/>
        </w:rPr>
        <w:t xml:space="preserve"> διεθνής</w:t>
      </w:r>
      <w:r w:rsidRPr="00466073">
        <w:rPr>
          <w:rFonts w:asciiTheme="minorHAnsi" w:hAnsiTheme="minorHAnsi" w:cstheme="minorHAnsi"/>
          <w:lang w:val="el-GR"/>
        </w:rPr>
        <w:t xml:space="preserve"> πόλος έλξης, </w:t>
      </w:r>
      <w:r w:rsidR="007E206E" w:rsidRPr="00466073">
        <w:rPr>
          <w:rFonts w:asciiTheme="minorHAnsi" w:hAnsiTheme="minorHAnsi" w:cstheme="minorHAnsi"/>
          <w:lang w:val="el-GR"/>
        </w:rPr>
        <w:t>δέχεται ετησίως</w:t>
      </w:r>
      <w:r w:rsidRPr="00466073">
        <w:rPr>
          <w:rFonts w:asciiTheme="minorHAnsi" w:hAnsiTheme="minorHAnsi" w:cstheme="minorHAnsi"/>
          <w:lang w:val="el-GR"/>
        </w:rPr>
        <w:t xml:space="preserve"> δεκάδες χιλιάδες Ούγγρους επισκέ</w:t>
      </w:r>
      <w:r w:rsidR="001941A5" w:rsidRPr="00466073">
        <w:rPr>
          <w:rFonts w:asciiTheme="minorHAnsi" w:hAnsiTheme="minorHAnsi" w:cstheme="minorHAnsi"/>
          <w:lang w:val="el-GR"/>
        </w:rPr>
        <w:t>πτες, ο αριθμός των οποίων παρουσιάζει αυξητική τάση.</w:t>
      </w:r>
      <w:r w:rsidR="00C42FDC" w:rsidRPr="00466073">
        <w:rPr>
          <w:rFonts w:asciiTheme="minorHAnsi" w:hAnsiTheme="minorHAnsi" w:cstheme="minorHAnsi"/>
          <w:lang w:val="el-GR"/>
        </w:rPr>
        <w:t xml:space="preserve"> Σύμφωνα με στοιχεία της Κεντρικής Στατιστικής Υπηρεσίας της Ουγγαρίας, παρατηρούμε ότι από 115.000 άτομα το 2014, ο αριθμός των Ούγγρων επισκεπτών στην Ελλάδα ξεπέρασε τις 360.000 το 2019. </w:t>
      </w:r>
    </w:p>
    <w:p w:rsidR="00D71F7D" w:rsidRPr="00466073" w:rsidRDefault="00D71F7D" w:rsidP="001941A5">
      <w:pPr>
        <w:widowControl w:val="0"/>
        <w:overflowPunct w:val="0"/>
        <w:autoSpaceDE w:val="0"/>
        <w:autoSpaceDN w:val="0"/>
        <w:adjustRightInd w:val="0"/>
        <w:spacing w:line="223" w:lineRule="auto"/>
        <w:jc w:val="both"/>
        <w:rPr>
          <w:rFonts w:asciiTheme="minorHAnsi" w:hAnsiTheme="minorHAnsi" w:cstheme="minorHAnsi"/>
          <w:lang w:val="el-GR"/>
        </w:rPr>
      </w:pPr>
    </w:p>
    <w:p w:rsidR="00D71F7D" w:rsidRPr="00466073" w:rsidRDefault="00D71F7D" w:rsidP="00D71F7D">
      <w:pPr>
        <w:pStyle w:val="NormalWeb"/>
        <w:shd w:val="clear" w:color="auto" w:fill="FFFFFF"/>
        <w:spacing w:before="0" w:beforeAutospacing="0" w:after="0" w:afterAutospacing="0"/>
        <w:jc w:val="both"/>
        <w:rPr>
          <w:rFonts w:asciiTheme="minorHAnsi" w:hAnsiTheme="minorHAnsi" w:cstheme="minorHAnsi"/>
          <w:i/>
          <w:color w:val="000000"/>
          <w:lang w:val="el-GR"/>
        </w:rPr>
      </w:pPr>
      <w:r w:rsidRPr="00466073">
        <w:rPr>
          <w:rFonts w:asciiTheme="minorHAnsi" w:hAnsiTheme="minorHAnsi" w:cstheme="minorHAnsi"/>
          <w:b/>
          <w:i/>
          <w:color w:val="000000"/>
          <w:lang w:val="el-GR"/>
        </w:rPr>
        <w:t xml:space="preserve">Η Στατιστική Υπηρεσία Ουγγαρίας ανέστειλε την καταμέτρηση των τουριστικών ροών από το </w:t>
      </w:r>
      <w:proofErr w:type="spellStart"/>
      <w:r w:rsidRPr="00466073">
        <w:rPr>
          <w:rFonts w:asciiTheme="minorHAnsi" w:hAnsiTheme="minorHAnsi" w:cstheme="minorHAnsi"/>
          <w:b/>
          <w:i/>
          <w:color w:val="000000"/>
          <w:lang w:val="el-GR"/>
        </w:rPr>
        <w:t>β΄</w:t>
      </w:r>
      <w:proofErr w:type="spellEnd"/>
      <w:r w:rsidRPr="00466073">
        <w:rPr>
          <w:rFonts w:asciiTheme="minorHAnsi" w:hAnsiTheme="minorHAnsi" w:cstheme="minorHAnsi"/>
          <w:b/>
          <w:i/>
          <w:color w:val="000000"/>
          <w:lang w:val="el-GR"/>
        </w:rPr>
        <w:t xml:space="preserve"> τρίμηνο 2020</w:t>
      </w:r>
      <w:r w:rsidRPr="00466073">
        <w:rPr>
          <w:rFonts w:asciiTheme="minorHAnsi" w:hAnsiTheme="minorHAnsi" w:cstheme="minorHAnsi"/>
          <w:i/>
          <w:color w:val="000000"/>
          <w:lang w:val="el-GR"/>
        </w:rPr>
        <w:t xml:space="preserve"> </w:t>
      </w:r>
      <w:r w:rsidRPr="00466073">
        <w:rPr>
          <w:rFonts w:asciiTheme="minorHAnsi" w:hAnsiTheme="minorHAnsi" w:cstheme="minorHAnsi"/>
          <w:b/>
          <w:i/>
          <w:color w:val="000000"/>
          <w:lang w:val="el-GR"/>
        </w:rPr>
        <w:t>και μετά.</w:t>
      </w:r>
      <w:r w:rsidRPr="00466073">
        <w:rPr>
          <w:rFonts w:asciiTheme="minorHAnsi" w:hAnsiTheme="minorHAnsi" w:cstheme="minorHAnsi"/>
          <w:i/>
          <w:color w:val="000000"/>
          <w:lang w:val="el-GR"/>
        </w:rPr>
        <w:t xml:space="preserve"> Διαθέσιμα στοιχεία, υπάρχουν μόνο για το </w:t>
      </w:r>
      <w:proofErr w:type="spellStart"/>
      <w:r w:rsidRPr="00466073">
        <w:rPr>
          <w:rFonts w:asciiTheme="minorHAnsi" w:hAnsiTheme="minorHAnsi" w:cstheme="minorHAnsi"/>
          <w:i/>
          <w:color w:val="000000"/>
          <w:lang w:val="el-GR"/>
        </w:rPr>
        <w:t>α΄</w:t>
      </w:r>
      <w:proofErr w:type="spellEnd"/>
      <w:r w:rsidRPr="00466073">
        <w:rPr>
          <w:rFonts w:asciiTheme="minorHAnsi" w:hAnsiTheme="minorHAnsi" w:cstheme="minorHAnsi"/>
          <w:i/>
          <w:color w:val="000000"/>
          <w:lang w:val="el-GR"/>
        </w:rPr>
        <w:t xml:space="preserve"> τρίμηνο, αλλά και αυτά χωρίς εξειδίκευση ανά χώρα. Κατά συνέπεια, δεν υπάρχει δυνατότητα να γνωρίζουμε αν και πόσοι Ούγγροι επισκέφθηκαν τη χώρα μας το 2020. Σε κάθε περίπτωση, οι όποιες τουριστικές ροές Ούγγρων προς Ελλάδα, εντός του 2020, δεν είναι αντιπροσωπευτικές των δυνατοτήτων του τουριστικού προϊόντος που προσφέρει η χώρα μας. Συνεπώς, τα όποια στατιστικά στοιχεία και οι όποιες εκτιμήσεις, δεν προσφέρονται για αναλύσεις και ουσιώδη συμπεράσματα.  </w:t>
      </w:r>
    </w:p>
    <w:p w:rsidR="00D71F7D" w:rsidRPr="00466073" w:rsidRDefault="00D71F7D" w:rsidP="001941A5">
      <w:pPr>
        <w:widowControl w:val="0"/>
        <w:overflowPunct w:val="0"/>
        <w:autoSpaceDE w:val="0"/>
        <w:autoSpaceDN w:val="0"/>
        <w:adjustRightInd w:val="0"/>
        <w:spacing w:line="223" w:lineRule="auto"/>
        <w:jc w:val="both"/>
        <w:rPr>
          <w:rFonts w:asciiTheme="minorHAnsi" w:hAnsiTheme="minorHAnsi" w:cstheme="minorHAnsi"/>
          <w:lang w:val="el-GR"/>
        </w:rPr>
      </w:pPr>
    </w:p>
    <w:p w:rsidR="00C42FDC" w:rsidRPr="00466073" w:rsidRDefault="00C42FDC" w:rsidP="001941A5">
      <w:pPr>
        <w:widowControl w:val="0"/>
        <w:overflowPunct w:val="0"/>
        <w:autoSpaceDE w:val="0"/>
        <w:autoSpaceDN w:val="0"/>
        <w:adjustRightInd w:val="0"/>
        <w:spacing w:line="223" w:lineRule="auto"/>
        <w:jc w:val="both"/>
        <w:rPr>
          <w:rFonts w:asciiTheme="minorHAnsi" w:hAnsiTheme="minorHAnsi" w:cstheme="minorHAnsi"/>
          <w:lang w:val="el-GR"/>
        </w:rPr>
      </w:pPr>
      <w:r w:rsidRPr="00466073">
        <w:rPr>
          <w:rFonts w:asciiTheme="minorHAnsi" w:hAnsiTheme="minorHAnsi" w:cstheme="minorHAnsi"/>
          <w:lang w:val="el-GR"/>
        </w:rPr>
        <w:t>Στον παρακάτω πίνακα εμφανίζονται οι τουριστικές ροές της Ουγγαρίας για την τελευταία πενταετία.</w:t>
      </w:r>
    </w:p>
    <w:p w:rsidR="00C42FDC" w:rsidRPr="00466073" w:rsidRDefault="00C42FDC" w:rsidP="00C42FDC">
      <w:pPr>
        <w:jc w:val="center"/>
        <w:rPr>
          <w:rFonts w:asciiTheme="minorHAnsi" w:hAnsiTheme="minorHAnsi" w:cstheme="minorHAnsi"/>
          <w:b/>
          <w:color w:val="000000"/>
          <w:u w:val="single"/>
        </w:rPr>
      </w:pPr>
      <w:proofErr w:type="spellStart"/>
      <w:r w:rsidRPr="00466073">
        <w:rPr>
          <w:rFonts w:asciiTheme="minorHAnsi" w:hAnsiTheme="minorHAnsi" w:cstheme="minorHAnsi"/>
          <w:b/>
          <w:color w:val="000000"/>
          <w:u w:val="single"/>
        </w:rPr>
        <w:t>Πίνακας</w:t>
      </w:r>
      <w:proofErr w:type="spellEnd"/>
      <w:r w:rsidRPr="00466073">
        <w:rPr>
          <w:rFonts w:asciiTheme="minorHAnsi" w:hAnsiTheme="minorHAnsi" w:cstheme="minorHAnsi"/>
          <w:b/>
          <w:color w:val="000000"/>
          <w:u w:val="single"/>
        </w:rPr>
        <w:t xml:space="preserve"> Ι</w:t>
      </w:r>
    </w:p>
    <w:p w:rsidR="00C42FDC" w:rsidRPr="00466073" w:rsidRDefault="00C42FDC" w:rsidP="00C42FDC">
      <w:pPr>
        <w:jc w:val="center"/>
        <w:rPr>
          <w:rFonts w:asciiTheme="minorHAnsi" w:hAnsiTheme="minorHAnsi" w:cstheme="minorHAnsi"/>
          <w:color w:val="000000"/>
        </w:rPr>
      </w:pPr>
      <w:proofErr w:type="spellStart"/>
      <w:r w:rsidRPr="00466073">
        <w:rPr>
          <w:rFonts w:asciiTheme="minorHAnsi" w:hAnsiTheme="minorHAnsi" w:cstheme="minorHAnsi"/>
          <w:color w:val="000000"/>
        </w:rPr>
        <w:t>Εξερχόμενος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τουρισμός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Ουγγαρίας</w:t>
      </w:r>
      <w:proofErr w:type="spellEnd"/>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350"/>
        <w:gridCol w:w="1260"/>
        <w:gridCol w:w="1170"/>
        <w:gridCol w:w="1170"/>
        <w:gridCol w:w="1260"/>
        <w:gridCol w:w="1170"/>
      </w:tblGrid>
      <w:tr w:rsidR="00C42FDC" w:rsidRPr="00466073" w:rsidTr="00784BBF">
        <w:tc>
          <w:tcPr>
            <w:tcW w:w="2358" w:type="dxa"/>
          </w:tcPr>
          <w:p w:rsidR="00C42FDC" w:rsidRPr="00466073" w:rsidRDefault="00C42FDC" w:rsidP="00784BBF">
            <w:pPr>
              <w:jc w:val="center"/>
              <w:rPr>
                <w:rFonts w:asciiTheme="minorHAnsi" w:hAnsiTheme="minorHAnsi" w:cstheme="minorHAnsi"/>
                <w:color w:val="000000"/>
              </w:rPr>
            </w:pPr>
            <w:r w:rsidRPr="00466073">
              <w:rPr>
                <w:rFonts w:asciiTheme="minorHAnsi" w:hAnsiTheme="minorHAnsi" w:cstheme="minorHAnsi"/>
                <w:color w:val="000000"/>
              </w:rPr>
              <w:t>(</w:t>
            </w:r>
            <w:proofErr w:type="spellStart"/>
            <w:proofErr w:type="gramStart"/>
            <w:r w:rsidRPr="00466073">
              <w:rPr>
                <w:rFonts w:asciiTheme="minorHAnsi" w:hAnsiTheme="minorHAnsi" w:cstheme="minorHAnsi"/>
                <w:color w:val="000000"/>
              </w:rPr>
              <w:t>σε</w:t>
            </w:r>
            <w:proofErr w:type="spellEnd"/>
            <w:proofErr w:type="gram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χιλ</w:t>
            </w:r>
            <w:proofErr w:type="spellEnd"/>
            <w:r w:rsidRPr="00466073">
              <w:rPr>
                <w:rFonts w:asciiTheme="minorHAnsi" w:hAnsiTheme="minorHAnsi" w:cstheme="minorHAnsi"/>
                <w:color w:val="000000"/>
              </w:rPr>
              <w:t>.)</w:t>
            </w:r>
          </w:p>
        </w:tc>
        <w:tc>
          <w:tcPr>
            <w:tcW w:w="135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2014</w:t>
            </w:r>
          </w:p>
        </w:tc>
        <w:tc>
          <w:tcPr>
            <w:tcW w:w="126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2015</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2016</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2017</w:t>
            </w:r>
          </w:p>
        </w:tc>
        <w:tc>
          <w:tcPr>
            <w:tcW w:w="126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2018</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2019</w:t>
            </w:r>
          </w:p>
        </w:tc>
      </w:tr>
      <w:tr w:rsidR="00C42FDC" w:rsidRPr="00466073" w:rsidTr="00784BBF">
        <w:tc>
          <w:tcPr>
            <w:tcW w:w="2358" w:type="dxa"/>
          </w:tcPr>
          <w:p w:rsidR="00C42FDC" w:rsidRPr="00466073" w:rsidRDefault="00C42FDC" w:rsidP="00784BBF">
            <w:pPr>
              <w:jc w:val="both"/>
              <w:rPr>
                <w:rFonts w:asciiTheme="minorHAnsi" w:hAnsiTheme="minorHAnsi" w:cstheme="minorHAnsi"/>
                <w:b/>
                <w:color w:val="000000"/>
              </w:rPr>
            </w:pPr>
            <w:r w:rsidRPr="00466073">
              <w:rPr>
                <w:rFonts w:asciiTheme="minorHAnsi" w:hAnsiTheme="minorHAnsi" w:cstheme="minorHAnsi"/>
                <w:b/>
                <w:color w:val="000000"/>
              </w:rPr>
              <w:t xml:space="preserve">ΣΥΝΟΛΟ </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16.340</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17.276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18.895</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20.297</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22.805</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24.860</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Ευρώπη</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16.012</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16.963</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18.540</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19.918</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22.479</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24.245</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ΕΕ</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14.090</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14.805</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15.771</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16.744</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18.821</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20.743</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όμορες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χώρες</w:t>
            </w:r>
            <w:proofErr w:type="spellEnd"/>
            <w:r w:rsidRPr="00466073">
              <w:rPr>
                <w:rFonts w:asciiTheme="minorHAnsi" w:hAnsiTheme="minorHAnsi" w:cstheme="minorHAnsi"/>
                <w:color w:val="000000"/>
              </w:rPr>
              <w:t>*</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13.443</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14.131</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15.495</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16.422</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18.442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19.693</w:t>
            </w:r>
          </w:p>
        </w:tc>
      </w:tr>
      <w:tr w:rsidR="00C42FDC" w:rsidRPr="00466073" w:rsidTr="00784BBF">
        <w:tc>
          <w:tcPr>
            <w:tcW w:w="2358" w:type="dxa"/>
          </w:tcPr>
          <w:p w:rsidR="00C42FDC" w:rsidRPr="00466073" w:rsidRDefault="00C42FDC" w:rsidP="00784BBF">
            <w:pPr>
              <w:jc w:val="both"/>
              <w:rPr>
                <w:rFonts w:asciiTheme="minorHAnsi" w:hAnsiTheme="minorHAnsi" w:cstheme="minorHAnsi"/>
                <w:b/>
                <w:color w:val="000000"/>
              </w:rPr>
            </w:pPr>
            <w:proofErr w:type="spellStart"/>
            <w:r w:rsidRPr="00466073">
              <w:rPr>
                <w:rFonts w:asciiTheme="minorHAnsi" w:hAnsiTheme="minorHAnsi" w:cstheme="minorHAnsi"/>
                <w:b/>
                <w:color w:val="000000"/>
              </w:rPr>
              <w:t>Προς</w:t>
            </w:r>
            <w:proofErr w:type="spellEnd"/>
            <w:r w:rsidRPr="00466073">
              <w:rPr>
                <w:rFonts w:asciiTheme="minorHAnsi" w:hAnsiTheme="minorHAnsi" w:cstheme="minorHAnsi"/>
                <w:b/>
                <w:color w:val="000000"/>
              </w:rPr>
              <w:t xml:space="preserve"> </w:t>
            </w:r>
            <w:proofErr w:type="spellStart"/>
            <w:r w:rsidRPr="00466073">
              <w:rPr>
                <w:rFonts w:asciiTheme="minorHAnsi" w:hAnsiTheme="minorHAnsi" w:cstheme="minorHAnsi"/>
                <w:b/>
                <w:color w:val="000000"/>
              </w:rPr>
              <w:t>Ελλάδα</w:t>
            </w:r>
            <w:proofErr w:type="spellEnd"/>
          </w:p>
        </w:tc>
        <w:tc>
          <w:tcPr>
            <w:tcW w:w="1350" w:type="dxa"/>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115</w:t>
            </w:r>
          </w:p>
        </w:tc>
        <w:tc>
          <w:tcPr>
            <w:tcW w:w="126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128</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183</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218</w:t>
            </w:r>
          </w:p>
        </w:tc>
        <w:tc>
          <w:tcPr>
            <w:tcW w:w="126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221</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369</w:t>
            </w:r>
          </w:p>
        </w:tc>
      </w:tr>
    </w:tbl>
    <w:p w:rsidR="00C42FDC" w:rsidRPr="00466073" w:rsidRDefault="00C42FDC" w:rsidP="00C42FDC">
      <w:pPr>
        <w:jc w:val="both"/>
        <w:rPr>
          <w:rFonts w:asciiTheme="minorHAnsi" w:hAnsiTheme="minorHAnsi" w:cstheme="minorHAnsi"/>
          <w:color w:val="000000"/>
        </w:rPr>
      </w:pPr>
      <w:r w:rsidRPr="00466073">
        <w:rPr>
          <w:rFonts w:asciiTheme="minorHAnsi" w:hAnsiTheme="minorHAnsi" w:cstheme="minorHAnsi"/>
          <w:color w:val="000000"/>
        </w:rPr>
        <w:t>-</w:t>
      </w:r>
      <w:proofErr w:type="spellStart"/>
      <w:r w:rsidRPr="00466073">
        <w:rPr>
          <w:rFonts w:asciiTheme="minorHAnsi" w:hAnsiTheme="minorHAnsi" w:cstheme="minorHAnsi"/>
          <w:color w:val="000000"/>
        </w:rPr>
        <w:t>Πηγή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Κεντρική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Στατιστική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Υπηρεσία</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Ουγγαρίας</w:t>
      </w:r>
      <w:proofErr w:type="spellEnd"/>
    </w:p>
    <w:p w:rsidR="00C42FDC" w:rsidRPr="00466073" w:rsidRDefault="00C42FDC" w:rsidP="00C42FDC">
      <w:pPr>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*Όμορες χώρες: Αυστρία, Σλοβακία, Ουκρανία, Ρουμανία, Σερβία, Κροατία, Σλοβενία. </w:t>
      </w:r>
    </w:p>
    <w:p w:rsidR="00C42FDC" w:rsidRPr="00466073" w:rsidRDefault="00C42FDC" w:rsidP="00C42FDC">
      <w:pPr>
        <w:jc w:val="both"/>
        <w:rPr>
          <w:rFonts w:asciiTheme="minorHAnsi" w:hAnsiTheme="minorHAnsi" w:cstheme="minorHAnsi"/>
          <w:color w:val="000000"/>
          <w:lang w:val="el-GR"/>
        </w:rPr>
      </w:pPr>
    </w:p>
    <w:p w:rsidR="00C42FDC" w:rsidRPr="00466073" w:rsidRDefault="00C42FDC" w:rsidP="00C42FDC">
      <w:pPr>
        <w:pStyle w:val="NormalWeb"/>
        <w:shd w:val="clear" w:color="auto" w:fill="FFFFFF"/>
        <w:spacing w:before="0" w:beforeAutospacing="0" w:after="0" w:afterAutospacing="0"/>
        <w:jc w:val="both"/>
        <w:rPr>
          <w:rFonts w:asciiTheme="minorHAnsi" w:hAnsiTheme="minorHAnsi" w:cstheme="minorHAnsi"/>
          <w:lang w:val="el-GR"/>
        </w:rPr>
      </w:pPr>
      <w:r w:rsidRPr="00466073">
        <w:rPr>
          <w:rFonts w:asciiTheme="minorHAnsi" w:hAnsiTheme="minorHAnsi" w:cstheme="minorHAnsi"/>
          <w:lang w:val="el-GR"/>
        </w:rPr>
        <w:t xml:space="preserve">Εμβαθύνοντας στην ανάλυση των στατιστικών στοιχείων, διαπιστώνουμε αυξημένες ροές Ούγγρων πολιτών, κυρίως προς τις όμορες με την Ουγγαρία χώρες (πάνω από 80% του συνόλου των Ούγγρων τουριστών, επισκέπτεται όμορες χώρες) και μόνο ένα μικρό ποσοστό (2-2,5%) επισκέπτεται χώρες εκτός ευρωπαϊκής ηπείρου. Παραδοσιακά, οι Ούγγροι επισκέπτονται την Αυστρία, την Σλοβακία, την Ρουμανία, την Γερμανία την Κροατία και την Σλοβενία, όχι όμως απαραίτητα για λόγους αναψυχής. </w:t>
      </w:r>
      <w:r w:rsidRPr="00466073">
        <w:rPr>
          <w:rFonts w:asciiTheme="minorHAnsi" w:hAnsiTheme="minorHAnsi" w:cstheme="minorHAnsi"/>
          <w:lang w:val="el-GR"/>
        </w:rPr>
        <w:lastRenderedPageBreak/>
        <w:t xml:space="preserve">Στον παραπάνω πίνακα, τα νούμερα αφορούν σε Ούγγρους πολίτες που ταξιδεύουν στο εξωτερικό, για όλους τους λόγους (αναψυχής, επαγγελματικούς, υγείας, σπουδών, αθλητικούς, θρησκευτικούς, επίσκεψη συγγενών, κλπ) και για οποιαδήποτε διάρκεια παραμονής. Παρατηρούμε ακόμα ότι η χώρα μας κατάφερε να τριπλασιάσει τον αριθμό Ούγγρων τουριστών από 115.000 το 2014 σε 369.000 το 2019, αν και όπως φαίνεται, το ποσοστό  μας στην ουγγρική αγορά δεν ξεπερνά το 1,5% (2019). Εντούτοις, πρέπει να επισημανθεί ότι ο ανωτέρω πίνακας δεν είναι αντιπροσωπευτικός της εικόνας που έχουν για τη χώρα μας οι Ούγγροι τουρίστες. Όπως προαναφέρθηκε μεγάλο ποσοστό Ούγγρων επισκέπτονται τις γειτονικές τους χώρες, όχι όμως απαραίτητα για λόγους αναψυχής. Το ίδιο δεν συμβαίνει όσον αφορά στην Ελλάδα, δεδομένου ότι τη χώρα μας, οι Ούγγροι επισκέπτονται κυρίως για τουρισμό και για διάρκεια ταξιδιού μεγαλύτερο των 5 ημερών. Αντιθέτως, πολλοί Ούγγροι επισκέπτονται σε καθημερινή βάση, ακόμα και αυθημερόν, την Αυστρία για επαγγελματικούς λόγους, για αγορές, για σπουδές, κλπ. Το ίδιο συμβαίνει και με την Σλοβακία, την Ρουμανία, την Σερβία και την Ουκρανία. Άρα, η εικόνα που δίνει ο ανωτέρω πίνακας για τη χώρα μας, είναι πλασματική και δεν ανταποκρίνεται στην πραγματικότητα. </w:t>
      </w:r>
    </w:p>
    <w:p w:rsidR="00D71F7D" w:rsidRPr="00466073" w:rsidRDefault="00C42FDC" w:rsidP="001941A5">
      <w:pPr>
        <w:pStyle w:val="NormalWeb"/>
        <w:shd w:val="clear" w:color="auto" w:fill="FFFFFF"/>
        <w:spacing w:before="0" w:beforeAutospacing="0" w:after="0" w:afterAutospacing="0"/>
        <w:jc w:val="both"/>
        <w:rPr>
          <w:rFonts w:asciiTheme="minorHAnsi" w:hAnsiTheme="minorHAnsi" w:cstheme="minorHAnsi"/>
          <w:lang w:val="el-GR"/>
        </w:rPr>
      </w:pPr>
      <w:r w:rsidRPr="00466073">
        <w:rPr>
          <w:rFonts w:asciiTheme="minorHAnsi" w:hAnsiTheme="minorHAnsi" w:cstheme="minorHAnsi"/>
          <w:lang w:val="el-GR"/>
        </w:rPr>
        <w:t xml:space="preserve">Τα ανωτέρω επιβεβαιώνονται από τα στατιστικά στοιχεία, σύμφωνα με τα οποία, οι ροές των Ούγγρων προς την Ελλάδα για διάρκεια ταξιδιού μικρότερη των 5 ημερών, είναι μηδενική. Κατά συνέπεια, για να διαπιστώσουμε το πραγματικό μέγεθος της χώρας μας ως τουριστικού προορισμού για τους Ούγγρους, πρέπει, καταρχάς, να αποκλείσουμε λόγους ταξιδιού, που δεν σχετίζονται με αναψυχή. </w:t>
      </w:r>
    </w:p>
    <w:p w:rsidR="00D71F7D" w:rsidRPr="00466073" w:rsidRDefault="00D71F7D" w:rsidP="001941A5">
      <w:pPr>
        <w:pStyle w:val="NormalWeb"/>
        <w:shd w:val="clear" w:color="auto" w:fill="FFFFFF"/>
        <w:spacing w:before="0" w:beforeAutospacing="0" w:after="0" w:afterAutospacing="0"/>
        <w:jc w:val="both"/>
        <w:rPr>
          <w:rFonts w:asciiTheme="minorHAnsi" w:hAnsiTheme="minorHAnsi" w:cstheme="minorHAnsi"/>
          <w:lang w:val="el-GR"/>
        </w:rPr>
      </w:pPr>
    </w:p>
    <w:p w:rsidR="00D71F7D" w:rsidRPr="00466073" w:rsidRDefault="00C42FDC" w:rsidP="001941A5">
      <w:pPr>
        <w:pStyle w:val="NormalWeb"/>
        <w:shd w:val="clear" w:color="auto" w:fill="FFFFFF"/>
        <w:spacing w:before="0" w:beforeAutospacing="0" w:after="0" w:afterAutospacing="0"/>
        <w:jc w:val="both"/>
        <w:rPr>
          <w:rFonts w:asciiTheme="minorHAnsi" w:hAnsiTheme="minorHAnsi" w:cstheme="minorHAnsi"/>
          <w:lang w:val="el-GR"/>
        </w:rPr>
      </w:pPr>
      <w:r w:rsidRPr="00466073">
        <w:rPr>
          <w:rFonts w:asciiTheme="minorHAnsi" w:hAnsiTheme="minorHAnsi" w:cstheme="minorHAnsi"/>
          <w:lang w:val="el-GR"/>
        </w:rPr>
        <w:t>Τα αποτελέσματα φαίνονται στον παρακάτω πίνακα.</w:t>
      </w:r>
    </w:p>
    <w:p w:rsidR="00D71F7D" w:rsidRPr="00466073" w:rsidRDefault="00D71F7D" w:rsidP="001941A5">
      <w:pPr>
        <w:pStyle w:val="NormalWeb"/>
        <w:shd w:val="clear" w:color="auto" w:fill="FFFFFF"/>
        <w:spacing w:before="0" w:beforeAutospacing="0" w:after="0" w:afterAutospacing="0"/>
        <w:jc w:val="both"/>
        <w:rPr>
          <w:rFonts w:asciiTheme="minorHAnsi" w:hAnsiTheme="minorHAnsi" w:cstheme="minorHAnsi"/>
          <w:lang w:val="el-GR"/>
        </w:rPr>
      </w:pPr>
    </w:p>
    <w:p w:rsidR="00C42FDC" w:rsidRPr="00466073" w:rsidRDefault="00C42FDC" w:rsidP="00C42FDC">
      <w:pPr>
        <w:jc w:val="center"/>
        <w:rPr>
          <w:rFonts w:asciiTheme="minorHAnsi" w:hAnsiTheme="minorHAnsi" w:cstheme="minorHAnsi"/>
          <w:b/>
          <w:color w:val="000000"/>
          <w:u w:val="single"/>
          <w:lang w:val="el-GR"/>
        </w:rPr>
      </w:pPr>
      <w:r w:rsidRPr="00466073">
        <w:rPr>
          <w:rFonts w:asciiTheme="minorHAnsi" w:hAnsiTheme="minorHAnsi" w:cstheme="minorHAnsi"/>
          <w:b/>
          <w:color w:val="000000"/>
          <w:u w:val="single"/>
          <w:lang w:val="el-GR"/>
        </w:rPr>
        <w:t>Πίνακας ΙΙ</w:t>
      </w:r>
    </w:p>
    <w:p w:rsidR="00C42FDC" w:rsidRPr="00466073" w:rsidRDefault="00C42FDC" w:rsidP="00C42FDC">
      <w:pPr>
        <w:jc w:val="center"/>
        <w:rPr>
          <w:rFonts w:asciiTheme="minorHAnsi" w:hAnsiTheme="minorHAnsi" w:cstheme="minorHAnsi"/>
          <w:color w:val="000000"/>
          <w:lang w:val="el-GR"/>
        </w:rPr>
      </w:pPr>
      <w:r w:rsidRPr="00466073">
        <w:rPr>
          <w:rFonts w:asciiTheme="minorHAnsi" w:hAnsiTheme="minorHAnsi" w:cstheme="minorHAnsi"/>
          <w:color w:val="000000"/>
          <w:lang w:val="el-GR"/>
        </w:rPr>
        <w:t>Εξερχόμενος τουρισμός Ουγγαρίας</w:t>
      </w:r>
    </w:p>
    <w:p w:rsidR="00C42FDC" w:rsidRPr="00466073" w:rsidRDefault="00C42FDC" w:rsidP="00C42FDC">
      <w:pPr>
        <w:jc w:val="center"/>
        <w:rPr>
          <w:rFonts w:asciiTheme="minorHAnsi" w:hAnsiTheme="minorHAnsi" w:cstheme="minorHAnsi"/>
          <w:color w:val="000000"/>
        </w:rPr>
      </w:pPr>
      <w:r w:rsidRPr="00466073">
        <w:rPr>
          <w:rFonts w:asciiTheme="minorHAnsi" w:hAnsiTheme="minorHAnsi" w:cstheme="minorHAnsi"/>
          <w:color w:val="000000"/>
        </w:rPr>
        <w:t>(</w:t>
      </w:r>
      <w:proofErr w:type="spellStart"/>
      <w:proofErr w:type="gramStart"/>
      <w:r w:rsidRPr="00466073">
        <w:rPr>
          <w:rFonts w:asciiTheme="minorHAnsi" w:hAnsiTheme="minorHAnsi" w:cstheme="minorHAnsi"/>
          <w:color w:val="000000"/>
        </w:rPr>
        <w:t>για</w:t>
      </w:r>
      <w:proofErr w:type="spellEnd"/>
      <w:proofErr w:type="gram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λόγους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αναψυχής</w:t>
      </w:r>
      <w:proofErr w:type="spellEnd"/>
      <w:r w:rsidRPr="00466073">
        <w:rPr>
          <w:rFonts w:asciiTheme="minorHAnsi" w:hAnsiTheme="minorHAnsi" w:cstheme="minorHAnsi"/>
          <w:color w:val="000000"/>
        </w:rPr>
        <w:t xml:space="preserve"> &amp; </w:t>
      </w:r>
      <w:proofErr w:type="spellStart"/>
      <w:r w:rsidRPr="00466073">
        <w:rPr>
          <w:rFonts w:asciiTheme="minorHAnsi" w:hAnsiTheme="minorHAnsi" w:cstheme="minorHAnsi"/>
          <w:color w:val="000000"/>
        </w:rPr>
        <w:t>ξεκούρασης</w:t>
      </w:r>
      <w:proofErr w:type="spellEnd"/>
      <w:r w:rsidRPr="00466073">
        <w:rPr>
          <w:rFonts w:asciiTheme="minorHAnsi" w:hAnsiTheme="minorHAnsi" w:cstheme="minorHAnsi"/>
          <w:color w:val="000000"/>
        </w:rPr>
        <w: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350"/>
        <w:gridCol w:w="1260"/>
        <w:gridCol w:w="1170"/>
        <w:gridCol w:w="1170"/>
        <w:gridCol w:w="1260"/>
        <w:gridCol w:w="1170"/>
      </w:tblGrid>
      <w:tr w:rsidR="00C42FDC" w:rsidRPr="00466073" w:rsidTr="00784BBF">
        <w:tc>
          <w:tcPr>
            <w:tcW w:w="2358" w:type="dxa"/>
          </w:tcPr>
          <w:p w:rsidR="00C42FDC" w:rsidRPr="00466073" w:rsidRDefault="00C42FDC" w:rsidP="00784BBF">
            <w:pPr>
              <w:jc w:val="center"/>
              <w:rPr>
                <w:rFonts w:asciiTheme="minorHAnsi" w:hAnsiTheme="minorHAnsi" w:cstheme="minorHAnsi"/>
                <w:color w:val="000000"/>
              </w:rPr>
            </w:pPr>
            <w:r w:rsidRPr="00466073">
              <w:rPr>
                <w:rFonts w:asciiTheme="minorHAnsi" w:hAnsiTheme="minorHAnsi" w:cstheme="minorHAnsi"/>
                <w:color w:val="000000"/>
              </w:rPr>
              <w:t>(</w:t>
            </w:r>
            <w:proofErr w:type="spellStart"/>
            <w:proofErr w:type="gramStart"/>
            <w:r w:rsidRPr="00466073">
              <w:rPr>
                <w:rFonts w:asciiTheme="minorHAnsi" w:hAnsiTheme="minorHAnsi" w:cstheme="minorHAnsi"/>
                <w:color w:val="000000"/>
              </w:rPr>
              <w:t>σε</w:t>
            </w:r>
            <w:proofErr w:type="spellEnd"/>
            <w:proofErr w:type="gram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χιλ</w:t>
            </w:r>
            <w:proofErr w:type="spellEnd"/>
            <w:r w:rsidRPr="00466073">
              <w:rPr>
                <w:rFonts w:asciiTheme="minorHAnsi" w:hAnsiTheme="minorHAnsi" w:cstheme="minorHAnsi"/>
                <w:color w:val="000000"/>
              </w:rPr>
              <w:t>.)</w:t>
            </w:r>
          </w:p>
        </w:tc>
        <w:tc>
          <w:tcPr>
            <w:tcW w:w="135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2014</w:t>
            </w:r>
          </w:p>
        </w:tc>
        <w:tc>
          <w:tcPr>
            <w:tcW w:w="126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2015</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2016</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2017</w:t>
            </w:r>
          </w:p>
        </w:tc>
        <w:tc>
          <w:tcPr>
            <w:tcW w:w="126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2018</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2019</w:t>
            </w:r>
          </w:p>
        </w:tc>
      </w:tr>
      <w:tr w:rsidR="00C42FDC" w:rsidRPr="00466073" w:rsidTr="00784BBF">
        <w:tc>
          <w:tcPr>
            <w:tcW w:w="2358" w:type="dxa"/>
          </w:tcPr>
          <w:p w:rsidR="00C42FDC" w:rsidRPr="00466073" w:rsidRDefault="00C42FDC" w:rsidP="00784BBF">
            <w:pPr>
              <w:jc w:val="both"/>
              <w:rPr>
                <w:rFonts w:asciiTheme="minorHAnsi" w:hAnsiTheme="minorHAnsi" w:cstheme="minorHAnsi"/>
                <w:b/>
                <w:color w:val="000000"/>
              </w:rPr>
            </w:pPr>
            <w:r w:rsidRPr="00466073">
              <w:rPr>
                <w:rFonts w:asciiTheme="minorHAnsi" w:hAnsiTheme="minorHAnsi" w:cstheme="minorHAnsi"/>
                <w:b/>
                <w:color w:val="000000"/>
              </w:rPr>
              <w:t xml:space="preserve">ΣΥΝΟΛΟ </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1.423</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1.634</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1.694</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2.102</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2.202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2.348</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Ευρώπη</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1.308</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1.532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1.582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1.932</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2.046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2.009</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ΕΕ</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1.208</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1.407</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1.523</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1.854</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1.930</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1.777</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όμορες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χώρες</w:t>
            </w:r>
            <w:proofErr w:type="spellEnd"/>
            <w:r w:rsidRPr="00466073">
              <w:rPr>
                <w:rFonts w:asciiTheme="minorHAnsi" w:hAnsiTheme="minorHAnsi" w:cstheme="minorHAnsi"/>
                <w:color w:val="000000"/>
              </w:rPr>
              <w:t>*</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729</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889</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936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1.051</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1.084</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842</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Αυστρία</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254</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276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360</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384</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217</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108</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Κροατία</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218</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252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299</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301</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462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407</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Σλοβακία</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197</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231</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115</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192</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239</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154</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Ιταλία</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67</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86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72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93</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153</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204</w:t>
            </w:r>
          </w:p>
        </w:tc>
      </w:tr>
      <w:tr w:rsidR="00C42FDC" w:rsidRPr="00466073" w:rsidTr="00784BBF">
        <w:tc>
          <w:tcPr>
            <w:tcW w:w="2358" w:type="dxa"/>
          </w:tcPr>
          <w:p w:rsidR="00C42FDC" w:rsidRPr="00466073" w:rsidRDefault="00C42FDC" w:rsidP="00784BBF">
            <w:pPr>
              <w:jc w:val="both"/>
              <w:rPr>
                <w:rFonts w:asciiTheme="minorHAnsi" w:hAnsiTheme="minorHAnsi" w:cstheme="minorHAnsi"/>
                <w:b/>
                <w:color w:val="000000"/>
              </w:rPr>
            </w:pPr>
            <w:proofErr w:type="spellStart"/>
            <w:r w:rsidRPr="00466073">
              <w:rPr>
                <w:rFonts w:asciiTheme="minorHAnsi" w:hAnsiTheme="minorHAnsi" w:cstheme="minorHAnsi"/>
                <w:b/>
                <w:color w:val="000000"/>
              </w:rPr>
              <w:t>Προς</w:t>
            </w:r>
            <w:proofErr w:type="spellEnd"/>
            <w:r w:rsidRPr="00466073">
              <w:rPr>
                <w:rFonts w:asciiTheme="minorHAnsi" w:hAnsiTheme="minorHAnsi" w:cstheme="minorHAnsi"/>
                <w:b/>
                <w:color w:val="000000"/>
              </w:rPr>
              <w:t xml:space="preserve"> </w:t>
            </w:r>
            <w:proofErr w:type="spellStart"/>
            <w:r w:rsidRPr="00466073">
              <w:rPr>
                <w:rFonts w:asciiTheme="minorHAnsi" w:hAnsiTheme="minorHAnsi" w:cstheme="minorHAnsi"/>
                <w:b/>
                <w:color w:val="000000"/>
              </w:rPr>
              <w:t>Ελλάδα</w:t>
            </w:r>
            <w:proofErr w:type="spellEnd"/>
          </w:p>
        </w:tc>
        <w:tc>
          <w:tcPr>
            <w:tcW w:w="1350" w:type="dxa"/>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109</w:t>
            </w:r>
          </w:p>
        </w:tc>
        <w:tc>
          <w:tcPr>
            <w:tcW w:w="126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114</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168</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197</w:t>
            </w:r>
          </w:p>
        </w:tc>
        <w:tc>
          <w:tcPr>
            <w:tcW w:w="126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186</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333</w:t>
            </w:r>
          </w:p>
        </w:tc>
      </w:tr>
    </w:tbl>
    <w:p w:rsidR="00C42FDC" w:rsidRPr="00466073" w:rsidRDefault="00C42FDC" w:rsidP="00C42FDC">
      <w:pPr>
        <w:jc w:val="both"/>
        <w:rPr>
          <w:rFonts w:asciiTheme="minorHAnsi" w:hAnsiTheme="minorHAnsi" w:cstheme="minorHAnsi"/>
          <w:color w:val="000000"/>
        </w:rPr>
      </w:pPr>
      <w:r w:rsidRPr="00466073">
        <w:rPr>
          <w:rFonts w:asciiTheme="minorHAnsi" w:hAnsiTheme="minorHAnsi" w:cstheme="minorHAnsi"/>
          <w:color w:val="000000"/>
        </w:rPr>
        <w:t>-</w:t>
      </w:r>
      <w:proofErr w:type="spellStart"/>
      <w:r w:rsidRPr="00466073">
        <w:rPr>
          <w:rFonts w:asciiTheme="minorHAnsi" w:hAnsiTheme="minorHAnsi" w:cstheme="minorHAnsi"/>
          <w:color w:val="000000"/>
        </w:rPr>
        <w:t>Πηγή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Κεντρική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Στατιστική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Υπηρεσία</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Ουγγαρίας</w:t>
      </w:r>
      <w:proofErr w:type="spellEnd"/>
    </w:p>
    <w:p w:rsidR="00C42FDC" w:rsidRPr="00466073" w:rsidRDefault="00C42FDC" w:rsidP="00C42FDC">
      <w:pPr>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*Όμορες χώρες: Αυστρία, Σλοβακία, Ουκρανία, Ρουμανία, Σερβία, Κροατία, Σλοβενία. </w:t>
      </w:r>
    </w:p>
    <w:p w:rsidR="00C42FDC" w:rsidRPr="00466073" w:rsidRDefault="00C42FDC" w:rsidP="00C42FDC">
      <w:pPr>
        <w:jc w:val="both"/>
        <w:rPr>
          <w:rFonts w:asciiTheme="minorHAnsi" w:hAnsiTheme="minorHAnsi" w:cstheme="minorHAnsi"/>
          <w:color w:val="000000"/>
          <w:lang w:val="el-GR"/>
        </w:rPr>
      </w:pPr>
    </w:p>
    <w:p w:rsidR="00C42FDC" w:rsidRDefault="00C42FDC" w:rsidP="00C42FDC">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Παρατηρούμε την σταθερά ανοδική πορεία του αριθμού Ούγγρων τουριστών στην Ελλάδα, αλλά και τα αυξημένα σε σχέση με τον προηγούμενο πίνακα (Ι) ποσοστά μας στην ουγγρική αγορά. Πράγματι, η χώρα μας, την πενταετία 2014-2019 κατάφερε να διπλασιάσει το ποσοστό της στην ουγγρική αγορά τουρισμού, από 7,6% σε 14%. Εάν συνυπολογίσουμε και την παράμετρο της διάρκειας ταξιδιού (δεδομένου ότι οι Ούγγροι δεν ταξιδεύουν στην Ελλάδα για λιγότερες από 5 ημέρες), τότε βλέπουμε, στον πίνακα (ΙΙΙ) που ακολουθεί, την πραγματική εικόνα της χώρας μας ως τουριστικού προορισμού για την Ουγγαρία. </w:t>
      </w:r>
    </w:p>
    <w:p w:rsidR="002E7491" w:rsidRDefault="002E7491" w:rsidP="00C42FDC">
      <w:pPr>
        <w:pStyle w:val="NormalWeb"/>
        <w:shd w:val="clear" w:color="auto" w:fill="FFFFFF"/>
        <w:spacing w:before="0" w:beforeAutospacing="0" w:after="0" w:afterAutospacing="0"/>
        <w:jc w:val="both"/>
        <w:rPr>
          <w:rFonts w:asciiTheme="minorHAnsi" w:hAnsiTheme="minorHAnsi" w:cstheme="minorHAnsi"/>
          <w:color w:val="000000"/>
          <w:lang w:val="el-GR"/>
        </w:rPr>
      </w:pPr>
    </w:p>
    <w:p w:rsidR="002E7491" w:rsidRPr="00466073" w:rsidRDefault="002E7491" w:rsidP="00C42FDC">
      <w:pPr>
        <w:pStyle w:val="NormalWeb"/>
        <w:shd w:val="clear" w:color="auto" w:fill="FFFFFF"/>
        <w:spacing w:before="0" w:beforeAutospacing="0" w:after="0" w:afterAutospacing="0"/>
        <w:jc w:val="both"/>
        <w:rPr>
          <w:rFonts w:asciiTheme="minorHAnsi" w:hAnsiTheme="minorHAnsi" w:cstheme="minorHAnsi"/>
          <w:color w:val="000000"/>
          <w:lang w:val="el-GR"/>
        </w:rPr>
      </w:pPr>
    </w:p>
    <w:p w:rsidR="00C42FDC" w:rsidRPr="00466073" w:rsidRDefault="00C42FDC" w:rsidP="00C42FDC">
      <w:pPr>
        <w:jc w:val="center"/>
        <w:rPr>
          <w:rFonts w:asciiTheme="minorHAnsi" w:hAnsiTheme="minorHAnsi" w:cstheme="minorHAnsi"/>
          <w:b/>
          <w:color w:val="000000"/>
          <w:u w:val="single"/>
          <w:lang w:val="el-GR"/>
        </w:rPr>
      </w:pPr>
      <w:r w:rsidRPr="00466073">
        <w:rPr>
          <w:rFonts w:asciiTheme="minorHAnsi" w:hAnsiTheme="minorHAnsi" w:cstheme="minorHAnsi"/>
          <w:b/>
          <w:color w:val="000000"/>
          <w:u w:val="single"/>
          <w:lang w:val="el-GR"/>
        </w:rPr>
        <w:t>Πίνακας ΙΙΙ</w:t>
      </w:r>
    </w:p>
    <w:p w:rsidR="00C42FDC" w:rsidRPr="00466073" w:rsidRDefault="00C42FDC" w:rsidP="00C42FDC">
      <w:pPr>
        <w:jc w:val="center"/>
        <w:rPr>
          <w:rFonts w:asciiTheme="minorHAnsi" w:hAnsiTheme="minorHAnsi" w:cstheme="minorHAnsi"/>
          <w:color w:val="000000"/>
          <w:lang w:val="el-GR"/>
        </w:rPr>
      </w:pPr>
      <w:r w:rsidRPr="00466073">
        <w:rPr>
          <w:rFonts w:asciiTheme="minorHAnsi" w:hAnsiTheme="minorHAnsi" w:cstheme="minorHAnsi"/>
          <w:color w:val="000000"/>
          <w:lang w:val="el-GR"/>
        </w:rPr>
        <w:t>Εξερχόμενος τουρισμός Ουγγαρίας</w:t>
      </w:r>
    </w:p>
    <w:p w:rsidR="00C42FDC" w:rsidRPr="00466073" w:rsidRDefault="00C42FDC" w:rsidP="00C42FDC">
      <w:pPr>
        <w:jc w:val="center"/>
        <w:rPr>
          <w:rFonts w:asciiTheme="minorHAnsi" w:hAnsiTheme="minorHAnsi" w:cstheme="minorHAnsi"/>
          <w:color w:val="000000"/>
          <w:lang w:val="el-GR"/>
        </w:rPr>
      </w:pPr>
      <w:r w:rsidRPr="00466073">
        <w:rPr>
          <w:rFonts w:asciiTheme="minorHAnsi" w:hAnsiTheme="minorHAnsi" w:cstheme="minorHAnsi"/>
          <w:color w:val="000000"/>
          <w:lang w:val="el-GR"/>
        </w:rPr>
        <w:t>(για λόγους αναψυχής &amp; ξεκούρασης και για διάρκεια ταξιδιού τουλάχιστον 5 ημερών)</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350"/>
        <w:gridCol w:w="1260"/>
        <w:gridCol w:w="1170"/>
        <w:gridCol w:w="1170"/>
        <w:gridCol w:w="1260"/>
        <w:gridCol w:w="1170"/>
      </w:tblGrid>
      <w:tr w:rsidR="00C42FDC" w:rsidRPr="00466073" w:rsidTr="00784BBF">
        <w:tc>
          <w:tcPr>
            <w:tcW w:w="2358" w:type="dxa"/>
          </w:tcPr>
          <w:p w:rsidR="00C42FDC" w:rsidRPr="00466073" w:rsidRDefault="00C42FDC" w:rsidP="00784BBF">
            <w:pPr>
              <w:jc w:val="center"/>
              <w:rPr>
                <w:rFonts w:asciiTheme="minorHAnsi" w:hAnsiTheme="minorHAnsi" w:cstheme="minorHAnsi"/>
                <w:color w:val="000000"/>
              </w:rPr>
            </w:pPr>
            <w:r w:rsidRPr="00466073">
              <w:rPr>
                <w:rFonts w:asciiTheme="minorHAnsi" w:hAnsiTheme="minorHAnsi" w:cstheme="minorHAnsi"/>
                <w:color w:val="000000"/>
              </w:rPr>
              <w:t>(</w:t>
            </w:r>
            <w:proofErr w:type="spellStart"/>
            <w:proofErr w:type="gramStart"/>
            <w:r w:rsidRPr="00466073">
              <w:rPr>
                <w:rFonts w:asciiTheme="minorHAnsi" w:hAnsiTheme="minorHAnsi" w:cstheme="minorHAnsi"/>
                <w:color w:val="000000"/>
              </w:rPr>
              <w:t>σε</w:t>
            </w:r>
            <w:proofErr w:type="spellEnd"/>
            <w:proofErr w:type="gram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χιλ</w:t>
            </w:r>
            <w:proofErr w:type="spellEnd"/>
            <w:r w:rsidRPr="00466073">
              <w:rPr>
                <w:rFonts w:asciiTheme="minorHAnsi" w:hAnsiTheme="minorHAnsi" w:cstheme="minorHAnsi"/>
                <w:color w:val="000000"/>
              </w:rPr>
              <w:t>.)</w:t>
            </w:r>
          </w:p>
        </w:tc>
        <w:tc>
          <w:tcPr>
            <w:tcW w:w="135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2014</w:t>
            </w:r>
          </w:p>
        </w:tc>
        <w:tc>
          <w:tcPr>
            <w:tcW w:w="126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2015</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2016</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2017</w:t>
            </w:r>
          </w:p>
        </w:tc>
        <w:tc>
          <w:tcPr>
            <w:tcW w:w="126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2018</w:t>
            </w:r>
          </w:p>
        </w:tc>
        <w:tc>
          <w:tcPr>
            <w:tcW w:w="1170" w:type="dxa"/>
            <w:shd w:val="clear" w:color="auto" w:fill="F2F2F2"/>
          </w:tcPr>
          <w:p w:rsidR="00C42FDC" w:rsidRPr="00466073" w:rsidRDefault="00C42FDC" w:rsidP="00784BBF">
            <w:pPr>
              <w:jc w:val="center"/>
              <w:rPr>
                <w:rFonts w:asciiTheme="minorHAnsi" w:hAnsiTheme="minorHAnsi" w:cstheme="minorHAnsi"/>
                <w:b/>
                <w:color w:val="000000"/>
              </w:rPr>
            </w:pPr>
            <w:r w:rsidRPr="00466073">
              <w:rPr>
                <w:rFonts w:asciiTheme="minorHAnsi" w:hAnsiTheme="minorHAnsi" w:cstheme="minorHAnsi"/>
                <w:b/>
                <w:color w:val="000000"/>
              </w:rPr>
              <w:t>2019</w:t>
            </w:r>
          </w:p>
        </w:tc>
      </w:tr>
      <w:tr w:rsidR="00C42FDC" w:rsidRPr="00466073" w:rsidTr="00784BBF">
        <w:tc>
          <w:tcPr>
            <w:tcW w:w="2358" w:type="dxa"/>
          </w:tcPr>
          <w:p w:rsidR="00C42FDC" w:rsidRPr="00466073" w:rsidRDefault="00C42FDC" w:rsidP="00784BBF">
            <w:pPr>
              <w:jc w:val="both"/>
              <w:rPr>
                <w:rFonts w:asciiTheme="minorHAnsi" w:hAnsiTheme="minorHAnsi" w:cstheme="minorHAnsi"/>
                <w:b/>
                <w:color w:val="000000"/>
              </w:rPr>
            </w:pPr>
            <w:r w:rsidRPr="00466073">
              <w:rPr>
                <w:rFonts w:asciiTheme="minorHAnsi" w:hAnsiTheme="minorHAnsi" w:cstheme="minorHAnsi"/>
                <w:b/>
                <w:color w:val="000000"/>
              </w:rPr>
              <w:t xml:space="preserve">ΣΥΝΟΛΟ </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1.055</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1.209</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1.299</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1.564</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1.652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2.001</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Ευρώπη</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940</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1.107</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1.190</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1.396</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1.497</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1.663</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ΕΕ</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846</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998</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1.140</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1.332</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1.406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1.493</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όμορες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χώρες</w:t>
            </w:r>
            <w:proofErr w:type="spellEnd"/>
            <w:r w:rsidRPr="00466073">
              <w:rPr>
                <w:rFonts w:asciiTheme="minorHAnsi" w:hAnsiTheme="minorHAnsi" w:cstheme="minorHAnsi"/>
                <w:color w:val="000000"/>
              </w:rPr>
              <w:t>*</w:t>
            </w:r>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415</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498</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576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598</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635</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569</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Αυστρία</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134</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157</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171</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200</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71</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Κροατία</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211</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244</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289</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287</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446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401</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Τσεχία</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115</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137</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111</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127</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98</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46</w:t>
            </w:r>
          </w:p>
        </w:tc>
      </w:tr>
      <w:tr w:rsidR="00C42FDC" w:rsidRPr="00466073" w:rsidTr="00784BBF">
        <w:tc>
          <w:tcPr>
            <w:tcW w:w="2358"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Ιταλία</w:t>
            </w:r>
            <w:proofErr w:type="spellEnd"/>
          </w:p>
        </w:tc>
        <w:tc>
          <w:tcPr>
            <w:tcW w:w="1350" w:type="dxa"/>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67</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86</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70</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81</w:t>
            </w:r>
          </w:p>
        </w:tc>
        <w:tc>
          <w:tcPr>
            <w:tcW w:w="126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142</w:t>
            </w:r>
          </w:p>
        </w:tc>
        <w:tc>
          <w:tcPr>
            <w:tcW w:w="1170"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181</w:t>
            </w:r>
          </w:p>
        </w:tc>
      </w:tr>
      <w:tr w:rsidR="00C42FDC" w:rsidRPr="00466073" w:rsidTr="00784BBF">
        <w:tc>
          <w:tcPr>
            <w:tcW w:w="2358" w:type="dxa"/>
          </w:tcPr>
          <w:p w:rsidR="00C42FDC" w:rsidRPr="00466073" w:rsidRDefault="00C42FDC" w:rsidP="00784BBF">
            <w:pPr>
              <w:jc w:val="both"/>
              <w:rPr>
                <w:rFonts w:asciiTheme="minorHAnsi" w:hAnsiTheme="minorHAnsi" w:cstheme="minorHAnsi"/>
                <w:b/>
                <w:color w:val="000000"/>
              </w:rPr>
            </w:pPr>
            <w:proofErr w:type="spellStart"/>
            <w:r w:rsidRPr="00466073">
              <w:rPr>
                <w:rFonts w:asciiTheme="minorHAnsi" w:hAnsiTheme="minorHAnsi" w:cstheme="minorHAnsi"/>
                <w:b/>
                <w:color w:val="000000"/>
              </w:rPr>
              <w:t>Προς</w:t>
            </w:r>
            <w:proofErr w:type="spellEnd"/>
            <w:r w:rsidRPr="00466073">
              <w:rPr>
                <w:rFonts w:asciiTheme="minorHAnsi" w:hAnsiTheme="minorHAnsi" w:cstheme="minorHAnsi"/>
                <w:b/>
                <w:color w:val="000000"/>
              </w:rPr>
              <w:t xml:space="preserve"> </w:t>
            </w:r>
            <w:proofErr w:type="spellStart"/>
            <w:r w:rsidRPr="00466073">
              <w:rPr>
                <w:rFonts w:asciiTheme="minorHAnsi" w:hAnsiTheme="minorHAnsi" w:cstheme="minorHAnsi"/>
                <w:b/>
                <w:color w:val="000000"/>
              </w:rPr>
              <w:t>Ελλάδα</w:t>
            </w:r>
            <w:proofErr w:type="spellEnd"/>
          </w:p>
        </w:tc>
        <w:tc>
          <w:tcPr>
            <w:tcW w:w="1350" w:type="dxa"/>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109</w:t>
            </w:r>
          </w:p>
        </w:tc>
        <w:tc>
          <w:tcPr>
            <w:tcW w:w="126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114</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168</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197</w:t>
            </w:r>
          </w:p>
        </w:tc>
        <w:tc>
          <w:tcPr>
            <w:tcW w:w="126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183</w:t>
            </w:r>
          </w:p>
        </w:tc>
        <w:tc>
          <w:tcPr>
            <w:tcW w:w="1170"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327</w:t>
            </w:r>
          </w:p>
        </w:tc>
      </w:tr>
    </w:tbl>
    <w:p w:rsidR="00C42FDC" w:rsidRPr="00466073" w:rsidRDefault="00C42FDC" w:rsidP="00C42FDC">
      <w:pPr>
        <w:jc w:val="both"/>
        <w:rPr>
          <w:rFonts w:asciiTheme="minorHAnsi" w:hAnsiTheme="minorHAnsi" w:cstheme="minorHAnsi"/>
          <w:color w:val="000000"/>
        </w:rPr>
      </w:pPr>
      <w:r w:rsidRPr="00466073">
        <w:rPr>
          <w:rFonts w:asciiTheme="minorHAnsi" w:hAnsiTheme="minorHAnsi" w:cstheme="minorHAnsi"/>
          <w:color w:val="000000"/>
        </w:rPr>
        <w:t>-</w:t>
      </w:r>
      <w:proofErr w:type="spellStart"/>
      <w:r w:rsidRPr="00466073">
        <w:rPr>
          <w:rFonts w:asciiTheme="minorHAnsi" w:hAnsiTheme="minorHAnsi" w:cstheme="minorHAnsi"/>
          <w:color w:val="000000"/>
        </w:rPr>
        <w:t>Πηγή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Κεντρική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Στατιστική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Υπηρεσία</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Ουγγαρίας</w:t>
      </w:r>
      <w:proofErr w:type="spellEnd"/>
    </w:p>
    <w:p w:rsidR="00C42FDC" w:rsidRPr="00466073" w:rsidRDefault="00C42FDC" w:rsidP="00C42FDC">
      <w:pPr>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*Όμορες χώρες: Αυστρία, Σλοβακία, Ουκρανία, Ρουμανία, Σερβία, Κροατία, Σλοβενία. </w:t>
      </w:r>
    </w:p>
    <w:p w:rsidR="00C42FDC" w:rsidRPr="00466073" w:rsidRDefault="00C42FDC" w:rsidP="00C42FDC">
      <w:pPr>
        <w:jc w:val="both"/>
        <w:rPr>
          <w:rFonts w:asciiTheme="minorHAnsi" w:hAnsiTheme="minorHAnsi" w:cstheme="minorHAnsi"/>
          <w:color w:val="000000"/>
          <w:lang w:val="el-GR"/>
        </w:rPr>
      </w:pPr>
    </w:p>
    <w:p w:rsidR="00C42FDC" w:rsidRPr="00466073" w:rsidRDefault="00C42FDC" w:rsidP="00C42FDC">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Σύμφωνα με την ανάλυση των στοιχείων του ανωτέρω πίνακα (ΙΙΙ), το μερίδιο της χώρας μας στην ουγγρική αγορά τουρισμού, αυξήθηκε από 10,3% το 2014 σε 16,3% το 2019 και η Ελλάδα καταγράφεται ως ο δεύτερος καλύτερος τουριστικός προορισμός για τους Ούγγρους, μετά την γειτονική και κοντινή τους Κροατία (20%). Σε ανοδική τροχιά βρίσκεται και η Ιταλία, η οποία καταλαμβάνει όλο και μεγαλύτερο μερίδιο της ουγγρικής αγοράς (4%). Ενδιαφέρον παρουσιάζει και ο παρακάτω πίνακας (ΙV) στον οποίον οι τουριστικές ροές Ούγγρων προς Ελλάδα, διαχωρίζονται σε όσους διοργανώνουν από μόνοι τους το ταξίδι (Προσωπική Διοργάνωση) και σε όσους απευθύνονται σε ταξιδιωτικά γραφεία (Οργανωμένος Τουρισμός). </w:t>
      </w:r>
    </w:p>
    <w:p w:rsidR="00CE19BC" w:rsidRPr="00466073" w:rsidRDefault="00CE19BC" w:rsidP="00BE6951">
      <w:pPr>
        <w:rPr>
          <w:rFonts w:asciiTheme="minorHAnsi" w:hAnsiTheme="minorHAnsi" w:cstheme="minorHAnsi"/>
          <w:b/>
          <w:color w:val="000000"/>
          <w:u w:val="single"/>
          <w:lang w:val="el-GR"/>
        </w:rPr>
      </w:pPr>
    </w:p>
    <w:p w:rsidR="00D118BE" w:rsidRPr="00466073" w:rsidRDefault="00D118BE" w:rsidP="00C42FDC">
      <w:pPr>
        <w:jc w:val="center"/>
        <w:rPr>
          <w:rFonts w:asciiTheme="minorHAnsi" w:hAnsiTheme="minorHAnsi" w:cstheme="minorHAnsi"/>
          <w:b/>
          <w:color w:val="000000"/>
          <w:u w:val="single"/>
          <w:lang w:val="el-GR"/>
        </w:rPr>
      </w:pPr>
    </w:p>
    <w:p w:rsidR="00C42FDC" w:rsidRPr="00466073" w:rsidRDefault="00C42FDC" w:rsidP="00C42FDC">
      <w:pPr>
        <w:jc w:val="center"/>
        <w:rPr>
          <w:rFonts w:asciiTheme="minorHAnsi" w:hAnsiTheme="minorHAnsi" w:cstheme="minorHAnsi"/>
          <w:b/>
          <w:color w:val="000000"/>
          <w:u w:val="single"/>
          <w:lang w:val="el-GR"/>
        </w:rPr>
      </w:pPr>
      <w:r w:rsidRPr="00466073">
        <w:rPr>
          <w:rFonts w:asciiTheme="minorHAnsi" w:hAnsiTheme="minorHAnsi" w:cstheme="minorHAnsi"/>
          <w:b/>
          <w:color w:val="000000"/>
          <w:u w:val="single"/>
          <w:lang w:val="el-GR"/>
        </w:rPr>
        <w:t>Πίνακας Ι</w:t>
      </w:r>
      <w:r w:rsidRPr="00466073">
        <w:rPr>
          <w:rFonts w:asciiTheme="minorHAnsi" w:hAnsiTheme="minorHAnsi" w:cstheme="minorHAnsi"/>
          <w:b/>
          <w:color w:val="000000"/>
          <w:u w:val="single"/>
          <w:lang w:val="hu-HU"/>
        </w:rPr>
        <w:t>V</w:t>
      </w:r>
    </w:p>
    <w:p w:rsidR="00C42FDC" w:rsidRPr="00466073" w:rsidRDefault="00C42FDC" w:rsidP="00C42FDC">
      <w:pPr>
        <w:jc w:val="center"/>
        <w:rPr>
          <w:rFonts w:asciiTheme="minorHAnsi" w:hAnsiTheme="minorHAnsi" w:cstheme="minorHAnsi"/>
          <w:color w:val="000000"/>
          <w:lang w:val="el-GR"/>
        </w:rPr>
      </w:pPr>
      <w:r w:rsidRPr="00466073">
        <w:rPr>
          <w:rFonts w:asciiTheme="minorHAnsi" w:hAnsiTheme="minorHAnsi" w:cstheme="minorHAnsi"/>
          <w:color w:val="000000"/>
          <w:lang w:val="el-GR"/>
        </w:rPr>
        <w:t>Ροή Ούγγρων τουριστών προς Ελλάδα</w:t>
      </w:r>
    </w:p>
    <w:p w:rsidR="00C42FDC" w:rsidRPr="00466073" w:rsidRDefault="00C42FDC" w:rsidP="00C42FDC">
      <w:pPr>
        <w:jc w:val="center"/>
        <w:rPr>
          <w:rFonts w:asciiTheme="minorHAnsi" w:hAnsiTheme="minorHAnsi" w:cstheme="minorHAnsi"/>
          <w:color w:val="000000"/>
          <w:lang w:val="el-GR"/>
        </w:rPr>
      </w:pPr>
      <w:r w:rsidRPr="00466073">
        <w:rPr>
          <w:rFonts w:asciiTheme="minorHAnsi" w:hAnsiTheme="minorHAnsi" w:cstheme="minorHAnsi"/>
          <w:color w:val="000000"/>
          <w:lang w:val="el-GR"/>
        </w:rPr>
        <w:t>(για λόγους αναψυχής &amp; ξεκούρασης και για διάρκεια ταξιδιού τουλάχιστον 5 ημερών)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0"/>
        <w:gridCol w:w="1407"/>
        <w:gridCol w:w="1408"/>
        <w:gridCol w:w="1408"/>
        <w:gridCol w:w="1408"/>
        <w:gridCol w:w="1408"/>
        <w:gridCol w:w="1408"/>
      </w:tblGrid>
      <w:tr w:rsidR="00C42FDC" w:rsidRPr="00466073" w:rsidTr="00784BBF">
        <w:tc>
          <w:tcPr>
            <w:tcW w:w="1407" w:type="dxa"/>
          </w:tcPr>
          <w:p w:rsidR="00C42FDC" w:rsidRPr="00466073" w:rsidRDefault="00C42FDC" w:rsidP="00784BBF">
            <w:pPr>
              <w:jc w:val="center"/>
              <w:rPr>
                <w:rFonts w:asciiTheme="minorHAnsi" w:hAnsiTheme="minorHAnsi" w:cstheme="minorHAnsi"/>
                <w:color w:val="000000"/>
                <w:lang w:val="el-GR"/>
              </w:rPr>
            </w:pPr>
          </w:p>
        </w:tc>
        <w:tc>
          <w:tcPr>
            <w:tcW w:w="1407" w:type="dxa"/>
            <w:shd w:val="clear" w:color="auto" w:fill="F2F2F2"/>
          </w:tcPr>
          <w:p w:rsidR="00C42FDC" w:rsidRPr="00466073" w:rsidRDefault="00C42FDC" w:rsidP="00784BBF">
            <w:pPr>
              <w:jc w:val="center"/>
              <w:rPr>
                <w:rFonts w:asciiTheme="minorHAnsi" w:hAnsiTheme="minorHAnsi" w:cstheme="minorHAnsi"/>
                <w:b/>
              </w:rPr>
            </w:pPr>
            <w:r w:rsidRPr="00466073">
              <w:rPr>
                <w:rFonts w:asciiTheme="minorHAnsi" w:hAnsiTheme="minorHAnsi" w:cstheme="minorHAnsi"/>
                <w:b/>
              </w:rPr>
              <w:t>2014</w:t>
            </w:r>
          </w:p>
        </w:tc>
        <w:tc>
          <w:tcPr>
            <w:tcW w:w="1408" w:type="dxa"/>
            <w:shd w:val="clear" w:color="auto" w:fill="F2F2F2"/>
          </w:tcPr>
          <w:p w:rsidR="00C42FDC" w:rsidRPr="00466073" w:rsidRDefault="00C42FDC" w:rsidP="00784BBF">
            <w:pPr>
              <w:jc w:val="center"/>
              <w:rPr>
                <w:rFonts w:asciiTheme="minorHAnsi" w:hAnsiTheme="minorHAnsi" w:cstheme="minorHAnsi"/>
                <w:b/>
              </w:rPr>
            </w:pPr>
            <w:r w:rsidRPr="00466073">
              <w:rPr>
                <w:rFonts w:asciiTheme="minorHAnsi" w:hAnsiTheme="minorHAnsi" w:cstheme="minorHAnsi"/>
                <w:b/>
              </w:rPr>
              <w:t>2015</w:t>
            </w:r>
          </w:p>
        </w:tc>
        <w:tc>
          <w:tcPr>
            <w:tcW w:w="1408" w:type="dxa"/>
            <w:shd w:val="clear" w:color="auto" w:fill="F2F2F2"/>
          </w:tcPr>
          <w:p w:rsidR="00C42FDC" w:rsidRPr="00466073" w:rsidRDefault="00C42FDC" w:rsidP="00784BBF">
            <w:pPr>
              <w:jc w:val="center"/>
              <w:rPr>
                <w:rFonts w:asciiTheme="minorHAnsi" w:hAnsiTheme="minorHAnsi" w:cstheme="minorHAnsi"/>
                <w:b/>
              </w:rPr>
            </w:pPr>
            <w:r w:rsidRPr="00466073">
              <w:rPr>
                <w:rFonts w:asciiTheme="minorHAnsi" w:hAnsiTheme="minorHAnsi" w:cstheme="minorHAnsi"/>
                <w:b/>
              </w:rPr>
              <w:t>2016</w:t>
            </w:r>
          </w:p>
        </w:tc>
        <w:tc>
          <w:tcPr>
            <w:tcW w:w="1408" w:type="dxa"/>
            <w:shd w:val="clear" w:color="auto" w:fill="F2F2F2"/>
          </w:tcPr>
          <w:p w:rsidR="00C42FDC" w:rsidRPr="00466073" w:rsidRDefault="00C42FDC" w:rsidP="00784BBF">
            <w:pPr>
              <w:jc w:val="center"/>
              <w:rPr>
                <w:rFonts w:asciiTheme="minorHAnsi" w:hAnsiTheme="minorHAnsi" w:cstheme="minorHAnsi"/>
                <w:b/>
              </w:rPr>
            </w:pPr>
            <w:r w:rsidRPr="00466073">
              <w:rPr>
                <w:rFonts w:asciiTheme="minorHAnsi" w:hAnsiTheme="minorHAnsi" w:cstheme="minorHAnsi"/>
                <w:b/>
              </w:rPr>
              <w:t>2017</w:t>
            </w:r>
          </w:p>
        </w:tc>
        <w:tc>
          <w:tcPr>
            <w:tcW w:w="1408" w:type="dxa"/>
            <w:shd w:val="clear" w:color="auto" w:fill="F2F2F2"/>
          </w:tcPr>
          <w:p w:rsidR="00C42FDC" w:rsidRPr="00466073" w:rsidRDefault="00C42FDC" w:rsidP="00784BBF">
            <w:pPr>
              <w:jc w:val="center"/>
              <w:rPr>
                <w:rFonts w:asciiTheme="minorHAnsi" w:hAnsiTheme="minorHAnsi" w:cstheme="minorHAnsi"/>
                <w:b/>
              </w:rPr>
            </w:pPr>
            <w:r w:rsidRPr="00466073">
              <w:rPr>
                <w:rFonts w:asciiTheme="minorHAnsi" w:hAnsiTheme="minorHAnsi" w:cstheme="minorHAnsi"/>
                <w:b/>
              </w:rPr>
              <w:t>2018</w:t>
            </w:r>
          </w:p>
        </w:tc>
        <w:tc>
          <w:tcPr>
            <w:tcW w:w="1408" w:type="dxa"/>
            <w:shd w:val="clear" w:color="auto" w:fill="F2F2F2"/>
          </w:tcPr>
          <w:p w:rsidR="00C42FDC" w:rsidRPr="00466073" w:rsidRDefault="00C42FDC" w:rsidP="00784BBF">
            <w:pPr>
              <w:jc w:val="center"/>
              <w:rPr>
                <w:rFonts w:asciiTheme="minorHAnsi" w:hAnsiTheme="minorHAnsi" w:cstheme="minorHAnsi"/>
                <w:b/>
              </w:rPr>
            </w:pPr>
            <w:r w:rsidRPr="00466073">
              <w:rPr>
                <w:rFonts w:asciiTheme="minorHAnsi" w:hAnsiTheme="minorHAnsi" w:cstheme="minorHAnsi"/>
                <w:b/>
              </w:rPr>
              <w:t>2019</w:t>
            </w:r>
          </w:p>
        </w:tc>
      </w:tr>
      <w:tr w:rsidR="00C42FDC" w:rsidRPr="00466073" w:rsidTr="00784BBF">
        <w:tc>
          <w:tcPr>
            <w:tcW w:w="1407"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Οργανωμένος</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Τουρισμός</w:t>
            </w:r>
            <w:proofErr w:type="spellEnd"/>
          </w:p>
        </w:tc>
        <w:tc>
          <w:tcPr>
            <w:tcW w:w="1407"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80.000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79.000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130.000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139.000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60.000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228.000</w:t>
            </w:r>
          </w:p>
        </w:tc>
      </w:tr>
      <w:tr w:rsidR="00C42FDC" w:rsidRPr="00466073" w:rsidTr="00784BBF">
        <w:tc>
          <w:tcPr>
            <w:tcW w:w="1407" w:type="dxa"/>
          </w:tcPr>
          <w:p w:rsidR="00C42FDC" w:rsidRPr="00466073" w:rsidRDefault="00C42FDC" w:rsidP="00784BBF">
            <w:pPr>
              <w:jc w:val="both"/>
              <w:rPr>
                <w:rFonts w:asciiTheme="minorHAnsi" w:hAnsiTheme="minorHAnsi" w:cstheme="minorHAnsi"/>
                <w:color w:val="000000"/>
              </w:rPr>
            </w:pPr>
            <w:proofErr w:type="spellStart"/>
            <w:r w:rsidRPr="00466073">
              <w:rPr>
                <w:rFonts w:asciiTheme="minorHAnsi" w:hAnsiTheme="minorHAnsi" w:cstheme="minorHAnsi"/>
                <w:color w:val="000000"/>
              </w:rPr>
              <w:t>Προσωπική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διοργάνωση</w:t>
            </w:r>
            <w:proofErr w:type="spellEnd"/>
          </w:p>
        </w:tc>
        <w:tc>
          <w:tcPr>
            <w:tcW w:w="1407"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30.000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35.000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38.000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57.000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123.000</w:t>
            </w:r>
          </w:p>
        </w:tc>
        <w:tc>
          <w:tcPr>
            <w:tcW w:w="1408" w:type="dxa"/>
            <w:vAlign w:val="center"/>
          </w:tcPr>
          <w:p w:rsidR="00C42FDC" w:rsidRPr="00466073" w:rsidRDefault="00C42FDC" w:rsidP="00784BBF">
            <w:pPr>
              <w:jc w:val="right"/>
              <w:rPr>
                <w:rFonts w:asciiTheme="minorHAnsi" w:hAnsiTheme="minorHAnsi" w:cstheme="minorHAnsi"/>
                <w:color w:val="000000"/>
              </w:rPr>
            </w:pPr>
            <w:r w:rsidRPr="00466073">
              <w:rPr>
                <w:rFonts w:asciiTheme="minorHAnsi" w:hAnsiTheme="minorHAnsi" w:cstheme="minorHAnsi"/>
                <w:color w:val="000000"/>
              </w:rPr>
              <w:t>98.000</w:t>
            </w:r>
          </w:p>
        </w:tc>
      </w:tr>
      <w:tr w:rsidR="00C42FDC" w:rsidRPr="00466073" w:rsidTr="00784BBF">
        <w:tc>
          <w:tcPr>
            <w:tcW w:w="1407" w:type="dxa"/>
          </w:tcPr>
          <w:p w:rsidR="00C42FDC" w:rsidRPr="00466073" w:rsidRDefault="00C42FDC" w:rsidP="00784BBF">
            <w:pPr>
              <w:jc w:val="both"/>
              <w:rPr>
                <w:rFonts w:asciiTheme="minorHAnsi" w:hAnsiTheme="minorHAnsi" w:cstheme="minorHAnsi"/>
                <w:b/>
                <w:color w:val="000000"/>
              </w:rPr>
            </w:pPr>
            <w:r w:rsidRPr="00466073">
              <w:rPr>
                <w:rFonts w:asciiTheme="minorHAnsi" w:hAnsiTheme="minorHAnsi" w:cstheme="minorHAnsi"/>
                <w:b/>
                <w:color w:val="000000"/>
              </w:rPr>
              <w:t>ΣΥΝΟΛΟ</w:t>
            </w:r>
          </w:p>
        </w:tc>
        <w:tc>
          <w:tcPr>
            <w:tcW w:w="1407"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109.000</w:t>
            </w:r>
          </w:p>
        </w:tc>
        <w:tc>
          <w:tcPr>
            <w:tcW w:w="1408"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114.000</w:t>
            </w:r>
          </w:p>
        </w:tc>
        <w:tc>
          <w:tcPr>
            <w:tcW w:w="1408"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168.000</w:t>
            </w:r>
          </w:p>
        </w:tc>
        <w:tc>
          <w:tcPr>
            <w:tcW w:w="1408"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197.000</w:t>
            </w:r>
          </w:p>
        </w:tc>
        <w:tc>
          <w:tcPr>
            <w:tcW w:w="1408"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183.000</w:t>
            </w:r>
          </w:p>
        </w:tc>
        <w:tc>
          <w:tcPr>
            <w:tcW w:w="1408" w:type="dxa"/>
            <w:vAlign w:val="center"/>
          </w:tcPr>
          <w:p w:rsidR="00C42FDC" w:rsidRPr="00466073" w:rsidRDefault="00C42FDC" w:rsidP="00784BBF">
            <w:pPr>
              <w:jc w:val="right"/>
              <w:rPr>
                <w:rFonts w:asciiTheme="minorHAnsi" w:hAnsiTheme="minorHAnsi" w:cstheme="minorHAnsi"/>
                <w:b/>
                <w:color w:val="000000"/>
              </w:rPr>
            </w:pPr>
            <w:r w:rsidRPr="00466073">
              <w:rPr>
                <w:rFonts w:asciiTheme="minorHAnsi" w:hAnsiTheme="minorHAnsi" w:cstheme="minorHAnsi"/>
                <w:b/>
                <w:color w:val="000000"/>
              </w:rPr>
              <w:t>327.000</w:t>
            </w:r>
          </w:p>
        </w:tc>
      </w:tr>
    </w:tbl>
    <w:p w:rsidR="00C42FDC" w:rsidRPr="00466073" w:rsidRDefault="00C42FDC" w:rsidP="00C42FDC">
      <w:pPr>
        <w:jc w:val="both"/>
        <w:rPr>
          <w:rFonts w:asciiTheme="minorHAnsi" w:hAnsiTheme="minorHAnsi" w:cstheme="minorHAnsi"/>
          <w:color w:val="000000"/>
        </w:rPr>
      </w:pPr>
      <w:r w:rsidRPr="00466073">
        <w:rPr>
          <w:rFonts w:asciiTheme="minorHAnsi" w:hAnsiTheme="minorHAnsi" w:cstheme="minorHAnsi"/>
          <w:color w:val="000000"/>
        </w:rPr>
        <w:t>-</w:t>
      </w:r>
      <w:proofErr w:type="spellStart"/>
      <w:r w:rsidRPr="00466073">
        <w:rPr>
          <w:rFonts w:asciiTheme="minorHAnsi" w:hAnsiTheme="minorHAnsi" w:cstheme="minorHAnsi"/>
          <w:color w:val="000000"/>
        </w:rPr>
        <w:t>Πηγή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Κεντρική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Στατιστική</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Υπηρεσία</w:t>
      </w:r>
      <w:proofErr w:type="spellEnd"/>
      <w:r w:rsidRPr="00466073">
        <w:rPr>
          <w:rFonts w:asciiTheme="minorHAnsi" w:hAnsiTheme="minorHAnsi" w:cstheme="minorHAnsi"/>
          <w:color w:val="000000"/>
        </w:rPr>
        <w:t xml:space="preserve"> </w:t>
      </w:r>
      <w:proofErr w:type="spellStart"/>
      <w:r w:rsidRPr="00466073">
        <w:rPr>
          <w:rFonts w:asciiTheme="minorHAnsi" w:hAnsiTheme="minorHAnsi" w:cstheme="minorHAnsi"/>
          <w:color w:val="000000"/>
        </w:rPr>
        <w:t>Ουγγαρίας</w:t>
      </w:r>
      <w:proofErr w:type="spellEnd"/>
    </w:p>
    <w:p w:rsidR="00C42FDC" w:rsidRPr="00466073" w:rsidRDefault="00C42FDC" w:rsidP="00C42FDC">
      <w:pPr>
        <w:jc w:val="both"/>
        <w:rPr>
          <w:rFonts w:asciiTheme="minorHAnsi" w:hAnsiTheme="minorHAnsi" w:cstheme="minorHAnsi"/>
          <w:color w:val="000000"/>
        </w:rPr>
      </w:pPr>
    </w:p>
    <w:p w:rsidR="00C42FDC" w:rsidRPr="00466073" w:rsidRDefault="00C42FDC" w:rsidP="00C42FDC">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Όπως φαίνεται στον παρακάτω πίνακα, σημαντικό ρόλο στην αύξηση των τουριστικών ροών προς Ελλάδα, διαδραματίζουν τα τουριστικά γραφεία (οργανωμένος τουρισμός). </w:t>
      </w:r>
      <w:proofErr w:type="spellStart"/>
      <w:r w:rsidRPr="00466073">
        <w:rPr>
          <w:rFonts w:asciiTheme="minorHAnsi" w:hAnsiTheme="minorHAnsi" w:cstheme="minorHAnsi"/>
          <w:color w:val="000000"/>
          <w:lang w:val="el-GR"/>
        </w:rPr>
        <w:t>To</w:t>
      </w:r>
      <w:proofErr w:type="spellEnd"/>
      <w:r w:rsidRPr="00466073">
        <w:rPr>
          <w:rFonts w:asciiTheme="minorHAnsi" w:hAnsiTheme="minorHAnsi" w:cstheme="minorHAnsi"/>
          <w:color w:val="000000"/>
          <w:lang w:val="el-GR"/>
        </w:rPr>
        <w:t xml:space="preserve"> 2018 παρατηρείται μια ανακολουθία, σε σχέση με τα υπόλοιπα έτη, τόσο ως προς την αυξητική τάση, όσο και ως προς την προτίμηση στον οργανωμένο τουρισμό. Παρατηρούμε δηλαδή μείωση του συνόλου των Ούγγρων επισκεπτών στη χώρα μας, αλλά και αντιστροφή της προτίμησής τους προς τον οργανωμένο τουρισμό μέσω τουριστικών γραφείων. Διερευνώντας τις αιτίες που τα στοιχεία για το 2018 δεν ακολουθούν την διαμορφούμενη τάση των υπόλοιπων ετών, διαπιστώσαμε ότι σημαντικό ρόλο στην απόκλιση αυτή διαδραμάτισαν τρεις, κυρίως, παράγοντες: </w:t>
      </w:r>
    </w:p>
    <w:p w:rsidR="00C42FDC" w:rsidRPr="00466073" w:rsidRDefault="00C42FDC" w:rsidP="00C42FDC">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lastRenderedPageBreak/>
        <w:t>α) η υποτίμηση του εθνικού νομίσματος της Ουγγαρίας έναντι του Ευρώ (το 2017 η μέση ετήσια συναλλαγματική ισοτιμία είχε διαμορφωθεί σε €1=309,27HUF, ενώ το 2018 σε €1=318,87HUF),</w:t>
      </w:r>
    </w:p>
    <w:p w:rsidR="00C42FDC" w:rsidRPr="00466073" w:rsidRDefault="00C42FDC" w:rsidP="00C42FDC">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β) η απουσία ελληνικής εθνικής υποστήριξης και προβολής του τουριστικού προϊόντος της Ελλάδος και </w:t>
      </w:r>
    </w:p>
    <w:p w:rsidR="00C42FDC" w:rsidRPr="00466073" w:rsidRDefault="00C42FDC" w:rsidP="00C42FDC">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γ) το </w:t>
      </w:r>
      <w:proofErr w:type="spellStart"/>
      <w:r w:rsidRPr="00466073">
        <w:rPr>
          <w:rFonts w:asciiTheme="minorHAnsi" w:hAnsiTheme="minorHAnsi" w:cstheme="minorHAnsi"/>
          <w:color w:val="000000"/>
          <w:lang w:val="el-GR"/>
        </w:rPr>
        <w:t>Brexit</w:t>
      </w:r>
      <w:proofErr w:type="spellEnd"/>
      <w:r w:rsidRPr="00466073">
        <w:rPr>
          <w:rFonts w:asciiTheme="minorHAnsi" w:hAnsiTheme="minorHAnsi" w:cstheme="minorHAnsi"/>
          <w:color w:val="000000"/>
          <w:lang w:val="el-GR"/>
        </w:rPr>
        <w:t xml:space="preserve"> (δύο από τα μεγαλύτερα τουριστικά γραφεία στην Ουγγαρία, «TUI» και «</w:t>
      </w:r>
      <w:proofErr w:type="spellStart"/>
      <w:r w:rsidRPr="00466073">
        <w:rPr>
          <w:rFonts w:asciiTheme="minorHAnsi" w:hAnsiTheme="minorHAnsi" w:cstheme="minorHAnsi"/>
          <w:color w:val="000000"/>
          <w:lang w:val="el-GR"/>
        </w:rPr>
        <w:t>Captain</w:t>
      </w:r>
      <w:proofErr w:type="spellEnd"/>
      <w:r w:rsidRPr="00466073">
        <w:rPr>
          <w:rFonts w:asciiTheme="minorHAnsi" w:hAnsiTheme="minorHAnsi" w:cstheme="minorHAnsi"/>
          <w:color w:val="000000"/>
          <w:lang w:val="el-GR"/>
        </w:rPr>
        <w:t xml:space="preserve"> </w:t>
      </w:r>
      <w:proofErr w:type="spellStart"/>
      <w:r w:rsidRPr="00466073">
        <w:rPr>
          <w:rFonts w:asciiTheme="minorHAnsi" w:hAnsiTheme="minorHAnsi" w:cstheme="minorHAnsi"/>
          <w:color w:val="000000"/>
          <w:lang w:val="el-GR"/>
        </w:rPr>
        <w:t>Cook</w:t>
      </w:r>
      <w:proofErr w:type="spellEnd"/>
      <w:r w:rsidRPr="00466073">
        <w:rPr>
          <w:rFonts w:asciiTheme="minorHAnsi" w:hAnsiTheme="minorHAnsi" w:cstheme="minorHAnsi"/>
          <w:color w:val="000000"/>
          <w:lang w:val="el-GR"/>
        </w:rPr>
        <w:t>», είναι βρετανικών συμφερόντων και με αυτά συνεργάζονταν πολλά πρακτορεία που προωθούσαν ελληνικούς τουριστικούς προορισμούς). Επισημαίνεται ότι η πτώχευση του ομίλου «</w:t>
      </w:r>
      <w:proofErr w:type="spellStart"/>
      <w:r w:rsidRPr="00466073">
        <w:rPr>
          <w:rFonts w:asciiTheme="minorHAnsi" w:hAnsiTheme="minorHAnsi" w:cstheme="minorHAnsi"/>
          <w:color w:val="000000"/>
          <w:lang w:val="el-GR"/>
        </w:rPr>
        <w:t>Thomas</w:t>
      </w:r>
      <w:proofErr w:type="spellEnd"/>
      <w:r w:rsidRPr="00466073">
        <w:rPr>
          <w:rFonts w:asciiTheme="minorHAnsi" w:hAnsiTheme="minorHAnsi" w:cstheme="minorHAnsi"/>
          <w:color w:val="000000"/>
          <w:lang w:val="el-GR"/>
        </w:rPr>
        <w:t xml:space="preserve"> </w:t>
      </w:r>
      <w:proofErr w:type="spellStart"/>
      <w:r w:rsidRPr="00466073">
        <w:rPr>
          <w:rFonts w:asciiTheme="minorHAnsi" w:hAnsiTheme="minorHAnsi" w:cstheme="minorHAnsi"/>
          <w:color w:val="000000"/>
          <w:lang w:val="el-GR"/>
        </w:rPr>
        <w:t>Cook</w:t>
      </w:r>
      <w:proofErr w:type="spellEnd"/>
      <w:r w:rsidRPr="00466073">
        <w:rPr>
          <w:rFonts w:asciiTheme="minorHAnsi" w:hAnsiTheme="minorHAnsi" w:cstheme="minorHAnsi"/>
          <w:color w:val="000000"/>
          <w:lang w:val="el-GR"/>
        </w:rPr>
        <w:t xml:space="preserve"> </w:t>
      </w:r>
      <w:proofErr w:type="spellStart"/>
      <w:r w:rsidRPr="00466073">
        <w:rPr>
          <w:rFonts w:asciiTheme="minorHAnsi" w:hAnsiTheme="minorHAnsi" w:cstheme="minorHAnsi"/>
          <w:color w:val="000000"/>
          <w:lang w:val="el-GR"/>
        </w:rPr>
        <w:t>Group</w:t>
      </w:r>
      <w:proofErr w:type="spellEnd"/>
      <w:r w:rsidRPr="00466073">
        <w:rPr>
          <w:rFonts w:asciiTheme="minorHAnsi" w:hAnsiTheme="minorHAnsi" w:cstheme="minorHAnsi"/>
          <w:color w:val="000000"/>
          <w:lang w:val="el-GR"/>
        </w:rPr>
        <w:t xml:space="preserve"> </w:t>
      </w:r>
      <w:proofErr w:type="spellStart"/>
      <w:r w:rsidRPr="00466073">
        <w:rPr>
          <w:rFonts w:asciiTheme="minorHAnsi" w:hAnsiTheme="minorHAnsi" w:cstheme="minorHAnsi"/>
          <w:color w:val="000000"/>
          <w:lang w:val="el-GR"/>
        </w:rPr>
        <w:t>plc</w:t>
      </w:r>
      <w:proofErr w:type="spellEnd"/>
      <w:r w:rsidRPr="00466073">
        <w:rPr>
          <w:rFonts w:asciiTheme="minorHAnsi" w:hAnsiTheme="minorHAnsi" w:cstheme="minorHAnsi"/>
          <w:color w:val="000000"/>
          <w:lang w:val="el-GR"/>
        </w:rPr>
        <w:t>» τον Σεπτέμβριο 2019, δεν επηρέασε ιδιαίτερα την τουριστική ροή των Ούγγρων προς την Ελλάδα, αφενός διότι η πτώχευση συνέπεσε χρονικά με το τέλος της τουριστικής περιόδου στην Ουγγαρία και αφετέρου διότι η ουγγρική εταιρεία «</w:t>
      </w:r>
      <w:proofErr w:type="spellStart"/>
      <w:r w:rsidRPr="00466073">
        <w:rPr>
          <w:rFonts w:asciiTheme="minorHAnsi" w:hAnsiTheme="minorHAnsi" w:cstheme="minorHAnsi"/>
          <w:color w:val="000000"/>
          <w:lang w:val="el-GR"/>
        </w:rPr>
        <w:t>Neckermann</w:t>
      </w:r>
      <w:proofErr w:type="spellEnd"/>
      <w:r w:rsidRPr="00466073">
        <w:rPr>
          <w:rFonts w:asciiTheme="minorHAnsi" w:hAnsiTheme="minorHAnsi" w:cstheme="minorHAnsi"/>
          <w:color w:val="000000"/>
          <w:lang w:val="el-GR"/>
        </w:rPr>
        <w:t>», με μητρική την «</w:t>
      </w:r>
      <w:proofErr w:type="spellStart"/>
      <w:r w:rsidRPr="00466073">
        <w:rPr>
          <w:rFonts w:asciiTheme="minorHAnsi" w:hAnsiTheme="minorHAnsi" w:cstheme="minorHAnsi"/>
          <w:color w:val="000000"/>
          <w:lang w:val="el-GR"/>
        </w:rPr>
        <w:t>Neckermann</w:t>
      </w:r>
      <w:proofErr w:type="spellEnd"/>
      <w:r w:rsidRPr="00466073">
        <w:rPr>
          <w:rFonts w:asciiTheme="minorHAnsi" w:hAnsiTheme="minorHAnsi" w:cstheme="minorHAnsi"/>
          <w:color w:val="000000"/>
          <w:lang w:val="el-GR"/>
        </w:rPr>
        <w:t>» Αυστρίας (μέλος του ομίλου «</w:t>
      </w:r>
      <w:proofErr w:type="spellStart"/>
      <w:r w:rsidRPr="00466073">
        <w:rPr>
          <w:rFonts w:asciiTheme="minorHAnsi" w:hAnsiTheme="minorHAnsi" w:cstheme="minorHAnsi"/>
          <w:color w:val="000000"/>
          <w:lang w:val="el-GR"/>
        </w:rPr>
        <w:t>Thomas</w:t>
      </w:r>
      <w:proofErr w:type="spellEnd"/>
      <w:r w:rsidRPr="00466073">
        <w:rPr>
          <w:rFonts w:asciiTheme="minorHAnsi" w:hAnsiTheme="minorHAnsi" w:cstheme="minorHAnsi"/>
          <w:color w:val="000000"/>
          <w:lang w:val="el-GR"/>
        </w:rPr>
        <w:t xml:space="preserve"> </w:t>
      </w:r>
      <w:proofErr w:type="spellStart"/>
      <w:r w:rsidRPr="00466073">
        <w:rPr>
          <w:rFonts w:asciiTheme="minorHAnsi" w:hAnsiTheme="minorHAnsi" w:cstheme="minorHAnsi"/>
          <w:color w:val="000000"/>
          <w:lang w:val="el-GR"/>
        </w:rPr>
        <w:t>Cook</w:t>
      </w:r>
      <w:proofErr w:type="spellEnd"/>
      <w:r w:rsidRPr="00466073">
        <w:rPr>
          <w:rFonts w:asciiTheme="minorHAnsi" w:hAnsiTheme="minorHAnsi" w:cstheme="minorHAnsi"/>
          <w:color w:val="000000"/>
          <w:lang w:val="el-GR"/>
        </w:rPr>
        <w:t xml:space="preserve"> </w:t>
      </w:r>
      <w:proofErr w:type="spellStart"/>
      <w:r w:rsidRPr="00466073">
        <w:rPr>
          <w:rFonts w:asciiTheme="minorHAnsi" w:hAnsiTheme="minorHAnsi" w:cstheme="minorHAnsi"/>
          <w:color w:val="000000"/>
          <w:lang w:val="el-GR"/>
        </w:rPr>
        <w:t>Austria</w:t>
      </w:r>
      <w:proofErr w:type="spellEnd"/>
      <w:r w:rsidRPr="00466073">
        <w:rPr>
          <w:rFonts w:asciiTheme="minorHAnsi" w:hAnsiTheme="minorHAnsi" w:cstheme="minorHAnsi"/>
          <w:color w:val="000000"/>
          <w:lang w:val="el-GR"/>
        </w:rPr>
        <w:t xml:space="preserve"> AG»), λειτουργούσε και συνεχίζει να λειτουργεί (πουλώντας τουριστικά πακέτα και για Ελλάδα)  βάσει του Ουγγρικού Εταιρικού Νόμου. </w:t>
      </w:r>
    </w:p>
    <w:p w:rsidR="00CE19BC" w:rsidRPr="00466073" w:rsidRDefault="00CE19BC" w:rsidP="00C42FDC">
      <w:pPr>
        <w:pStyle w:val="NormalWeb"/>
        <w:shd w:val="clear" w:color="auto" w:fill="FFFFFF"/>
        <w:spacing w:before="0" w:beforeAutospacing="0" w:after="0" w:afterAutospacing="0"/>
        <w:jc w:val="both"/>
        <w:rPr>
          <w:rFonts w:asciiTheme="minorHAnsi" w:hAnsiTheme="minorHAnsi" w:cstheme="minorHAnsi"/>
          <w:color w:val="000000"/>
          <w:lang w:val="el-GR"/>
        </w:rPr>
      </w:pPr>
    </w:p>
    <w:p w:rsidR="00D118BE" w:rsidRPr="00466073" w:rsidRDefault="00C42FDC" w:rsidP="00D71F7D">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Ας σημειωθεί ότι το 2018, από την κατά 7,1% πτώση (σε σχέση με το 2017) των ουγγρικών τουριστικών ροών προς τη χώρα μας, επωφελήθηκαν τουριστικοί προορισμοί των ανταγωνιστών μας. Από την ανάλυση των στατιστικών στοιχείων διαπιστώνουμε ότι η Κροατία, το 2018, αύξησε κατά 55,4% τον αριθμό των Ούγγρων επισκεπτών της από 287.000 το 2017 στους 446.000, η Ιταλία από 86.000 στους 142.000 (αύξηση κατά 75,3%), οι χώρες της Ιβηρικής από 88.000 στους 104.000 και τέλος οι ευρωπαϊκές χώρες εκτός Ε.Ε. από 69.000 στις 94.000 (ανάμεσα στις χώρες αυτές συμπεριλαμβάνεται και η Τουρκία). Το </w:t>
      </w:r>
      <w:r w:rsidRPr="00466073">
        <w:rPr>
          <w:rFonts w:asciiTheme="minorHAnsi" w:hAnsiTheme="minorHAnsi" w:cstheme="minorHAnsi"/>
          <w:b/>
          <w:color w:val="000000"/>
          <w:lang w:val="el-GR"/>
        </w:rPr>
        <w:t>2019</w:t>
      </w:r>
      <w:r w:rsidRPr="00466073">
        <w:rPr>
          <w:rFonts w:asciiTheme="minorHAnsi" w:hAnsiTheme="minorHAnsi" w:cstheme="minorHAnsi"/>
          <w:color w:val="000000"/>
          <w:lang w:val="el-GR"/>
        </w:rPr>
        <w:t xml:space="preserve"> αποδεικνύεται εξαιρετική χρονιά για την προσέλκυση Ούγγρων τουριστών στην Ελλάδα. Σημειώνοντας </w:t>
      </w:r>
      <w:r w:rsidRPr="00466073">
        <w:rPr>
          <w:rFonts w:asciiTheme="minorHAnsi" w:hAnsiTheme="minorHAnsi" w:cstheme="minorHAnsi"/>
          <w:b/>
          <w:color w:val="000000"/>
          <w:lang w:val="el-GR"/>
        </w:rPr>
        <w:t>αύξηση 78,6%</w:t>
      </w:r>
      <w:r w:rsidRPr="00466073">
        <w:rPr>
          <w:rFonts w:asciiTheme="minorHAnsi" w:hAnsiTheme="minorHAnsi" w:cstheme="minorHAnsi"/>
          <w:color w:val="000000"/>
          <w:lang w:val="el-GR"/>
        </w:rPr>
        <w:t xml:space="preserve"> σε σχέση με το 2018, ο αριθμός των Ούγγρων που επισκέφθηκαν τη χώρα μας για λόγους αναψυχής και για διάρκεια τουλάχιστον 5 ημερών, άγγιξε τους 327 χιλ. </w:t>
      </w:r>
    </w:p>
    <w:p w:rsidR="00D118BE" w:rsidRPr="00466073" w:rsidRDefault="00D118BE" w:rsidP="00D71F7D">
      <w:pPr>
        <w:pStyle w:val="NormalWeb"/>
        <w:shd w:val="clear" w:color="auto" w:fill="FFFFFF"/>
        <w:spacing w:before="0" w:beforeAutospacing="0" w:after="0" w:afterAutospacing="0"/>
        <w:jc w:val="both"/>
        <w:rPr>
          <w:rFonts w:asciiTheme="minorHAnsi" w:hAnsiTheme="minorHAnsi" w:cstheme="minorHAnsi"/>
          <w:color w:val="000000"/>
          <w:lang w:val="el-GR"/>
        </w:rPr>
      </w:pPr>
    </w:p>
    <w:p w:rsidR="00D118BE" w:rsidRPr="00466073" w:rsidRDefault="00D118BE" w:rsidP="00D118BE">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Η πανδημία του COVID-19 έχει ανέτρεψε τα τουριστικά δεδομένα. Οι απαγορεύσεις στην ελεύθερη μετακίνηση των πολιτών, οι απαγορεύσεις στις διασυνοριακές μετακινήσεις, οι αναστολές πτήσεων, η αναστολή λειτουργίας καταστημάτων εστίασης και καταλυμάτων, καθώς και τα κάθε είδους υγειονομικής προστασίας μέτρα κατά της πανδημίας απαγορεύουν, μειώνουν, αποτρέπουν και αποθαρρύνουν τις διεθνείς τουριστικές ροές. </w:t>
      </w:r>
    </w:p>
    <w:p w:rsidR="00D118BE" w:rsidRPr="00466073" w:rsidRDefault="00D118BE" w:rsidP="00D118BE">
      <w:pPr>
        <w:pStyle w:val="NormalWeb"/>
        <w:shd w:val="clear" w:color="auto" w:fill="FFFFFF"/>
        <w:spacing w:before="0" w:beforeAutospacing="0" w:after="0" w:afterAutospacing="0"/>
        <w:jc w:val="both"/>
        <w:rPr>
          <w:rFonts w:asciiTheme="minorHAnsi" w:hAnsiTheme="minorHAnsi" w:cstheme="minorHAnsi"/>
          <w:color w:val="000000"/>
          <w:lang w:val="el-GR"/>
        </w:rPr>
      </w:pPr>
    </w:p>
    <w:p w:rsidR="00D118BE" w:rsidRPr="00466073" w:rsidRDefault="00D118BE" w:rsidP="00D118BE">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Οι χώρες που αποτελούν παραδοσιακούς τουριστικούς προορισμούς επιδόθηκαν σε αγώνα προβολής και διαφήμισης προκειμένου να διατηρήσουν μια την ελκυστική τους εικόνα και να προσελκύσουν μελλοντικούς τουρίστες, αναθερμαίνοντας, έτσι, τις οικονομίες τους. Η χώρα μας, με την ιδιαιτέρως επιτυχή αντιμετώπιση της εξάπλωσης του COVID-19, διατήρησε την άρτια τουριστική της εικόνα στην Ουγγαρία. Εντούτοις, οι επιπτώσεις της πανδημίας, σε όλους τους τομείς και ιδιαιτέρως στον τουριστικό, δεν επέτρεψαν τουριστικές ροές προς την Ελλάδα. </w:t>
      </w:r>
    </w:p>
    <w:p w:rsidR="00D118BE" w:rsidRPr="00466073" w:rsidRDefault="00D118BE" w:rsidP="00D71F7D">
      <w:pPr>
        <w:pStyle w:val="NormalWeb"/>
        <w:shd w:val="clear" w:color="auto" w:fill="FFFFFF"/>
        <w:spacing w:before="0" w:beforeAutospacing="0" w:after="0" w:afterAutospacing="0"/>
        <w:jc w:val="both"/>
        <w:rPr>
          <w:rFonts w:asciiTheme="minorHAnsi" w:hAnsiTheme="minorHAnsi" w:cstheme="minorHAnsi"/>
          <w:color w:val="000000"/>
          <w:lang w:val="el-GR"/>
        </w:rPr>
      </w:pPr>
    </w:p>
    <w:p w:rsidR="00D71F7D" w:rsidRPr="00466073" w:rsidRDefault="00D71F7D" w:rsidP="00D71F7D">
      <w:pPr>
        <w:pStyle w:val="NormalWeb"/>
        <w:shd w:val="clear" w:color="auto" w:fill="FFFFFF"/>
        <w:spacing w:before="0" w:beforeAutospacing="0" w:after="0" w:afterAutospacing="0"/>
        <w:jc w:val="both"/>
        <w:rPr>
          <w:rFonts w:asciiTheme="minorHAnsi" w:hAnsiTheme="minorHAnsi" w:cstheme="minorHAnsi"/>
          <w:color w:val="000000"/>
          <w:lang w:val="el-GR"/>
        </w:rPr>
      </w:pPr>
      <w:r w:rsidRPr="00466073">
        <w:rPr>
          <w:rFonts w:asciiTheme="minorHAnsi" w:hAnsiTheme="minorHAnsi" w:cstheme="minorHAnsi"/>
          <w:color w:val="000000"/>
          <w:lang w:val="el-GR"/>
        </w:rPr>
        <w:t xml:space="preserve">Τέλος, σύμφωνα με δηλώσεις </w:t>
      </w:r>
      <w:r w:rsidR="00D118BE" w:rsidRPr="00466073">
        <w:rPr>
          <w:rFonts w:asciiTheme="minorHAnsi" w:hAnsiTheme="minorHAnsi" w:cstheme="minorHAnsi"/>
          <w:color w:val="000000"/>
          <w:lang w:val="el-GR"/>
        </w:rPr>
        <w:t>των εδώ τουριστικών πρακτόρων, το έτος 202</w:t>
      </w:r>
      <w:r w:rsidR="00D118BE" w:rsidRPr="00466073">
        <w:rPr>
          <w:rFonts w:asciiTheme="minorHAnsi" w:hAnsiTheme="minorHAnsi" w:cstheme="minorHAnsi"/>
          <w:color w:val="000000"/>
          <w:lang w:val="hu-HU"/>
        </w:rPr>
        <w:t>1</w:t>
      </w:r>
      <w:r w:rsidR="00D118BE" w:rsidRPr="00466073">
        <w:rPr>
          <w:rFonts w:asciiTheme="minorHAnsi" w:hAnsiTheme="minorHAnsi" w:cstheme="minorHAnsi"/>
          <w:color w:val="000000"/>
          <w:lang w:val="el-GR"/>
        </w:rPr>
        <w:t xml:space="preserve"> η τουριστική κίνηση προς την χώρα μας άγγιζε τα 2</w:t>
      </w:r>
      <w:r w:rsidR="00D118BE" w:rsidRPr="00466073">
        <w:rPr>
          <w:rFonts w:asciiTheme="minorHAnsi" w:hAnsiTheme="minorHAnsi" w:cstheme="minorHAnsi"/>
          <w:color w:val="000000"/>
          <w:lang w:val="hu-HU"/>
        </w:rPr>
        <w:t>/</w:t>
      </w:r>
      <w:r w:rsidR="00D118BE" w:rsidRPr="00466073">
        <w:rPr>
          <w:rFonts w:asciiTheme="minorHAnsi" w:hAnsiTheme="minorHAnsi" w:cstheme="minorHAnsi"/>
          <w:color w:val="000000"/>
          <w:lang w:val="el-GR"/>
        </w:rPr>
        <w:t>3</w:t>
      </w:r>
      <w:r w:rsidR="00D118BE" w:rsidRPr="00466073">
        <w:rPr>
          <w:rFonts w:asciiTheme="minorHAnsi" w:hAnsiTheme="minorHAnsi" w:cstheme="minorHAnsi"/>
          <w:color w:val="000000"/>
          <w:lang w:val="hu-HU"/>
        </w:rPr>
        <w:t xml:space="preserve"> </w:t>
      </w:r>
      <w:r w:rsidR="00D118BE" w:rsidRPr="00466073">
        <w:rPr>
          <w:rFonts w:asciiTheme="minorHAnsi" w:hAnsiTheme="minorHAnsi" w:cstheme="minorHAnsi"/>
          <w:color w:val="000000"/>
          <w:lang w:val="el-GR"/>
        </w:rPr>
        <w:t>της επίδοσης του</w:t>
      </w:r>
      <w:r w:rsidR="00D118BE" w:rsidRPr="00466073">
        <w:rPr>
          <w:rFonts w:asciiTheme="minorHAnsi" w:hAnsiTheme="minorHAnsi" w:cstheme="minorHAnsi"/>
          <w:color w:val="000000"/>
          <w:lang w:val="hu-HU"/>
        </w:rPr>
        <w:t xml:space="preserve"> 2019</w:t>
      </w:r>
      <w:r w:rsidR="00D118BE" w:rsidRPr="00466073">
        <w:rPr>
          <w:rFonts w:asciiTheme="minorHAnsi" w:hAnsiTheme="minorHAnsi" w:cstheme="minorHAnsi"/>
          <w:color w:val="000000"/>
          <w:lang w:val="el-GR"/>
        </w:rPr>
        <w:t xml:space="preserve"> (περί τους 210 χιλ.), ενώ </w:t>
      </w:r>
      <w:r w:rsidR="00D118BE" w:rsidRPr="00466073">
        <w:rPr>
          <w:rFonts w:asciiTheme="minorHAnsi" w:hAnsiTheme="minorHAnsi" w:cstheme="minorHAnsi"/>
          <w:b/>
          <w:color w:val="000000"/>
          <w:lang w:val="el-GR"/>
        </w:rPr>
        <w:t>το 2022</w:t>
      </w:r>
      <w:r w:rsidR="00D118BE" w:rsidRPr="00466073">
        <w:rPr>
          <w:rFonts w:asciiTheme="minorHAnsi" w:hAnsiTheme="minorHAnsi" w:cstheme="minorHAnsi"/>
          <w:color w:val="000000"/>
          <w:lang w:val="el-GR"/>
        </w:rPr>
        <w:t xml:space="preserve"> επανήλθε στα μεγέθη του 2019.</w:t>
      </w:r>
    </w:p>
    <w:p w:rsidR="00CE19BC" w:rsidRPr="00466073" w:rsidRDefault="00CE19BC" w:rsidP="00E61466">
      <w:pPr>
        <w:widowControl w:val="0"/>
        <w:overflowPunct w:val="0"/>
        <w:autoSpaceDE w:val="0"/>
        <w:autoSpaceDN w:val="0"/>
        <w:adjustRightInd w:val="0"/>
        <w:spacing w:line="223" w:lineRule="auto"/>
        <w:jc w:val="both"/>
        <w:rPr>
          <w:rFonts w:asciiTheme="minorHAnsi" w:hAnsiTheme="minorHAnsi" w:cstheme="minorHAnsi"/>
          <w:lang w:val="el-GR"/>
        </w:rPr>
      </w:pPr>
    </w:p>
    <w:p w:rsidR="00354952" w:rsidRPr="00466073" w:rsidRDefault="00354952" w:rsidP="005B3FCE">
      <w:pPr>
        <w:spacing w:after="120"/>
        <w:rPr>
          <w:rFonts w:asciiTheme="minorHAnsi" w:hAnsiTheme="minorHAnsi" w:cstheme="minorHAnsi"/>
          <w:b/>
          <w:bCs/>
          <w:lang w:val="el-GR"/>
        </w:rPr>
      </w:pPr>
      <w:r w:rsidRPr="00466073">
        <w:rPr>
          <w:rFonts w:asciiTheme="minorHAnsi" w:hAnsiTheme="minorHAnsi" w:cstheme="minorHAnsi"/>
          <w:b/>
          <w:bCs/>
          <w:lang w:val="el-GR"/>
        </w:rPr>
        <w:t>Ε. Διεθνείς Εκθέσεις</w:t>
      </w:r>
    </w:p>
    <w:p w:rsidR="00E44C3D" w:rsidRPr="00466073" w:rsidRDefault="00E44C3D" w:rsidP="005B3FCE">
      <w:pPr>
        <w:widowControl w:val="0"/>
        <w:overflowPunct w:val="0"/>
        <w:autoSpaceDE w:val="0"/>
        <w:autoSpaceDN w:val="0"/>
        <w:adjustRightInd w:val="0"/>
        <w:spacing w:line="227" w:lineRule="auto"/>
        <w:jc w:val="both"/>
        <w:rPr>
          <w:rFonts w:asciiTheme="minorHAnsi" w:hAnsiTheme="minorHAnsi" w:cstheme="minorHAnsi"/>
          <w:lang w:val="el-GR"/>
        </w:rPr>
      </w:pPr>
      <w:r w:rsidRPr="00466073">
        <w:rPr>
          <w:rFonts w:asciiTheme="minorHAnsi" w:hAnsiTheme="minorHAnsi" w:cstheme="minorHAnsi"/>
          <w:lang w:val="el-GR"/>
        </w:rPr>
        <w:t xml:space="preserve">Η συμμετοχή </w:t>
      </w:r>
      <w:r w:rsidR="005B3FCE" w:rsidRPr="00466073">
        <w:rPr>
          <w:rFonts w:asciiTheme="minorHAnsi" w:hAnsiTheme="minorHAnsi" w:cstheme="minorHAnsi"/>
          <w:lang w:val="el-GR"/>
        </w:rPr>
        <w:t>(</w:t>
      </w:r>
      <w:r w:rsidRPr="00466073">
        <w:rPr>
          <w:rFonts w:asciiTheme="minorHAnsi" w:hAnsiTheme="minorHAnsi" w:cstheme="minorHAnsi"/>
          <w:lang w:val="el-GR"/>
        </w:rPr>
        <w:t>ή</w:t>
      </w:r>
      <w:r w:rsidR="005B3FCE" w:rsidRPr="00466073">
        <w:rPr>
          <w:rFonts w:asciiTheme="minorHAnsi" w:hAnsiTheme="minorHAnsi" w:cstheme="minorHAnsi"/>
          <w:lang w:val="el-GR"/>
        </w:rPr>
        <w:t>,</w:t>
      </w:r>
      <w:r w:rsidRPr="00466073">
        <w:rPr>
          <w:rFonts w:asciiTheme="minorHAnsi" w:hAnsiTheme="minorHAnsi" w:cstheme="minorHAnsi"/>
          <w:lang w:val="el-GR"/>
        </w:rPr>
        <w:t xml:space="preserve"> επίσκεψη στελεχών</w:t>
      </w:r>
      <w:r w:rsidR="005B3FCE" w:rsidRPr="00466073">
        <w:rPr>
          <w:rFonts w:asciiTheme="minorHAnsi" w:hAnsiTheme="minorHAnsi" w:cstheme="minorHAnsi"/>
          <w:lang w:val="el-GR"/>
        </w:rPr>
        <w:t>)</w:t>
      </w:r>
      <w:r w:rsidRPr="00466073">
        <w:rPr>
          <w:rFonts w:asciiTheme="minorHAnsi" w:hAnsiTheme="minorHAnsi" w:cstheme="minorHAnsi"/>
          <w:lang w:val="el-GR"/>
        </w:rPr>
        <w:t xml:space="preserve"> ελληνικών επιχειρήσεων σε Εκθέσεις που διοργανώνονται στην Ουγγαρία</w:t>
      </w:r>
      <w:r w:rsidR="005B3FCE" w:rsidRPr="00466073">
        <w:rPr>
          <w:rFonts w:asciiTheme="minorHAnsi" w:hAnsiTheme="minorHAnsi" w:cstheme="minorHAnsi"/>
          <w:lang w:val="el-GR"/>
        </w:rPr>
        <w:t>, ενισχύει την ελληνική παρουσία στην ουγγρική αγορά, δημιουργεί προϋποθέσεις για επιτυχημένες επιχειρηματικές επαφές και αναδεικνύει τις πραγματικές</w:t>
      </w:r>
      <w:r w:rsidRPr="00466073">
        <w:rPr>
          <w:rFonts w:asciiTheme="minorHAnsi" w:hAnsiTheme="minorHAnsi" w:cstheme="minorHAnsi"/>
          <w:lang w:val="el-GR"/>
        </w:rPr>
        <w:t xml:space="preserve"> δυνατ</w:t>
      </w:r>
      <w:r w:rsidR="005B3FCE" w:rsidRPr="00466073">
        <w:rPr>
          <w:rFonts w:asciiTheme="minorHAnsi" w:hAnsiTheme="minorHAnsi" w:cstheme="minorHAnsi"/>
          <w:lang w:val="el-GR"/>
        </w:rPr>
        <w:t xml:space="preserve">ότητες </w:t>
      </w:r>
      <w:r w:rsidRPr="00466073">
        <w:rPr>
          <w:rFonts w:asciiTheme="minorHAnsi" w:hAnsiTheme="minorHAnsi" w:cstheme="minorHAnsi"/>
          <w:lang w:val="el-GR"/>
        </w:rPr>
        <w:t xml:space="preserve">των ελληνικών επιχειρήσεων. Οι κυριότερες </w:t>
      </w:r>
      <w:r w:rsidR="005B3FCE" w:rsidRPr="00466073">
        <w:rPr>
          <w:rFonts w:asciiTheme="minorHAnsi" w:hAnsiTheme="minorHAnsi" w:cstheme="minorHAnsi"/>
          <w:lang w:val="el-GR"/>
        </w:rPr>
        <w:t>διεθνείς εκθέσεις στις οποίες θα υπήρχε ενδιαφέρον συμμετοχής από ελληνικές εταιρείες, είναι</w:t>
      </w:r>
      <w:r w:rsidRPr="00466073">
        <w:rPr>
          <w:rFonts w:asciiTheme="minorHAnsi" w:hAnsiTheme="minorHAnsi" w:cstheme="minorHAnsi"/>
          <w:lang w:val="el-GR"/>
        </w:rPr>
        <w:t>:</w:t>
      </w:r>
    </w:p>
    <w:p w:rsidR="005B3FCE" w:rsidRPr="00466073" w:rsidRDefault="005B3FCE" w:rsidP="005B3FCE">
      <w:pPr>
        <w:widowControl w:val="0"/>
        <w:overflowPunct w:val="0"/>
        <w:autoSpaceDE w:val="0"/>
        <w:autoSpaceDN w:val="0"/>
        <w:adjustRightInd w:val="0"/>
        <w:spacing w:line="227" w:lineRule="auto"/>
        <w:jc w:val="both"/>
        <w:rPr>
          <w:rFonts w:asciiTheme="minorHAnsi" w:hAnsiTheme="minorHAnsi" w:cstheme="minorHAnsi"/>
          <w:lang w:val="el-GR"/>
        </w:rPr>
      </w:pPr>
    </w:p>
    <w:p w:rsidR="005B3FCE" w:rsidRPr="00466073" w:rsidRDefault="00EA55CE" w:rsidP="00EA55CE">
      <w:pPr>
        <w:pStyle w:val="ListParagraph"/>
        <w:widowControl w:val="0"/>
        <w:numPr>
          <w:ilvl w:val="0"/>
          <w:numId w:val="30"/>
        </w:numPr>
        <w:overflowPunct w:val="0"/>
        <w:autoSpaceDE w:val="0"/>
        <w:autoSpaceDN w:val="0"/>
        <w:adjustRightInd w:val="0"/>
        <w:spacing w:line="227" w:lineRule="auto"/>
        <w:jc w:val="both"/>
        <w:rPr>
          <w:rFonts w:cstheme="minorHAnsi"/>
          <w:color w:val="000000" w:themeColor="text1"/>
          <w:sz w:val="24"/>
          <w:szCs w:val="24"/>
          <w:lang w:val="el-GR"/>
        </w:rPr>
      </w:pPr>
      <w:r w:rsidRPr="00466073">
        <w:rPr>
          <w:rFonts w:cstheme="minorHAnsi"/>
          <w:color w:val="000000" w:themeColor="text1"/>
          <w:sz w:val="24"/>
          <w:szCs w:val="24"/>
          <w:lang w:val="el-GR"/>
        </w:rPr>
        <w:t>«</w:t>
      </w:r>
      <w:r w:rsidR="005B3FCE" w:rsidRPr="00466073">
        <w:rPr>
          <w:rFonts w:cstheme="minorHAnsi"/>
          <w:color w:val="000000" w:themeColor="text1"/>
          <w:sz w:val="24"/>
          <w:szCs w:val="24"/>
          <w:lang w:val="el-GR"/>
        </w:rPr>
        <w:t>AGROMASHEXPO</w:t>
      </w:r>
      <w:r w:rsidRPr="00466073">
        <w:rPr>
          <w:rFonts w:cstheme="minorHAnsi"/>
          <w:color w:val="000000" w:themeColor="text1"/>
          <w:sz w:val="24"/>
          <w:szCs w:val="24"/>
          <w:lang w:val="el-GR"/>
        </w:rPr>
        <w:t>»</w:t>
      </w:r>
      <w:r w:rsidR="005B3FCE" w:rsidRPr="00466073">
        <w:rPr>
          <w:rFonts w:cstheme="minorHAnsi"/>
          <w:color w:val="000000" w:themeColor="text1"/>
          <w:sz w:val="24"/>
          <w:szCs w:val="24"/>
          <w:lang w:val="el-GR"/>
        </w:rPr>
        <w:t xml:space="preserve">, </w:t>
      </w:r>
      <w:r w:rsidR="002556EF" w:rsidRPr="00466073">
        <w:rPr>
          <w:rFonts w:cstheme="minorHAnsi"/>
          <w:color w:val="000000" w:themeColor="text1"/>
          <w:sz w:val="24"/>
          <w:szCs w:val="24"/>
          <w:lang w:val="el-GR"/>
        </w:rPr>
        <w:t>η</w:t>
      </w:r>
      <w:r w:rsidR="005B3FCE" w:rsidRPr="00466073">
        <w:rPr>
          <w:rFonts w:cstheme="minorHAnsi"/>
          <w:color w:val="000000" w:themeColor="text1"/>
          <w:sz w:val="24"/>
          <w:szCs w:val="24"/>
          <w:lang w:val="el-GR"/>
        </w:rPr>
        <w:t xml:space="preserve"> μεγαλύτερη έκθεση αγροτικού εξοπλισμού (μηχανήματα, εργαλεία, αυτομα</w:t>
      </w:r>
      <w:r w:rsidR="002556EF" w:rsidRPr="00466073">
        <w:rPr>
          <w:rFonts w:cstheme="minorHAnsi"/>
          <w:color w:val="000000" w:themeColor="text1"/>
          <w:sz w:val="24"/>
          <w:szCs w:val="24"/>
          <w:lang w:val="el-GR"/>
        </w:rPr>
        <w:t>τ</w:t>
      </w:r>
      <w:r w:rsidR="005B3FCE" w:rsidRPr="00466073">
        <w:rPr>
          <w:rFonts w:cstheme="minorHAnsi"/>
          <w:color w:val="000000" w:themeColor="text1"/>
          <w:sz w:val="24"/>
          <w:szCs w:val="24"/>
          <w:lang w:val="el-GR"/>
        </w:rPr>
        <w:t>ισμοί, λιπάσματα, εντομοκτόνα, πα</w:t>
      </w:r>
      <w:r w:rsidR="002556EF" w:rsidRPr="00466073">
        <w:rPr>
          <w:rFonts w:cstheme="minorHAnsi"/>
          <w:color w:val="000000" w:themeColor="text1"/>
          <w:sz w:val="24"/>
          <w:szCs w:val="24"/>
          <w:lang w:val="el-GR"/>
        </w:rPr>
        <w:t>ρ</w:t>
      </w:r>
      <w:r w:rsidR="005B3FCE" w:rsidRPr="00466073">
        <w:rPr>
          <w:rFonts w:cstheme="minorHAnsi"/>
          <w:color w:val="000000" w:themeColor="text1"/>
          <w:sz w:val="24"/>
          <w:szCs w:val="24"/>
          <w:lang w:val="el-GR"/>
        </w:rPr>
        <w:t>α</w:t>
      </w:r>
      <w:r w:rsidR="002556EF" w:rsidRPr="00466073">
        <w:rPr>
          <w:rFonts w:cstheme="minorHAnsi"/>
          <w:color w:val="000000" w:themeColor="text1"/>
          <w:sz w:val="24"/>
          <w:szCs w:val="24"/>
          <w:lang w:val="el-GR"/>
        </w:rPr>
        <w:t>σ</w:t>
      </w:r>
      <w:r w:rsidR="005B3FCE" w:rsidRPr="00466073">
        <w:rPr>
          <w:rFonts w:cstheme="minorHAnsi"/>
          <w:color w:val="000000" w:themeColor="text1"/>
          <w:sz w:val="24"/>
          <w:szCs w:val="24"/>
          <w:lang w:val="el-GR"/>
        </w:rPr>
        <w:t>ι</w:t>
      </w:r>
      <w:r w:rsidR="002556EF" w:rsidRPr="00466073">
        <w:rPr>
          <w:rFonts w:cstheme="minorHAnsi"/>
          <w:color w:val="000000" w:themeColor="text1"/>
          <w:sz w:val="24"/>
          <w:szCs w:val="24"/>
          <w:lang w:val="el-GR"/>
        </w:rPr>
        <w:t>τ</w:t>
      </w:r>
      <w:r w:rsidR="005B3FCE" w:rsidRPr="00466073">
        <w:rPr>
          <w:rFonts w:cstheme="minorHAnsi"/>
          <w:color w:val="000000" w:themeColor="text1"/>
          <w:sz w:val="24"/>
          <w:szCs w:val="24"/>
          <w:lang w:val="el-GR"/>
        </w:rPr>
        <w:t>οκ</w:t>
      </w:r>
      <w:r w:rsidR="002556EF" w:rsidRPr="00466073">
        <w:rPr>
          <w:rFonts w:cstheme="minorHAnsi"/>
          <w:color w:val="000000" w:themeColor="text1"/>
          <w:sz w:val="24"/>
          <w:szCs w:val="24"/>
          <w:lang w:val="el-GR"/>
        </w:rPr>
        <w:t>τόνα, σ</w:t>
      </w:r>
      <w:r w:rsidR="005B3FCE" w:rsidRPr="00466073">
        <w:rPr>
          <w:rFonts w:cstheme="minorHAnsi"/>
          <w:color w:val="000000" w:themeColor="text1"/>
          <w:sz w:val="24"/>
          <w:szCs w:val="24"/>
          <w:lang w:val="el-GR"/>
        </w:rPr>
        <w:t>πό</w:t>
      </w:r>
      <w:r w:rsidR="002556EF" w:rsidRPr="00466073">
        <w:rPr>
          <w:rFonts w:cstheme="minorHAnsi"/>
          <w:color w:val="000000" w:themeColor="text1"/>
          <w:sz w:val="24"/>
          <w:szCs w:val="24"/>
          <w:lang w:val="el-GR"/>
        </w:rPr>
        <w:t>ρ</w:t>
      </w:r>
      <w:r w:rsidR="005B3FCE" w:rsidRPr="00466073">
        <w:rPr>
          <w:rFonts w:cstheme="minorHAnsi"/>
          <w:color w:val="000000" w:themeColor="text1"/>
          <w:sz w:val="24"/>
          <w:szCs w:val="24"/>
          <w:lang w:val="el-GR"/>
        </w:rPr>
        <w:t xml:space="preserve">οι </w:t>
      </w:r>
      <w:r w:rsidR="002556EF" w:rsidRPr="00466073">
        <w:rPr>
          <w:rFonts w:cstheme="minorHAnsi"/>
          <w:color w:val="000000" w:themeColor="text1"/>
          <w:sz w:val="24"/>
          <w:szCs w:val="24"/>
          <w:lang w:val="el-GR"/>
        </w:rPr>
        <w:t>σ</w:t>
      </w:r>
      <w:r w:rsidR="005B3FCE" w:rsidRPr="00466073">
        <w:rPr>
          <w:rFonts w:cstheme="minorHAnsi"/>
          <w:color w:val="000000" w:themeColor="text1"/>
          <w:sz w:val="24"/>
          <w:szCs w:val="24"/>
          <w:lang w:val="el-GR"/>
        </w:rPr>
        <w:t>πο</w:t>
      </w:r>
      <w:r w:rsidR="002556EF" w:rsidRPr="00466073">
        <w:rPr>
          <w:rFonts w:cstheme="minorHAnsi"/>
          <w:color w:val="000000" w:themeColor="text1"/>
          <w:sz w:val="24"/>
          <w:szCs w:val="24"/>
          <w:lang w:val="el-GR"/>
        </w:rPr>
        <w:t>ράς, κλπ) στην Ουγγαρία</w:t>
      </w:r>
    </w:p>
    <w:p w:rsidR="005B3FCE" w:rsidRPr="00466073" w:rsidRDefault="00EA55CE" w:rsidP="00EA55CE">
      <w:pPr>
        <w:pStyle w:val="ListParagraph"/>
        <w:widowControl w:val="0"/>
        <w:numPr>
          <w:ilvl w:val="0"/>
          <w:numId w:val="30"/>
        </w:numPr>
        <w:overflowPunct w:val="0"/>
        <w:autoSpaceDE w:val="0"/>
        <w:autoSpaceDN w:val="0"/>
        <w:adjustRightInd w:val="0"/>
        <w:spacing w:line="227" w:lineRule="auto"/>
        <w:jc w:val="both"/>
        <w:rPr>
          <w:rFonts w:cstheme="minorHAnsi"/>
          <w:color w:val="000000" w:themeColor="text1"/>
          <w:sz w:val="24"/>
          <w:szCs w:val="24"/>
          <w:lang w:val="el-GR"/>
        </w:rPr>
      </w:pPr>
      <w:r w:rsidRPr="00466073">
        <w:rPr>
          <w:rFonts w:cstheme="minorHAnsi"/>
          <w:color w:val="000000" w:themeColor="text1"/>
          <w:sz w:val="24"/>
          <w:szCs w:val="24"/>
          <w:lang w:val="el-GR"/>
        </w:rPr>
        <w:t>«</w:t>
      </w:r>
      <w:r w:rsidR="005B3FCE" w:rsidRPr="00466073">
        <w:rPr>
          <w:rFonts w:cstheme="minorHAnsi"/>
          <w:color w:val="000000" w:themeColor="text1"/>
          <w:sz w:val="24"/>
          <w:szCs w:val="24"/>
          <w:lang w:val="el-GR"/>
        </w:rPr>
        <w:t>BOAT SHOW</w:t>
      </w:r>
      <w:r w:rsidRPr="00466073">
        <w:rPr>
          <w:rFonts w:cstheme="minorHAnsi"/>
          <w:color w:val="000000" w:themeColor="text1"/>
          <w:sz w:val="24"/>
          <w:szCs w:val="24"/>
          <w:lang w:val="el-GR"/>
        </w:rPr>
        <w:t>»</w:t>
      </w:r>
      <w:r w:rsidR="005B3FCE" w:rsidRPr="00466073">
        <w:rPr>
          <w:rFonts w:cstheme="minorHAnsi"/>
          <w:color w:val="000000" w:themeColor="text1"/>
          <w:sz w:val="24"/>
          <w:szCs w:val="24"/>
          <w:lang w:val="el-GR"/>
        </w:rPr>
        <w:t>, Να</w:t>
      </w:r>
      <w:r w:rsidR="002556EF" w:rsidRPr="00466073">
        <w:rPr>
          <w:rFonts w:cstheme="minorHAnsi"/>
          <w:color w:val="000000" w:themeColor="text1"/>
          <w:sz w:val="24"/>
          <w:szCs w:val="24"/>
          <w:lang w:val="el-GR"/>
        </w:rPr>
        <w:t>υτ</w:t>
      </w:r>
      <w:r w:rsidR="005B3FCE" w:rsidRPr="00466073">
        <w:rPr>
          <w:rFonts w:cstheme="minorHAnsi"/>
          <w:color w:val="000000" w:themeColor="text1"/>
          <w:sz w:val="24"/>
          <w:szCs w:val="24"/>
          <w:lang w:val="el-GR"/>
        </w:rPr>
        <w:t xml:space="preserve">ικό </w:t>
      </w:r>
      <w:r w:rsidR="00F75667" w:rsidRPr="00466073">
        <w:rPr>
          <w:rFonts w:cstheme="minorHAnsi"/>
          <w:color w:val="000000" w:themeColor="text1"/>
          <w:sz w:val="24"/>
          <w:szCs w:val="24"/>
          <w:lang w:val="el-GR"/>
        </w:rPr>
        <w:t>σαλόνι Βου</w:t>
      </w:r>
      <w:r w:rsidR="005B3FCE" w:rsidRPr="00466073">
        <w:rPr>
          <w:rFonts w:cstheme="minorHAnsi"/>
          <w:color w:val="000000" w:themeColor="text1"/>
          <w:sz w:val="24"/>
          <w:szCs w:val="24"/>
          <w:lang w:val="el-GR"/>
        </w:rPr>
        <w:t>δαπέ</w:t>
      </w:r>
      <w:r w:rsidR="002556EF" w:rsidRPr="00466073">
        <w:rPr>
          <w:rFonts w:cstheme="minorHAnsi"/>
          <w:color w:val="000000" w:themeColor="text1"/>
          <w:sz w:val="24"/>
          <w:szCs w:val="24"/>
          <w:lang w:val="el-GR"/>
        </w:rPr>
        <w:t>στης</w:t>
      </w:r>
      <w:r w:rsidR="005B3FCE" w:rsidRPr="00466073">
        <w:rPr>
          <w:rFonts w:cstheme="minorHAnsi"/>
          <w:color w:val="000000" w:themeColor="text1"/>
          <w:sz w:val="24"/>
          <w:szCs w:val="24"/>
          <w:lang w:val="el-GR"/>
        </w:rPr>
        <w:t xml:space="preserve">. </w:t>
      </w:r>
      <w:r w:rsidR="002556EF" w:rsidRPr="00466073">
        <w:rPr>
          <w:rFonts w:cstheme="minorHAnsi"/>
          <w:color w:val="000000" w:themeColor="text1"/>
          <w:sz w:val="24"/>
          <w:szCs w:val="24"/>
          <w:lang w:val="el-GR"/>
        </w:rPr>
        <w:t>Ενδιαφέρουσα έκθεση</w:t>
      </w:r>
      <w:r w:rsidR="005B3FCE" w:rsidRPr="00466073">
        <w:rPr>
          <w:rFonts w:cstheme="minorHAnsi"/>
          <w:color w:val="000000" w:themeColor="text1"/>
          <w:sz w:val="24"/>
          <w:szCs w:val="24"/>
          <w:lang w:val="el-GR"/>
        </w:rPr>
        <w:t xml:space="preserve"> με </w:t>
      </w:r>
      <w:r w:rsidR="002556EF" w:rsidRPr="00466073">
        <w:rPr>
          <w:rFonts w:cstheme="minorHAnsi"/>
          <w:color w:val="000000" w:themeColor="text1"/>
          <w:sz w:val="24"/>
          <w:szCs w:val="24"/>
          <w:lang w:val="el-GR"/>
        </w:rPr>
        <w:t>προοπτικές για τ</w:t>
      </w:r>
      <w:r w:rsidR="005B3FCE" w:rsidRPr="00466073">
        <w:rPr>
          <w:rFonts w:cstheme="minorHAnsi"/>
          <w:color w:val="000000" w:themeColor="text1"/>
          <w:sz w:val="24"/>
          <w:szCs w:val="24"/>
          <w:lang w:val="el-GR"/>
        </w:rPr>
        <w:t xml:space="preserve">ην ελληνική </w:t>
      </w:r>
      <w:r w:rsidR="002556EF" w:rsidRPr="00466073">
        <w:rPr>
          <w:rFonts w:cstheme="minorHAnsi"/>
          <w:color w:val="000000" w:themeColor="text1"/>
          <w:sz w:val="24"/>
          <w:szCs w:val="24"/>
          <w:lang w:val="el-GR"/>
        </w:rPr>
        <w:t>βιομηχανία</w:t>
      </w:r>
      <w:r w:rsidR="005B3FCE" w:rsidRPr="00466073">
        <w:rPr>
          <w:rFonts w:cstheme="minorHAnsi"/>
          <w:color w:val="000000" w:themeColor="text1"/>
          <w:sz w:val="24"/>
          <w:szCs w:val="24"/>
          <w:lang w:val="el-GR"/>
        </w:rPr>
        <w:t xml:space="preserve"> κα</w:t>
      </w:r>
      <w:r w:rsidR="002556EF" w:rsidRPr="00466073">
        <w:rPr>
          <w:rFonts w:cstheme="minorHAnsi"/>
          <w:color w:val="000000" w:themeColor="text1"/>
          <w:sz w:val="24"/>
          <w:szCs w:val="24"/>
          <w:lang w:val="el-GR"/>
        </w:rPr>
        <w:t>τασκευαστών</w:t>
      </w:r>
      <w:r w:rsidR="005B3FCE" w:rsidRPr="00466073">
        <w:rPr>
          <w:rFonts w:cstheme="minorHAnsi"/>
          <w:color w:val="000000" w:themeColor="text1"/>
          <w:sz w:val="24"/>
          <w:szCs w:val="24"/>
          <w:lang w:val="el-GR"/>
        </w:rPr>
        <w:t xml:space="preserve"> </w:t>
      </w:r>
      <w:r w:rsidR="002556EF" w:rsidRPr="00466073">
        <w:rPr>
          <w:rFonts w:cstheme="minorHAnsi"/>
          <w:color w:val="000000" w:themeColor="text1"/>
          <w:sz w:val="24"/>
          <w:szCs w:val="24"/>
          <w:lang w:val="el-GR"/>
        </w:rPr>
        <w:t>μικρών σκαφών</w:t>
      </w:r>
      <w:r w:rsidR="005B3FCE" w:rsidRPr="00466073">
        <w:rPr>
          <w:rFonts w:cstheme="minorHAnsi"/>
          <w:color w:val="000000" w:themeColor="text1"/>
          <w:sz w:val="24"/>
          <w:szCs w:val="24"/>
          <w:lang w:val="el-GR"/>
        </w:rPr>
        <w:t xml:space="preserve"> και </w:t>
      </w:r>
      <w:r w:rsidR="002556EF" w:rsidRPr="00466073">
        <w:rPr>
          <w:rFonts w:cstheme="minorHAnsi"/>
          <w:color w:val="000000" w:themeColor="text1"/>
          <w:sz w:val="24"/>
          <w:szCs w:val="24"/>
          <w:lang w:val="el-GR"/>
        </w:rPr>
        <w:t>ναυτιλιακών ειδών.</w:t>
      </w:r>
    </w:p>
    <w:p w:rsidR="005B3FCE" w:rsidRPr="00466073" w:rsidRDefault="00EA55CE" w:rsidP="00EA55CE">
      <w:pPr>
        <w:pStyle w:val="ListParagraph"/>
        <w:widowControl w:val="0"/>
        <w:numPr>
          <w:ilvl w:val="0"/>
          <w:numId w:val="30"/>
        </w:numPr>
        <w:overflowPunct w:val="0"/>
        <w:autoSpaceDE w:val="0"/>
        <w:autoSpaceDN w:val="0"/>
        <w:adjustRightInd w:val="0"/>
        <w:spacing w:line="227" w:lineRule="auto"/>
        <w:jc w:val="both"/>
        <w:rPr>
          <w:rFonts w:cstheme="minorHAnsi"/>
          <w:color w:val="000000" w:themeColor="text1"/>
          <w:sz w:val="24"/>
          <w:szCs w:val="24"/>
          <w:lang w:val="el-GR"/>
        </w:rPr>
      </w:pPr>
      <w:r w:rsidRPr="00466073">
        <w:rPr>
          <w:rFonts w:cstheme="minorHAnsi"/>
          <w:color w:val="000000" w:themeColor="text1"/>
          <w:sz w:val="24"/>
          <w:szCs w:val="24"/>
          <w:lang w:val="el-GR"/>
        </w:rPr>
        <w:t>«</w:t>
      </w:r>
      <w:r w:rsidR="002556EF" w:rsidRPr="00466073">
        <w:rPr>
          <w:rFonts w:cstheme="minorHAnsi"/>
          <w:color w:val="000000" w:themeColor="text1"/>
          <w:sz w:val="24"/>
          <w:szCs w:val="24"/>
          <w:lang w:val="el-GR"/>
        </w:rPr>
        <w:t>CONSTRUMA</w:t>
      </w:r>
      <w:r w:rsidRPr="00466073">
        <w:rPr>
          <w:rFonts w:cstheme="minorHAnsi"/>
          <w:color w:val="000000" w:themeColor="text1"/>
          <w:sz w:val="24"/>
          <w:szCs w:val="24"/>
          <w:lang w:val="el-GR"/>
        </w:rPr>
        <w:t>»</w:t>
      </w:r>
      <w:r w:rsidR="002556EF" w:rsidRPr="00466073">
        <w:rPr>
          <w:rFonts w:cstheme="minorHAnsi"/>
          <w:color w:val="000000" w:themeColor="text1"/>
          <w:sz w:val="24"/>
          <w:szCs w:val="24"/>
          <w:lang w:val="el-GR"/>
        </w:rPr>
        <w:t>,</w:t>
      </w:r>
      <w:r w:rsidR="005B3FCE" w:rsidRPr="00466073">
        <w:rPr>
          <w:rFonts w:cstheme="minorHAnsi"/>
          <w:color w:val="000000" w:themeColor="text1"/>
          <w:sz w:val="24"/>
          <w:szCs w:val="24"/>
          <w:lang w:val="el-GR"/>
        </w:rPr>
        <w:t xml:space="preserve"> </w:t>
      </w:r>
      <w:r w:rsidR="002556EF" w:rsidRPr="00466073">
        <w:rPr>
          <w:rFonts w:cstheme="minorHAnsi"/>
          <w:color w:val="000000" w:themeColor="text1"/>
          <w:sz w:val="24"/>
          <w:szCs w:val="24"/>
          <w:lang w:val="el-GR"/>
        </w:rPr>
        <w:t>Διεθνής</w:t>
      </w:r>
      <w:r w:rsidR="005B3FCE" w:rsidRPr="00466073">
        <w:rPr>
          <w:rFonts w:cstheme="minorHAnsi"/>
          <w:color w:val="000000" w:themeColor="text1"/>
          <w:sz w:val="24"/>
          <w:szCs w:val="24"/>
          <w:lang w:val="el-GR"/>
        </w:rPr>
        <w:t xml:space="preserve"> </w:t>
      </w:r>
      <w:r w:rsidR="002556EF" w:rsidRPr="00466073">
        <w:rPr>
          <w:rFonts w:cstheme="minorHAnsi"/>
          <w:color w:val="000000" w:themeColor="text1"/>
          <w:sz w:val="24"/>
          <w:szCs w:val="24"/>
          <w:lang w:val="el-GR"/>
        </w:rPr>
        <w:t>Έκθεση</w:t>
      </w:r>
      <w:r w:rsidR="005B3FCE" w:rsidRPr="00466073">
        <w:rPr>
          <w:rFonts w:cstheme="minorHAnsi"/>
          <w:color w:val="000000" w:themeColor="text1"/>
          <w:sz w:val="24"/>
          <w:szCs w:val="24"/>
          <w:lang w:val="el-GR"/>
        </w:rPr>
        <w:t xml:space="preserve"> </w:t>
      </w:r>
      <w:r w:rsidR="002556EF" w:rsidRPr="00466073">
        <w:rPr>
          <w:rFonts w:cstheme="minorHAnsi"/>
          <w:color w:val="000000" w:themeColor="text1"/>
          <w:sz w:val="24"/>
          <w:szCs w:val="24"/>
          <w:lang w:val="el-GR"/>
        </w:rPr>
        <w:t>Κατασκευών</w:t>
      </w:r>
      <w:r w:rsidR="005B3FCE" w:rsidRPr="00466073">
        <w:rPr>
          <w:rFonts w:cstheme="minorHAnsi"/>
          <w:color w:val="000000" w:themeColor="text1"/>
          <w:sz w:val="24"/>
          <w:szCs w:val="24"/>
          <w:lang w:val="el-GR"/>
        </w:rPr>
        <w:t xml:space="preserve"> και </w:t>
      </w:r>
      <w:r w:rsidR="002556EF" w:rsidRPr="00466073">
        <w:rPr>
          <w:rFonts w:cstheme="minorHAnsi"/>
          <w:color w:val="000000" w:themeColor="text1"/>
          <w:sz w:val="24"/>
          <w:szCs w:val="24"/>
          <w:lang w:val="el-GR"/>
        </w:rPr>
        <w:t>Δομικών</w:t>
      </w:r>
      <w:r w:rsidR="005B3FCE" w:rsidRPr="00466073">
        <w:rPr>
          <w:rFonts w:cstheme="minorHAnsi"/>
          <w:color w:val="000000" w:themeColor="text1"/>
          <w:sz w:val="24"/>
          <w:szCs w:val="24"/>
          <w:lang w:val="el-GR"/>
        </w:rPr>
        <w:t xml:space="preserve"> </w:t>
      </w:r>
      <w:r w:rsidR="002556EF" w:rsidRPr="00466073">
        <w:rPr>
          <w:rFonts w:cstheme="minorHAnsi"/>
          <w:color w:val="000000" w:themeColor="text1"/>
          <w:sz w:val="24"/>
          <w:szCs w:val="24"/>
          <w:lang w:val="el-GR"/>
        </w:rPr>
        <w:t>Υλικών</w:t>
      </w:r>
      <w:r w:rsidR="005B3FCE" w:rsidRPr="00466073">
        <w:rPr>
          <w:rFonts w:cstheme="minorHAnsi"/>
          <w:color w:val="000000" w:themeColor="text1"/>
          <w:sz w:val="24"/>
          <w:szCs w:val="24"/>
          <w:lang w:val="el-GR"/>
        </w:rPr>
        <w:t xml:space="preserve">. </w:t>
      </w:r>
      <w:r w:rsidR="002556EF" w:rsidRPr="00466073">
        <w:rPr>
          <w:rFonts w:cstheme="minorHAnsi"/>
          <w:color w:val="000000" w:themeColor="text1"/>
          <w:sz w:val="24"/>
          <w:szCs w:val="24"/>
          <w:lang w:val="el-GR"/>
        </w:rPr>
        <w:t>Μεταξύ των σημαντικότερων στην Κεντρ</w:t>
      </w:r>
      <w:r w:rsidR="005B3FCE" w:rsidRPr="00466073">
        <w:rPr>
          <w:rFonts w:cstheme="minorHAnsi"/>
          <w:color w:val="000000" w:themeColor="text1"/>
          <w:sz w:val="24"/>
          <w:szCs w:val="24"/>
          <w:lang w:val="el-GR"/>
        </w:rPr>
        <w:t>ική και Ανα</w:t>
      </w:r>
      <w:r w:rsidR="002556EF" w:rsidRPr="00466073">
        <w:rPr>
          <w:rFonts w:cstheme="minorHAnsi"/>
          <w:color w:val="000000" w:themeColor="text1"/>
          <w:sz w:val="24"/>
          <w:szCs w:val="24"/>
          <w:lang w:val="el-GR"/>
        </w:rPr>
        <w:t>τολική Ευρώπη</w:t>
      </w:r>
      <w:r w:rsidR="005B3FCE" w:rsidRPr="00466073">
        <w:rPr>
          <w:rFonts w:cstheme="minorHAnsi"/>
          <w:color w:val="000000" w:themeColor="text1"/>
          <w:sz w:val="24"/>
          <w:szCs w:val="24"/>
          <w:lang w:val="el-GR"/>
        </w:rPr>
        <w:t xml:space="preserve">. </w:t>
      </w:r>
    </w:p>
    <w:p w:rsidR="00E22BDD" w:rsidRPr="00466073" w:rsidRDefault="00E22BDD" w:rsidP="00E22BDD">
      <w:pPr>
        <w:pStyle w:val="ListParagraph"/>
        <w:widowControl w:val="0"/>
        <w:numPr>
          <w:ilvl w:val="0"/>
          <w:numId w:val="30"/>
        </w:numPr>
        <w:overflowPunct w:val="0"/>
        <w:autoSpaceDE w:val="0"/>
        <w:autoSpaceDN w:val="0"/>
        <w:adjustRightInd w:val="0"/>
        <w:spacing w:line="227" w:lineRule="auto"/>
        <w:jc w:val="both"/>
        <w:rPr>
          <w:rFonts w:cstheme="minorHAnsi"/>
          <w:color w:val="000000" w:themeColor="text1"/>
          <w:sz w:val="24"/>
          <w:szCs w:val="24"/>
          <w:lang w:val="el-GR"/>
        </w:rPr>
      </w:pPr>
      <w:r w:rsidRPr="00466073">
        <w:rPr>
          <w:rFonts w:cstheme="minorHAnsi"/>
          <w:color w:val="000000" w:themeColor="text1"/>
          <w:sz w:val="24"/>
          <w:szCs w:val="24"/>
          <w:lang w:val="el-GR"/>
        </w:rPr>
        <w:t>«</w:t>
      </w:r>
      <w:r w:rsidRPr="00466073">
        <w:rPr>
          <w:rStyle w:val="color"/>
          <w:rFonts w:cstheme="minorHAnsi"/>
          <w:color w:val="000000" w:themeColor="text1"/>
          <w:sz w:val="24"/>
          <w:szCs w:val="24"/>
        </w:rPr>
        <w:t>HUNGAROTHERM</w:t>
      </w:r>
      <w:r w:rsidRPr="00466073">
        <w:rPr>
          <w:rFonts w:cstheme="minorHAnsi"/>
          <w:color w:val="000000" w:themeColor="text1"/>
          <w:sz w:val="24"/>
          <w:szCs w:val="24"/>
          <w:lang w:val="el-GR"/>
        </w:rPr>
        <w:t>»</w:t>
      </w:r>
      <w:r w:rsidRPr="00466073">
        <w:rPr>
          <w:rStyle w:val="color"/>
          <w:rFonts w:cstheme="minorHAnsi"/>
          <w:color w:val="000000" w:themeColor="text1"/>
          <w:sz w:val="24"/>
          <w:szCs w:val="24"/>
          <w:lang w:val="el-GR"/>
        </w:rPr>
        <w:t xml:space="preserve"> </w:t>
      </w:r>
      <w:r w:rsidRPr="00466073">
        <w:rPr>
          <w:rFonts w:cstheme="minorHAnsi"/>
          <w:color w:val="000000" w:themeColor="text1"/>
          <w:sz w:val="24"/>
          <w:szCs w:val="24"/>
          <w:lang w:val="el-GR"/>
        </w:rPr>
        <w:t xml:space="preserve">Διεθνής Έκθεση Προϊόντων Θέρμανσης, Εξαερισμού, Κλιματισμού κλπ. </w:t>
      </w:r>
    </w:p>
    <w:p w:rsidR="00E22BDD" w:rsidRPr="00466073" w:rsidRDefault="00E22BDD" w:rsidP="00E22BDD">
      <w:pPr>
        <w:pStyle w:val="ListParagraph"/>
        <w:widowControl w:val="0"/>
        <w:numPr>
          <w:ilvl w:val="0"/>
          <w:numId w:val="30"/>
        </w:numPr>
        <w:overflowPunct w:val="0"/>
        <w:autoSpaceDE w:val="0"/>
        <w:autoSpaceDN w:val="0"/>
        <w:adjustRightInd w:val="0"/>
        <w:spacing w:line="227" w:lineRule="auto"/>
        <w:jc w:val="both"/>
        <w:rPr>
          <w:rFonts w:cstheme="minorHAnsi"/>
          <w:color w:val="000000" w:themeColor="text1"/>
          <w:sz w:val="24"/>
          <w:szCs w:val="24"/>
          <w:lang w:val="el-GR"/>
        </w:rPr>
      </w:pPr>
      <w:r w:rsidRPr="00466073">
        <w:rPr>
          <w:rFonts w:cstheme="minorHAnsi"/>
          <w:color w:val="000000" w:themeColor="text1"/>
          <w:sz w:val="24"/>
          <w:szCs w:val="24"/>
          <w:lang w:val="el-GR"/>
        </w:rPr>
        <w:t>«</w:t>
      </w:r>
      <w:r w:rsidRPr="00466073">
        <w:rPr>
          <w:rFonts w:cstheme="minorHAnsi"/>
          <w:color w:val="000000" w:themeColor="text1"/>
          <w:sz w:val="24"/>
          <w:szCs w:val="24"/>
        </w:rPr>
        <w:t>INDUSTRY</w:t>
      </w:r>
      <w:r w:rsidRPr="00466073">
        <w:rPr>
          <w:rFonts w:cstheme="minorHAnsi"/>
          <w:color w:val="000000" w:themeColor="text1"/>
          <w:sz w:val="24"/>
          <w:szCs w:val="24"/>
          <w:lang w:val="el-GR"/>
        </w:rPr>
        <w:t xml:space="preserve"> </w:t>
      </w:r>
      <w:r w:rsidRPr="00466073">
        <w:rPr>
          <w:rFonts w:cstheme="minorHAnsi"/>
          <w:color w:val="000000" w:themeColor="text1"/>
          <w:sz w:val="24"/>
          <w:szCs w:val="24"/>
        </w:rPr>
        <w:t>DAYS</w:t>
      </w:r>
      <w:r w:rsidRPr="00466073">
        <w:rPr>
          <w:rFonts w:cstheme="minorHAnsi"/>
          <w:color w:val="000000" w:themeColor="text1"/>
          <w:sz w:val="24"/>
          <w:szCs w:val="24"/>
          <w:lang w:val="el-GR"/>
        </w:rPr>
        <w:t xml:space="preserve">» Διεθνής Έκθεση Βιομηχανικού και Τεχνολογικού κλάδου. </w:t>
      </w:r>
    </w:p>
    <w:p w:rsidR="002556EF" w:rsidRPr="00466073" w:rsidRDefault="00EA55CE" w:rsidP="00EA55CE">
      <w:pPr>
        <w:pStyle w:val="ListParagraph"/>
        <w:widowControl w:val="0"/>
        <w:numPr>
          <w:ilvl w:val="0"/>
          <w:numId w:val="30"/>
        </w:numPr>
        <w:overflowPunct w:val="0"/>
        <w:autoSpaceDE w:val="0"/>
        <w:autoSpaceDN w:val="0"/>
        <w:adjustRightInd w:val="0"/>
        <w:spacing w:line="227" w:lineRule="auto"/>
        <w:jc w:val="both"/>
        <w:rPr>
          <w:rFonts w:cstheme="minorHAnsi"/>
          <w:color w:val="000000" w:themeColor="text1"/>
          <w:sz w:val="24"/>
          <w:szCs w:val="24"/>
          <w:lang w:val="el-GR"/>
        </w:rPr>
      </w:pPr>
      <w:r w:rsidRPr="00466073">
        <w:rPr>
          <w:rFonts w:cstheme="minorHAnsi"/>
          <w:color w:val="000000" w:themeColor="text1"/>
          <w:sz w:val="24"/>
          <w:szCs w:val="24"/>
          <w:lang w:val="el-GR"/>
        </w:rPr>
        <w:t>«</w:t>
      </w:r>
      <w:r w:rsidR="002556EF" w:rsidRPr="00466073">
        <w:rPr>
          <w:rFonts w:cstheme="minorHAnsi"/>
          <w:color w:val="000000" w:themeColor="text1"/>
          <w:sz w:val="24"/>
          <w:szCs w:val="24"/>
        </w:rPr>
        <w:t>SIRHA</w:t>
      </w:r>
      <w:r w:rsidR="002556EF" w:rsidRPr="00466073">
        <w:rPr>
          <w:rFonts w:cstheme="minorHAnsi"/>
          <w:color w:val="000000" w:themeColor="text1"/>
          <w:sz w:val="24"/>
          <w:szCs w:val="24"/>
          <w:lang w:val="el-GR"/>
        </w:rPr>
        <w:t>–</w:t>
      </w:r>
      <w:r w:rsidR="002556EF" w:rsidRPr="00466073">
        <w:rPr>
          <w:rFonts w:cstheme="minorHAnsi"/>
          <w:color w:val="000000" w:themeColor="text1"/>
          <w:sz w:val="24"/>
          <w:szCs w:val="24"/>
        </w:rPr>
        <w:t>BUDAPEST</w:t>
      </w:r>
      <w:r w:rsidRPr="00466073">
        <w:rPr>
          <w:rFonts w:cstheme="minorHAnsi"/>
          <w:color w:val="000000" w:themeColor="text1"/>
          <w:sz w:val="24"/>
          <w:szCs w:val="24"/>
          <w:lang w:val="el-GR"/>
        </w:rPr>
        <w:t>»</w:t>
      </w:r>
      <w:r w:rsidR="002556EF" w:rsidRPr="00466073">
        <w:rPr>
          <w:rFonts w:cstheme="minorHAnsi"/>
          <w:color w:val="000000" w:themeColor="text1"/>
          <w:sz w:val="24"/>
          <w:szCs w:val="24"/>
          <w:lang w:val="el-GR"/>
        </w:rPr>
        <w:t>, Διεθνής Έκθεση ‘</w:t>
      </w:r>
      <w:proofErr w:type="spellStart"/>
      <w:r w:rsidR="002556EF" w:rsidRPr="00466073">
        <w:rPr>
          <w:rFonts w:cstheme="minorHAnsi"/>
          <w:bCs/>
          <w:color w:val="000000" w:themeColor="text1"/>
          <w:sz w:val="24"/>
          <w:szCs w:val="24"/>
        </w:rPr>
        <w:t>HoReCa</w:t>
      </w:r>
      <w:proofErr w:type="spellEnd"/>
      <w:r w:rsidR="002556EF" w:rsidRPr="00466073">
        <w:rPr>
          <w:rFonts w:cstheme="minorHAnsi"/>
          <w:bCs/>
          <w:color w:val="000000" w:themeColor="text1"/>
          <w:sz w:val="24"/>
          <w:szCs w:val="24"/>
          <w:lang w:val="el-GR"/>
        </w:rPr>
        <w:t>’ Τροφίμων και Ποτών</w:t>
      </w:r>
      <w:r w:rsidRPr="00466073">
        <w:rPr>
          <w:rFonts w:cstheme="minorHAnsi"/>
          <w:bCs/>
          <w:color w:val="000000" w:themeColor="text1"/>
          <w:sz w:val="24"/>
          <w:szCs w:val="24"/>
          <w:lang w:val="el-GR"/>
        </w:rPr>
        <w:t>.</w:t>
      </w:r>
      <w:r w:rsidR="002556EF" w:rsidRPr="00466073">
        <w:rPr>
          <w:rFonts w:cstheme="minorHAnsi"/>
          <w:color w:val="000000" w:themeColor="text1"/>
          <w:sz w:val="24"/>
          <w:szCs w:val="24"/>
          <w:lang w:val="el-GR"/>
        </w:rPr>
        <w:t xml:space="preserve"> </w:t>
      </w:r>
      <w:r w:rsidRPr="00466073">
        <w:rPr>
          <w:rFonts w:cstheme="minorHAnsi"/>
          <w:color w:val="000000" w:themeColor="text1"/>
          <w:sz w:val="24"/>
          <w:szCs w:val="24"/>
          <w:lang w:val="el-GR"/>
        </w:rPr>
        <w:t>Δ</w:t>
      </w:r>
      <w:r w:rsidR="002556EF" w:rsidRPr="00466073">
        <w:rPr>
          <w:rFonts w:cstheme="minorHAnsi"/>
          <w:color w:val="000000" w:themeColor="text1"/>
          <w:sz w:val="24"/>
          <w:szCs w:val="24"/>
          <w:lang w:val="el-GR"/>
        </w:rPr>
        <w:t xml:space="preserve">ιοργανώνεται </w:t>
      </w:r>
      <w:r w:rsidRPr="00466073">
        <w:rPr>
          <w:rFonts w:cstheme="minorHAnsi"/>
          <w:color w:val="000000" w:themeColor="text1"/>
          <w:sz w:val="24"/>
          <w:szCs w:val="24"/>
          <w:lang w:val="el-GR"/>
        </w:rPr>
        <w:t>ανά διετία</w:t>
      </w:r>
      <w:r w:rsidR="00E22BDD" w:rsidRPr="00466073">
        <w:rPr>
          <w:rFonts w:cstheme="minorHAnsi"/>
          <w:color w:val="000000" w:themeColor="text1"/>
          <w:sz w:val="24"/>
          <w:szCs w:val="24"/>
          <w:lang w:val="el-GR"/>
        </w:rPr>
        <w:t xml:space="preserve"> και η </w:t>
      </w:r>
      <w:proofErr w:type="spellStart"/>
      <w:r w:rsidR="00E22BDD" w:rsidRPr="00466073">
        <w:rPr>
          <w:rFonts w:cstheme="minorHAnsi"/>
          <w:color w:val="000000" w:themeColor="text1"/>
          <w:sz w:val="24"/>
          <w:szCs w:val="24"/>
          <w:lang w:val="el-GR"/>
        </w:rPr>
        <w:t>επόμνη</w:t>
      </w:r>
      <w:proofErr w:type="spellEnd"/>
      <w:r w:rsidR="00E22BDD" w:rsidRPr="00466073">
        <w:rPr>
          <w:rFonts w:cstheme="minorHAnsi"/>
          <w:color w:val="000000" w:themeColor="text1"/>
          <w:sz w:val="24"/>
          <w:szCs w:val="24"/>
          <w:lang w:val="el-GR"/>
        </w:rPr>
        <w:t xml:space="preserve"> προγραμματίζεται για το 2024</w:t>
      </w:r>
      <w:r w:rsidRPr="00466073">
        <w:rPr>
          <w:rFonts w:cstheme="minorHAnsi"/>
          <w:color w:val="000000" w:themeColor="text1"/>
          <w:sz w:val="24"/>
          <w:szCs w:val="24"/>
          <w:lang w:val="el-GR"/>
        </w:rPr>
        <w:t>.</w:t>
      </w:r>
    </w:p>
    <w:p w:rsidR="00F75667" w:rsidRPr="00466073" w:rsidRDefault="00F75667" w:rsidP="00F75667">
      <w:pPr>
        <w:pStyle w:val="ListParagraph"/>
        <w:widowControl w:val="0"/>
        <w:numPr>
          <w:ilvl w:val="0"/>
          <w:numId w:val="30"/>
        </w:numPr>
        <w:overflowPunct w:val="0"/>
        <w:autoSpaceDE w:val="0"/>
        <w:autoSpaceDN w:val="0"/>
        <w:adjustRightInd w:val="0"/>
        <w:spacing w:line="227" w:lineRule="auto"/>
        <w:jc w:val="both"/>
        <w:rPr>
          <w:rFonts w:cstheme="minorHAnsi"/>
          <w:color w:val="000000" w:themeColor="text1"/>
          <w:sz w:val="24"/>
          <w:szCs w:val="24"/>
          <w:lang w:val="el-GR"/>
        </w:rPr>
      </w:pPr>
      <w:r w:rsidRPr="00466073">
        <w:rPr>
          <w:rFonts w:cstheme="minorHAnsi"/>
          <w:color w:val="000000" w:themeColor="text1"/>
          <w:sz w:val="24"/>
          <w:szCs w:val="24"/>
          <w:lang w:val="el-GR"/>
        </w:rPr>
        <w:t xml:space="preserve">«TRAVEL-UTAZAS»,  Διεθνής Έκθεση Τουρισμού </w:t>
      </w:r>
    </w:p>
    <w:p w:rsidR="00CE19BC" w:rsidRPr="00466073" w:rsidRDefault="00CE19BC" w:rsidP="00EA55CE">
      <w:pPr>
        <w:spacing w:after="120"/>
        <w:rPr>
          <w:rFonts w:asciiTheme="minorHAnsi" w:hAnsiTheme="minorHAnsi" w:cstheme="minorHAnsi"/>
          <w:b/>
          <w:bCs/>
          <w:lang w:val="el-GR"/>
        </w:rPr>
      </w:pPr>
    </w:p>
    <w:p w:rsidR="00543502" w:rsidRPr="00466073" w:rsidRDefault="00543502" w:rsidP="00EA55CE">
      <w:pPr>
        <w:spacing w:after="120"/>
        <w:rPr>
          <w:rFonts w:asciiTheme="minorHAnsi" w:hAnsiTheme="minorHAnsi" w:cstheme="minorHAnsi"/>
          <w:b/>
          <w:bCs/>
          <w:lang w:val="el-GR"/>
        </w:rPr>
      </w:pPr>
      <w:r w:rsidRPr="00466073">
        <w:rPr>
          <w:rFonts w:asciiTheme="minorHAnsi" w:hAnsiTheme="minorHAnsi" w:cstheme="minorHAnsi"/>
          <w:b/>
          <w:bCs/>
          <w:lang w:val="el-GR"/>
        </w:rPr>
        <w:t xml:space="preserve">ΣΤ΄. Συμπεράσματα </w:t>
      </w:r>
      <w:r w:rsidR="00F673C1" w:rsidRPr="00466073">
        <w:rPr>
          <w:rFonts w:asciiTheme="minorHAnsi" w:hAnsiTheme="minorHAnsi" w:cstheme="minorHAnsi"/>
          <w:b/>
          <w:bCs/>
          <w:lang w:val="el-GR"/>
        </w:rPr>
        <w:t>–</w:t>
      </w:r>
      <w:r w:rsidRPr="00466073">
        <w:rPr>
          <w:rFonts w:asciiTheme="minorHAnsi" w:hAnsiTheme="minorHAnsi" w:cstheme="minorHAnsi"/>
          <w:b/>
          <w:bCs/>
          <w:lang w:val="el-GR"/>
        </w:rPr>
        <w:t xml:space="preserve"> Προτάσεις</w:t>
      </w:r>
    </w:p>
    <w:p w:rsidR="009B24AA" w:rsidRPr="00466073" w:rsidRDefault="001D4EEC" w:rsidP="001D4EEC">
      <w:pPr>
        <w:widowControl w:val="0"/>
        <w:overflowPunct w:val="0"/>
        <w:autoSpaceDE w:val="0"/>
        <w:autoSpaceDN w:val="0"/>
        <w:adjustRightInd w:val="0"/>
        <w:spacing w:line="231" w:lineRule="auto"/>
        <w:ind w:firstLine="720"/>
        <w:jc w:val="both"/>
        <w:rPr>
          <w:rFonts w:asciiTheme="minorHAnsi" w:hAnsiTheme="minorHAnsi" w:cstheme="minorHAnsi"/>
          <w:lang w:val="el-GR"/>
        </w:rPr>
      </w:pPr>
      <w:r>
        <w:rPr>
          <w:rFonts w:asciiTheme="minorHAnsi" w:hAnsiTheme="minorHAnsi" w:cstheme="minorHAnsi"/>
          <w:lang w:val="el-GR"/>
        </w:rPr>
        <w:t xml:space="preserve">Χάρις στη γεωγραφική της θέση, η </w:t>
      </w:r>
      <w:r w:rsidR="009B24AA" w:rsidRPr="00466073">
        <w:rPr>
          <w:rFonts w:asciiTheme="minorHAnsi" w:hAnsiTheme="minorHAnsi" w:cstheme="minorHAnsi"/>
          <w:lang w:val="el-GR"/>
        </w:rPr>
        <w:t xml:space="preserve">Ουγγαρία, αποτελεί </w:t>
      </w:r>
      <w:r>
        <w:rPr>
          <w:rFonts w:asciiTheme="minorHAnsi" w:hAnsiTheme="minorHAnsi" w:cstheme="minorHAnsi"/>
          <w:lang w:val="el-GR"/>
        </w:rPr>
        <w:t>κόμβο (</w:t>
      </w:r>
      <w:r>
        <w:rPr>
          <w:rFonts w:asciiTheme="minorHAnsi" w:hAnsiTheme="minorHAnsi" w:cstheme="minorHAnsi"/>
        </w:rPr>
        <w:t>hub</w:t>
      </w:r>
      <w:r w:rsidRPr="001D4EEC">
        <w:rPr>
          <w:rFonts w:asciiTheme="minorHAnsi" w:hAnsiTheme="minorHAnsi" w:cstheme="minorHAnsi"/>
          <w:lang w:val="el-GR"/>
        </w:rPr>
        <w:t>)</w:t>
      </w:r>
      <w:r w:rsidR="009B24AA" w:rsidRPr="00466073">
        <w:rPr>
          <w:rFonts w:asciiTheme="minorHAnsi" w:hAnsiTheme="minorHAnsi" w:cstheme="minorHAnsi"/>
          <w:lang w:val="el-GR"/>
        </w:rPr>
        <w:t xml:space="preserve"> τεσσάρων ευρωπαϊκών διαδρόμων μεταφοράς. Διαθέτει 1.300 </w:t>
      </w:r>
      <w:proofErr w:type="spellStart"/>
      <w:r w:rsidR="009B24AA" w:rsidRPr="00466073">
        <w:rPr>
          <w:rFonts w:asciiTheme="minorHAnsi" w:hAnsiTheme="minorHAnsi" w:cstheme="minorHAnsi"/>
          <w:lang w:val="el-GR"/>
        </w:rPr>
        <w:t>χλμ</w:t>
      </w:r>
      <w:proofErr w:type="spellEnd"/>
      <w:r w:rsidR="009B24AA" w:rsidRPr="00466073">
        <w:rPr>
          <w:rFonts w:asciiTheme="minorHAnsi" w:hAnsiTheme="minorHAnsi" w:cstheme="minorHAnsi"/>
          <w:lang w:val="el-GR"/>
        </w:rPr>
        <w:t xml:space="preserve"> αυτοκινητοδρόμων, εκτεταμένο σιδηροδρομικό δίκτυο και πέντε αεροδρόμια. Παρέχει όλες τις απαραίτητες υποδομές για την ανάπτυξη εμπορικών δραστηριοτήτων λειτουργώντας στα πλαίσια της οικονομίας της αγοράς. Ως πλήρες μέλος της Ε.Ε. και των περισσοτέρων διεθνών οικονομικών οργανισμών, διαθέτει θεσμούς και οργανωτικούς φορείς δομημένους στα δυτικά πρότυπα και ως εκ τούτου παρέχει ασφαλές περιβάλλον επιχειρηματικών και επενδυτικών πρωτοβουλιών. Κατά συνέπεια, αποτελεί ελκυστικό και πολλά υποσχόμενο τόπο επιχειρηματικής δραστηριότητας για εξωστρεφείς ελληνικές εταιρείες. Εντούτοις, το μικρό μέγεθος της αγοράς και η χαμηλή αγοραστική δύναμη του μέσου Ούγγρου καταναλωτή θα πρέπει να ληφθούν σοβαρά υπ’ όψιν, από τους Έλληνες επιχειρηματίες  που επιθυμούν να δραστηριοποιηθούν στην Ουγγαρία. Οι ελληνικές εξαγωγικές επιχειρήσεις, για να έχουν πιθανότητες επιτυχίας, θα πρέπει να μπορούν να προσφέρουν τα προϊόντ</w:t>
      </w:r>
      <w:r w:rsidR="00AC7987" w:rsidRPr="00466073">
        <w:rPr>
          <w:rFonts w:asciiTheme="minorHAnsi" w:hAnsiTheme="minorHAnsi" w:cstheme="minorHAnsi"/>
          <w:lang w:val="el-GR"/>
        </w:rPr>
        <w:t>α τους σε ανταγωνιστικές τιμές.</w:t>
      </w:r>
    </w:p>
    <w:p w:rsidR="00D118BE" w:rsidRPr="00466073" w:rsidRDefault="00D118BE" w:rsidP="00F673C1">
      <w:pPr>
        <w:widowControl w:val="0"/>
        <w:overflowPunct w:val="0"/>
        <w:autoSpaceDE w:val="0"/>
        <w:autoSpaceDN w:val="0"/>
        <w:adjustRightInd w:val="0"/>
        <w:spacing w:line="231" w:lineRule="auto"/>
        <w:ind w:firstLine="720"/>
        <w:jc w:val="both"/>
        <w:rPr>
          <w:rFonts w:asciiTheme="minorHAnsi" w:hAnsiTheme="minorHAnsi" w:cstheme="minorHAnsi"/>
          <w:lang w:val="el-GR"/>
        </w:rPr>
      </w:pPr>
    </w:p>
    <w:p w:rsidR="00BB2102" w:rsidRPr="00466073" w:rsidRDefault="00BB2102" w:rsidP="00F673C1">
      <w:pPr>
        <w:widowControl w:val="0"/>
        <w:overflowPunct w:val="0"/>
        <w:autoSpaceDE w:val="0"/>
        <w:autoSpaceDN w:val="0"/>
        <w:adjustRightInd w:val="0"/>
        <w:spacing w:line="231" w:lineRule="auto"/>
        <w:ind w:firstLine="720"/>
        <w:jc w:val="both"/>
        <w:rPr>
          <w:rFonts w:asciiTheme="minorHAnsi" w:hAnsiTheme="minorHAnsi" w:cstheme="minorHAnsi"/>
          <w:lang w:val="el-GR"/>
        </w:rPr>
      </w:pPr>
      <w:r w:rsidRPr="00466073">
        <w:rPr>
          <w:rFonts w:asciiTheme="minorHAnsi" w:hAnsiTheme="minorHAnsi" w:cstheme="minorHAnsi"/>
          <w:lang w:val="el-GR"/>
        </w:rPr>
        <w:t xml:space="preserve">Η αποτελεσματική προσέγγιση των ουγγρικών επιχειρήσεων απαιτεί προσωπική επαφή, επίσκεψη </w:t>
      </w:r>
      <w:r w:rsidR="00AC7987" w:rsidRPr="00466073">
        <w:rPr>
          <w:rFonts w:asciiTheme="minorHAnsi" w:hAnsiTheme="minorHAnsi" w:cstheme="minorHAnsi"/>
          <w:lang w:val="el-GR"/>
        </w:rPr>
        <w:t xml:space="preserve">στις </w:t>
      </w:r>
      <w:r w:rsidRPr="00466073">
        <w:rPr>
          <w:rFonts w:asciiTheme="minorHAnsi" w:hAnsiTheme="minorHAnsi" w:cstheme="minorHAnsi"/>
          <w:lang w:val="el-GR"/>
        </w:rPr>
        <w:t>εγκαταστάσε</w:t>
      </w:r>
      <w:r w:rsidR="00AC7987" w:rsidRPr="00466073">
        <w:rPr>
          <w:rFonts w:asciiTheme="minorHAnsi" w:hAnsiTheme="minorHAnsi" w:cstheme="minorHAnsi"/>
          <w:lang w:val="el-GR"/>
        </w:rPr>
        <w:t>ις, εξοικείωση με το</w:t>
      </w:r>
      <w:r w:rsidRPr="00466073">
        <w:rPr>
          <w:rFonts w:asciiTheme="minorHAnsi" w:hAnsiTheme="minorHAnsi" w:cstheme="minorHAnsi"/>
          <w:lang w:val="el-GR"/>
        </w:rPr>
        <w:t xml:space="preserve"> επιχειρηματικό περιβάλλον. Όπως πάντα η τιμή του προϊόντος αποτελεί καθοριστικό παράγοντα, χωρίς όμως να μπαίνουν σε δεύτερη μοίρα και άλλες παράμετροι, όπως: η ποιότητα κατασκευής, η αξιοπιστία στους χρόνους παράδοσης, η παροχή επαρκούς τεχνικής υποστήριξης, ο διακανονισμός των τρόπων πληρωμής.</w:t>
      </w:r>
    </w:p>
    <w:p w:rsidR="00D118BE" w:rsidRPr="00466073" w:rsidRDefault="00D118BE" w:rsidP="00F673C1">
      <w:pPr>
        <w:widowControl w:val="0"/>
        <w:overflowPunct w:val="0"/>
        <w:autoSpaceDE w:val="0"/>
        <w:autoSpaceDN w:val="0"/>
        <w:adjustRightInd w:val="0"/>
        <w:spacing w:line="231" w:lineRule="auto"/>
        <w:ind w:firstLine="720"/>
        <w:jc w:val="both"/>
        <w:rPr>
          <w:rFonts w:asciiTheme="minorHAnsi" w:hAnsiTheme="minorHAnsi" w:cstheme="minorHAnsi"/>
          <w:lang w:val="el-GR"/>
        </w:rPr>
      </w:pPr>
    </w:p>
    <w:p w:rsidR="00057AB0" w:rsidRDefault="00BB2102" w:rsidP="00F673C1">
      <w:pPr>
        <w:widowControl w:val="0"/>
        <w:overflowPunct w:val="0"/>
        <w:autoSpaceDE w:val="0"/>
        <w:autoSpaceDN w:val="0"/>
        <w:adjustRightInd w:val="0"/>
        <w:spacing w:line="227" w:lineRule="auto"/>
        <w:ind w:firstLine="720"/>
        <w:jc w:val="both"/>
        <w:rPr>
          <w:rFonts w:asciiTheme="minorHAnsi" w:hAnsiTheme="minorHAnsi" w:cstheme="minorHAnsi"/>
          <w:lang w:val="el-GR"/>
        </w:rPr>
      </w:pPr>
      <w:r w:rsidRPr="00466073">
        <w:rPr>
          <w:rFonts w:asciiTheme="minorHAnsi" w:hAnsiTheme="minorHAnsi" w:cstheme="minorHAnsi"/>
          <w:lang w:val="el-GR"/>
        </w:rPr>
        <w:t xml:space="preserve">Οι ελληνικές επιχειρήσεις προκειμένου να δραστηριοποιηθούν με επιτυχία στην Ουγγαρία, θα πρέπει να ακολουθήσουν μια μεθοδική και συστηματική προσέγγιση της αγοράς, ώστε να </w:t>
      </w:r>
      <w:r w:rsidR="00AC7987" w:rsidRPr="00466073">
        <w:rPr>
          <w:rFonts w:asciiTheme="minorHAnsi" w:hAnsiTheme="minorHAnsi" w:cstheme="minorHAnsi"/>
          <w:lang w:val="el-GR"/>
        </w:rPr>
        <w:t xml:space="preserve">υπάρξει όσο το δυνατόν μεγαλύτερη </w:t>
      </w:r>
      <w:r w:rsidRPr="00466073">
        <w:rPr>
          <w:rFonts w:asciiTheme="minorHAnsi" w:hAnsiTheme="minorHAnsi" w:cstheme="minorHAnsi"/>
          <w:lang w:val="el-GR"/>
        </w:rPr>
        <w:t xml:space="preserve">εξοικείωση με τις ουγγρικές επιχειρήσεις και να </w:t>
      </w:r>
      <w:r w:rsidR="00AC7987" w:rsidRPr="00466073">
        <w:rPr>
          <w:rFonts w:asciiTheme="minorHAnsi" w:hAnsiTheme="minorHAnsi" w:cstheme="minorHAnsi"/>
          <w:lang w:val="el-GR"/>
        </w:rPr>
        <w:t xml:space="preserve">αναπτυχθεί </w:t>
      </w:r>
      <w:r w:rsidRPr="00466073">
        <w:rPr>
          <w:rFonts w:asciiTheme="minorHAnsi" w:hAnsiTheme="minorHAnsi" w:cstheme="minorHAnsi"/>
          <w:lang w:val="el-GR"/>
        </w:rPr>
        <w:t>η απαραίτητη εμπορική εμπιστοσύνη.</w:t>
      </w:r>
    </w:p>
    <w:p w:rsidR="00057AB0" w:rsidRDefault="00057AB0" w:rsidP="00F673C1">
      <w:pPr>
        <w:widowControl w:val="0"/>
        <w:overflowPunct w:val="0"/>
        <w:autoSpaceDE w:val="0"/>
        <w:autoSpaceDN w:val="0"/>
        <w:adjustRightInd w:val="0"/>
        <w:spacing w:line="227" w:lineRule="auto"/>
        <w:ind w:firstLine="720"/>
        <w:jc w:val="both"/>
        <w:rPr>
          <w:rFonts w:asciiTheme="minorHAnsi" w:hAnsiTheme="minorHAnsi" w:cstheme="minorHAnsi"/>
          <w:lang w:val="el-GR"/>
        </w:rPr>
      </w:pPr>
    </w:p>
    <w:p w:rsidR="00BB2102" w:rsidRPr="00466073" w:rsidRDefault="00F673C1" w:rsidP="00F673C1">
      <w:pPr>
        <w:widowControl w:val="0"/>
        <w:overflowPunct w:val="0"/>
        <w:autoSpaceDE w:val="0"/>
        <w:autoSpaceDN w:val="0"/>
        <w:adjustRightInd w:val="0"/>
        <w:spacing w:line="227" w:lineRule="auto"/>
        <w:ind w:firstLine="720"/>
        <w:jc w:val="both"/>
        <w:rPr>
          <w:rFonts w:asciiTheme="minorHAnsi" w:hAnsiTheme="minorHAnsi" w:cstheme="minorHAnsi"/>
          <w:lang w:val="el-GR"/>
        </w:rPr>
      </w:pPr>
      <w:r w:rsidRPr="00466073">
        <w:rPr>
          <w:rFonts w:asciiTheme="minorHAnsi" w:hAnsiTheme="minorHAnsi" w:cstheme="minorHAnsi"/>
          <w:lang w:val="el-GR"/>
        </w:rPr>
        <w:t xml:space="preserve"> </w:t>
      </w:r>
      <w:r w:rsidR="00E14D1C" w:rsidRPr="00466073">
        <w:rPr>
          <w:rFonts w:asciiTheme="minorHAnsi" w:hAnsiTheme="minorHAnsi" w:cstheme="minorHAnsi"/>
          <w:lang w:val="el-GR"/>
        </w:rPr>
        <w:t>Όπως επισημάνθηκε ήδη, τ</w:t>
      </w:r>
      <w:r w:rsidR="00BB2102" w:rsidRPr="00466073">
        <w:rPr>
          <w:rFonts w:asciiTheme="minorHAnsi" w:hAnsiTheme="minorHAnsi" w:cstheme="minorHAnsi"/>
          <w:lang w:val="el-GR"/>
        </w:rPr>
        <w:t xml:space="preserve">ο μικρό </w:t>
      </w:r>
      <w:r w:rsidR="00B93C95" w:rsidRPr="00466073">
        <w:rPr>
          <w:rFonts w:asciiTheme="minorHAnsi" w:hAnsiTheme="minorHAnsi" w:cstheme="minorHAnsi"/>
          <w:lang w:val="el-GR"/>
        </w:rPr>
        <w:t xml:space="preserve">μέγεθος της αγοράς και η χαμηλή, σε σχέση με τον ευρωπαϊκό μέσο όρο, </w:t>
      </w:r>
      <w:r w:rsidR="00BB2102" w:rsidRPr="00466073">
        <w:rPr>
          <w:rFonts w:asciiTheme="minorHAnsi" w:hAnsiTheme="minorHAnsi" w:cstheme="minorHAnsi"/>
          <w:lang w:val="el-GR"/>
        </w:rPr>
        <w:t xml:space="preserve">αγοραστική δύναμη του μέσου </w:t>
      </w:r>
      <w:r w:rsidR="00AC7987" w:rsidRPr="00466073">
        <w:rPr>
          <w:rFonts w:asciiTheme="minorHAnsi" w:hAnsiTheme="minorHAnsi" w:cstheme="minorHAnsi"/>
          <w:lang w:val="el-GR"/>
        </w:rPr>
        <w:t>Ο</w:t>
      </w:r>
      <w:r w:rsidR="00BB2102" w:rsidRPr="00466073">
        <w:rPr>
          <w:rFonts w:asciiTheme="minorHAnsi" w:hAnsiTheme="minorHAnsi" w:cstheme="minorHAnsi"/>
          <w:lang w:val="el-GR"/>
        </w:rPr>
        <w:t xml:space="preserve">ύγγρου καταναλωτή (είτε </w:t>
      </w:r>
      <w:r w:rsidR="00AC7987" w:rsidRPr="00466073">
        <w:rPr>
          <w:rFonts w:asciiTheme="minorHAnsi" w:hAnsiTheme="minorHAnsi" w:cstheme="minorHAnsi"/>
          <w:lang w:val="el-GR"/>
        </w:rPr>
        <w:t>για είδη διατροφής, ένδυσης και</w:t>
      </w:r>
      <w:r w:rsidR="00BB2102" w:rsidRPr="00466073">
        <w:rPr>
          <w:rFonts w:asciiTheme="minorHAnsi" w:hAnsiTheme="minorHAnsi" w:cstheme="minorHAnsi"/>
          <w:lang w:val="el-GR"/>
        </w:rPr>
        <w:t xml:space="preserve"> υπόδησης, είτε </w:t>
      </w:r>
      <w:r w:rsidR="00AC7987" w:rsidRPr="00466073">
        <w:rPr>
          <w:rFonts w:asciiTheme="minorHAnsi" w:hAnsiTheme="minorHAnsi" w:cstheme="minorHAnsi"/>
          <w:lang w:val="el-GR"/>
        </w:rPr>
        <w:t xml:space="preserve">για οικιακό ή μηχανολογικό </w:t>
      </w:r>
      <w:r w:rsidR="00BB2102" w:rsidRPr="00466073">
        <w:rPr>
          <w:rFonts w:asciiTheme="minorHAnsi" w:hAnsiTheme="minorHAnsi" w:cstheme="minorHAnsi"/>
          <w:lang w:val="el-GR"/>
        </w:rPr>
        <w:t>εξοπλισμ</w:t>
      </w:r>
      <w:r w:rsidR="00AC7987" w:rsidRPr="00466073">
        <w:rPr>
          <w:rFonts w:asciiTheme="minorHAnsi" w:hAnsiTheme="minorHAnsi" w:cstheme="minorHAnsi"/>
          <w:lang w:val="el-GR"/>
        </w:rPr>
        <w:t>ό</w:t>
      </w:r>
      <w:r w:rsidR="00BB2102" w:rsidRPr="00466073">
        <w:rPr>
          <w:rFonts w:asciiTheme="minorHAnsi" w:hAnsiTheme="minorHAnsi" w:cstheme="minorHAnsi"/>
          <w:lang w:val="el-GR"/>
        </w:rPr>
        <w:t xml:space="preserve">, </w:t>
      </w:r>
      <w:r w:rsidR="00AC7987" w:rsidRPr="00466073">
        <w:rPr>
          <w:rFonts w:asciiTheme="minorHAnsi" w:hAnsiTheme="minorHAnsi" w:cstheme="minorHAnsi"/>
          <w:lang w:val="el-GR"/>
        </w:rPr>
        <w:t>αλλά και για άλλα προϊόντα όπως δομικά υλικά</w:t>
      </w:r>
      <w:r w:rsidR="00BB2102" w:rsidRPr="00466073">
        <w:rPr>
          <w:rFonts w:asciiTheme="minorHAnsi" w:hAnsiTheme="minorHAnsi" w:cstheme="minorHAnsi"/>
          <w:lang w:val="el-GR"/>
        </w:rPr>
        <w:t>,</w:t>
      </w:r>
      <w:r w:rsidR="00AC7987" w:rsidRPr="00466073">
        <w:rPr>
          <w:rFonts w:asciiTheme="minorHAnsi" w:hAnsiTheme="minorHAnsi" w:cstheme="minorHAnsi"/>
          <w:lang w:val="el-GR"/>
        </w:rPr>
        <w:t xml:space="preserve"> τουριστικές υπηρεσίες,</w:t>
      </w:r>
      <w:r w:rsidR="00BB2102" w:rsidRPr="00466073">
        <w:rPr>
          <w:rFonts w:asciiTheme="minorHAnsi" w:hAnsiTheme="minorHAnsi" w:cstheme="minorHAnsi"/>
          <w:lang w:val="el-GR"/>
        </w:rPr>
        <w:t xml:space="preserve"> κλπ) θα πρέπει να ληφθεί σοβαρά υπ’ όψιν, προκειμένου οι ελληνικές </w:t>
      </w:r>
      <w:r w:rsidR="00AC7987" w:rsidRPr="00466073">
        <w:rPr>
          <w:rFonts w:asciiTheme="minorHAnsi" w:hAnsiTheme="minorHAnsi" w:cstheme="minorHAnsi"/>
          <w:lang w:val="el-GR"/>
        </w:rPr>
        <w:t>επιχειρήσεις προσαρμόσουν ανάλογα την τιμολογιακή πολιτική τους και καταφέρουν</w:t>
      </w:r>
      <w:r w:rsidR="00BB2102" w:rsidRPr="00466073">
        <w:rPr>
          <w:rFonts w:asciiTheme="minorHAnsi" w:hAnsiTheme="minorHAnsi" w:cstheme="minorHAnsi"/>
          <w:lang w:val="el-GR"/>
        </w:rPr>
        <w:t xml:space="preserve"> να προσφέρουν προϊόντα</w:t>
      </w:r>
      <w:r w:rsidR="00AC7987" w:rsidRPr="00466073">
        <w:rPr>
          <w:rFonts w:asciiTheme="minorHAnsi" w:hAnsiTheme="minorHAnsi" w:cstheme="minorHAnsi"/>
          <w:lang w:val="el-GR"/>
        </w:rPr>
        <w:t xml:space="preserve"> και υπηρεσίες σε ανταγωνιστικές τιμές.</w:t>
      </w:r>
      <w:r w:rsidRPr="00466073">
        <w:rPr>
          <w:rFonts w:asciiTheme="minorHAnsi" w:hAnsiTheme="minorHAnsi" w:cstheme="minorHAnsi"/>
          <w:lang w:val="el-GR"/>
        </w:rPr>
        <w:t xml:space="preserve"> </w:t>
      </w:r>
      <w:r w:rsidR="00BB2102" w:rsidRPr="00466073">
        <w:rPr>
          <w:rFonts w:asciiTheme="minorHAnsi" w:hAnsiTheme="minorHAnsi" w:cstheme="minorHAnsi"/>
          <w:lang w:val="el-GR"/>
        </w:rPr>
        <w:t>Επίσης για να πεισθούν οι ουγγρικές επιχειρήσεις στη δια</w:t>
      </w:r>
      <w:r w:rsidR="00B93C95" w:rsidRPr="00466073">
        <w:rPr>
          <w:rFonts w:asciiTheme="minorHAnsi" w:hAnsiTheme="minorHAnsi" w:cstheme="minorHAnsi"/>
          <w:lang w:val="el-GR"/>
        </w:rPr>
        <w:t xml:space="preserve">φοροποίηση των προμηθευτών τους, ή, ακόμη περισσότερο, </w:t>
      </w:r>
      <w:r w:rsidR="00BB2102" w:rsidRPr="00466073">
        <w:rPr>
          <w:rFonts w:asciiTheme="minorHAnsi" w:hAnsiTheme="minorHAnsi" w:cstheme="minorHAnsi"/>
          <w:lang w:val="el-GR"/>
        </w:rPr>
        <w:t>στη διακοπή μακροχρόνιων συνεργασιών,</w:t>
      </w:r>
      <w:r w:rsidR="004C2D8D" w:rsidRPr="00466073">
        <w:rPr>
          <w:rFonts w:asciiTheme="minorHAnsi" w:hAnsiTheme="minorHAnsi" w:cstheme="minorHAnsi"/>
          <w:lang w:val="el-GR"/>
        </w:rPr>
        <w:t xml:space="preserve"> προκειμένου να ξεκινήσουν νέα συνεργασία με ελληνικές εταιρείες,</w:t>
      </w:r>
      <w:r w:rsidR="00BB2102" w:rsidRPr="00466073">
        <w:rPr>
          <w:rFonts w:asciiTheme="minorHAnsi" w:hAnsiTheme="minorHAnsi" w:cstheme="minorHAnsi"/>
          <w:lang w:val="el-GR"/>
        </w:rPr>
        <w:t xml:space="preserve"> θα πρέπει οι ελληνικές επιχειρήσεις να κερδίσουν την </w:t>
      </w:r>
      <w:r w:rsidR="004C2D8D" w:rsidRPr="00466073">
        <w:rPr>
          <w:rFonts w:asciiTheme="minorHAnsi" w:hAnsiTheme="minorHAnsi" w:cstheme="minorHAnsi"/>
          <w:lang w:val="el-GR"/>
        </w:rPr>
        <w:t xml:space="preserve">εμπιστοσύνη τους και την επαγγελματική </w:t>
      </w:r>
      <w:r w:rsidR="00BB2102" w:rsidRPr="00466073">
        <w:rPr>
          <w:rFonts w:asciiTheme="minorHAnsi" w:hAnsiTheme="minorHAnsi" w:cstheme="minorHAnsi"/>
          <w:lang w:val="el-GR"/>
        </w:rPr>
        <w:lastRenderedPageBreak/>
        <w:t>αποδοχή τους. Η εμπορική νοοτροπία των ουγγρικών επιχειρήσεων καθορίζεται και από την γεωγραφική και πολιτισμική εγγύτητα με οικονομικά και εμπορικά ισχυρές χώρες (Αυστρία, Γερμανία, Ιταλία, Τσεχία) και τις προσανατολίζει σε αναζήτηση συνεργασιών με επιχειρήσεις των χωρών αυτών, που χαρακτηρίζονται ως τεχνολογικά προηγμένες.</w:t>
      </w:r>
    </w:p>
    <w:p w:rsidR="00D118BE" w:rsidRPr="00466073" w:rsidRDefault="00D118BE" w:rsidP="00F673C1">
      <w:pPr>
        <w:widowControl w:val="0"/>
        <w:overflowPunct w:val="0"/>
        <w:autoSpaceDE w:val="0"/>
        <w:autoSpaceDN w:val="0"/>
        <w:adjustRightInd w:val="0"/>
        <w:spacing w:line="227" w:lineRule="auto"/>
        <w:ind w:firstLine="720"/>
        <w:jc w:val="both"/>
        <w:rPr>
          <w:rFonts w:asciiTheme="minorHAnsi" w:hAnsiTheme="minorHAnsi" w:cstheme="minorHAnsi"/>
          <w:lang w:val="el-GR"/>
        </w:rPr>
      </w:pPr>
    </w:p>
    <w:p w:rsidR="00BB2102" w:rsidRPr="00466073" w:rsidRDefault="00BB2102" w:rsidP="00F673C1">
      <w:pPr>
        <w:widowControl w:val="0"/>
        <w:overflowPunct w:val="0"/>
        <w:autoSpaceDE w:val="0"/>
        <w:autoSpaceDN w:val="0"/>
        <w:adjustRightInd w:val="0"/>
        <w:spacing w:line="231" w:lineRule="auto"/>
        <w:ind w:firstLine="720"/>
        <w:jc w:val="both"/>
        <w:rPr>
          <w:rFonts w:asciiTheme="minorHAnsi" w:hAnsiTheme="minorHAnsi" w:cstheme="minorHAnsi"/>
          <w:lang w:val="el-GR"/>
        </w:rPr>
      </w:pPr>
      <w:r w:rsidRPr="00466073">
        <w:rPr>
          <w:rFonts w:asciiTheme="minorHAnsi" w:hAnsiTheme="minorHAnsi" w:cstheme="minorHAnsi"/>
          <w:lang w:val="el-GR"/>
        </w:rPr>
        <w:t xml:space="preserve">Η σωστή επιλογή ενός αντιπροσώπου με γνώση της αγοράς αποτελεί συνήθως τον προσφορότερο τρόπο για την είσοδο στην αγορά και την ανάπτυξη των εξαγωγών. Για την επιλογή όμως του κατάλληλου ατόμου είναι αναγκαία η επίσκεψη </w:t>
      </w:r>
      <w:r w:rsidR="006B188D" w:rsidRPr="00466073">
        <w:rPr>
          <w:rFonts w:asciiTheme="minorHAnsi" w:hAnsiTheme="minorHAnsi" w:cstheme="minorHAnsi"/>
          <w:lang w:val="el-GR"/>
        </w:rPr>
        <w:t>στην Ουγγαρία</w:t>
      </w:r>
      <w:r w:rsidRPr="00466073">
        <w:rPr>
          <w:rFonts w:asciiTheme="minorHAnsi" w:hAnsiTheme="minorHAnsi" w:cstheme="minorHAnsi"/>
          <w:lang w:val="el-GR"/>
        </w:rPr>
        <w:t xml:space="preserve"> και η προσωπική επαφή με τους εν δυνάμει αντιπροσώπους.</w:t>
      </w:r>
    </w:p>
    <w:p w:rsidR="00753AD2" w:rsidRDefault="00753AD2">
      <w:pPr>
        <w:widowControl w:val="0"/>
        <w:autoSpaceDE w:val="0"/>
        <w:autoSpaceDN w:val="0"/>
        <w:adjustRightInd w:val="0"/>
        <w:rPr>
          <w:rFonts w:asciiTheme="minorHAnsi" w:hAnsiTheme="minorHAnsi" w:cstheme="minorHAnsi"/>
          <w:lang w:val="el-GR"/>
        </w:rPr>
      </w:pPr>
      <w:bookmarkStart w:id="4" w:name="page33"/>
      <w:bookmarkEnd w:id="4"/>
    </w:p>
    <w:p w:rsidR="001D4EEC" w:rsidRDefault="001D4EEC">
      <w:pPr>
        <w:widowControl w:val="0"/>
        <w:autoSpaceDE w:val="0"/>
        <w:autoSpaceDN w:val="0"/>
        <w:adjustRightInd w:val="0"/>
        <w:rPr>
          <w:rFonts w:asciiTheme="minorHAnsi" w:hAnsiTheme="minorHAnsi" w:cstheme="minorHAnsi"/>
          <w:lang w:val="el-GR"/>
        </w:rPr>
      </w:pPr>
    </w:p>
    <w:p w:rsidR="001D4EEC" w:rsidRDefault="001D4EEC">
      <w:pPr>
        <w:widowControl w:val="0"/>
        <w:autoSpaceDE w:val="0"/>
        <w:autoSpaceDN w:val="0"/>
        <w:adjustRightInd w:val="0"/>
        <w:rPr>
          <w:rFonts w:asciiTheme="minorHAnsi" w:hAnsiTheme="minorHAnsi" w:cstheme="minorHAnsi"/>
          <w:lang w:val="el-GR"/>
        </w:rPr>
      </w:pPr>
    </w:p>
    <w:p w:rsidR="001D4EEC" w:rsidRPr="00466073" w:rsidRDefault="001D4EEC">
      <w:pPr>
        <w:widowControl w:val="0"/>
        <w:autoSpaceDE w:val="0"/>
        <w:autoSpaceDN w:val="0"/>
        <w:adjustRightInd w:val="0"/>
        <w:rPr>
          <w:rFonts w:asciiTheme="minorHAnsi" w:hAnsiTheme="minorHAnsi" w:cstheme="minorHAnsi"/>
          <w:lang w:val="el-GR"/>
        </w:rPr>
      </w:pPr>
    </w:p>
    <w:p w:rsidR="00AF5B67" w:rsidRPr="00466073" w:rsidRDefault="00AF5B67" w:rsidP="00AF5B67">
      <w:pPr>
        <w:pStyle w:val="BodyText2"/>
        <w:pBdr>
          <w:top w:val="single" w:sz="4" w:space="1" w:color="auto"/>
          <w:left w:val="single" w:sz="4" w:space="4" w:color="auto"/>
          <w:bottom w:val="single" w:sz="4" w:space="1" w:color="auto"/>
          <w:right w:val="single" w:sz="4" w:space="4" w:color="auto"/>
        </w:pBdr>
        <w:jc w:val="left"/>
        <w:rPr>
          <w:rFonts w:asciiTheme="minorHAnsi" w:hAnsiTheme="minorHAnsi" w:cstheme="minorHAnsi"/>
        </w:rPr>
      </w:pPr>
      <w:r w:rsidRPr="00466073">
        <w:rPr>
          <w:rFonts w:asciiTheme="minorHAnsi" w:hAnsiTheme="minorHAnsi" w:cstheme="minorHAnsi"/>
          <w:u w:val="single"/>
        </w:rPr>
        <w:t>ΣΗΜΕΙΩΣΗ / ΑΠΑΛΛΑΚΤΙΚΗ ΡΗΤΡΑ</w:t>
      </w:r>
      <w:r w:rsidRPr="00466073">
        <w:rPr>
          <w:rFonts w:asciiTheme="minorHAnsi" w:hAnsiTheme="minorHAnsi" w:cstheme="minorHAnsi"/>
        </w:rPr>
        <w:t>:</w:t>
      </w:r>
    </w:p>
    <w:p w:rsidR="00AF5B67" w:rsidRPr="00466073" w:rsidRDefault="00AF5B67" w:rsidP="00EA55CE">
      <w:pPr>
        <w:pStyle w:val="BodyText2"/>
        <w:pBdr>
          <w:top w:val="single" w:sz="4" w:space="1" w:color="auto"/>
          <w:left w:val="single" w:sz="4" w:space="4" w:color="auto"/>
          <w:bottom w:val="single" w:sz="4" w:space="1" w:color="auto"/>
          <w:right w:val="single" w:sz="4" w:space="4" w:color="auto"/>
        </w:pBdr>
        <w:rPr>
          <w:rFonts w:asciiTheme="minorHAnsi" w:hAnsiTheme="minorHAnsi" w:cstheme="minorHAnsi"/>
          <w:b w:val="0"/>
        </w:rPr>
      </w:pPr>
      <w:r w:rsidRPr="00466073">
        <w:rPr>
          <w:rFonts w:asciiTheme="minorHAnsi" w:hAnsiTheme="minorHAnsi" w:cstheme="minorHAnsi"/>
          <w:b w:val="0"/>
        </w:rPr>
        <w:t>Οι πληροφορίες και τα στοιχεία που αναφέρονται στο ανωτέρω κείμενο είναι ελεγμένα για την ακρίβειά τους, τουλάχιστον μέχρι και το τέλος του ημερολογιακού έτους 20</w:t>
      </w:r>
      <w:r w:rsidR="00EA55CE" w:rsidRPr="00466073">
        <w:rPr>
          <w:rFonts w:asciiTheme="minorHAnsi" w:hAnsiTheme="minorHAnsi" w:cstheme="minorHAnsi"/>
          <w:b w:val="0"/>
        </w:rPr>
        <w:t>1</w:t>
      </w:r>
      <w:r w:rsidR="006E0081" w:rsidRPr="00466073">
        <w:rPr>
          <w:rFonts w:asciiTheme="minorHAnsi" w:hAnsiTheme="minorHAnsi" w:cstheme="minorHAnsi"/>
          <w:b w:val="0"/>
        </w:rPr>
        <w:t>8</w:t>
      </w:r>
      <w:r w:rsidRPr="00466073">
        <w:rPr>
          <w:rFonts w:asciiTheme="minorHAnsi" w:hAnsiTheme="minorHAnsi" w:cstheme="minorHAnsi"/>
          <w:b w:val="0"/>
        </w:rPr>
        <w:t xml:space="preserve">. Όπου ήταν δυνατόν έχει γίνει αναφορά στην πηγή άντλησης των πληροφοριών, ώστε ο αναγνώστης να μπορεί και μόνος του να τις ελέγξει και να τις διασταυρώσει. </w:t>
      </w:r>
    </w:p>
    <w:p w:rsidR="00AF5B67" w:rsidRPr="00466073" w:rsidRDefault="00AF5B67" w:rsidP="00EA55CE">
      <w:pPr>
        <w:pStyle w:val="BodyText2"/>
        <w:pBdr>
          <w:top w:val="single" w:sz="4" w:space="1" w:color="auto"/>
          <w:left w:val="single" w:sz="4" w:space="4" w:color="auto"/>
          <w:bottom w:val="single" w:sz="4" w:space="1" w:color="auto"/>
          <w:right w:val="single" w:sz="4" w:space="4" w:color="auto"/>
        </w:pBdr>
        <w:rPr>
          <w:rFonts w:asciiTheme="minorHAnsi" w:hAnsiTheme="minorHAnsi" w:cstheme="minorHAnsi"/>
          <w:b w:val="0"/>
        </w:rPr>
      </w:pPr>
      <w:r w:rsidRPr="00466073">
        <w:rPr>
          <w:rFonts w:asciiTheme="minorHAnsi" w:hAnsiTheme="minorHAnsi" w:cstheme="minorHAnsi"/>
          <w:b w:val="0"/>
        </w:rPr>
        <w:t>Εντούτοις, το Γραφείο Οικονομικών και Εμπορικών Υποθέσεων (ΟΕΥ) της Ελλην</w:t>
      </w:r>
      <w:r w:rsidR="00EA55CE" w:rsidRPr="00466073">
        <w:rPr>
          <w:rFonts w:asciiTheme="minorHAnsi" w:hAnsiTheme="minorHAnsi" w:cstheme="minorHAnsi"/>
          <w:b w:val="0"/>
        </w:rPr>
        <w:t>ικής Πρεσβείας στη Βουδαπέστη</w:t>
      </w:r>
      <w:r w:rsidRPr="00466073">
        <w:rPr>
          <w:rFonts w:asciiTheme="minorHAnsi" w:hAnsiTheme="minorHAnsi" w:cstheme="minorHAnsi"/>
          <w:b w:val="0"/>
        </w:rPr>
        <w:t>, σε καμία περίπτωση δεν φέρει ευθύνη για πράξεις και ενέργειες αναγνωστών, βασισμένες στις πληροφορίες, στοιχεία, κρίσεις και συμπεράσματα του παρόντος κειμένου. Οι αναγνώστες θα πρέπει να διεξάγουν τη δική τους διεξοδική και εις βάθος έρευνα αγοράς, προτού αποφασίσουν να συνάψουν οποιουδήποτε είδους επιχειρηματική ή εμπορική συ</w:t>
      </w:r>
      <w:r w:rsidR="005F7E85" w:rsidRPr="00466073">
        <w:rPr>
          <w:rFonts w:asciiTheme="minorHAnsi" w:hAnsiTheme="minorHAnsi" w:cstheme="minorHAnsi"/>
          <w:b w:val="0"/>
        </w:rPr>
        <w:t>μφωνία</w:t>
      </w:r>
      <w:r w:rsidRPr="00466073">
        <w:rPr>
          <w:rFonts w:asciiTheme="minorHAnsi" w:hAnsiTheme="minorHAnsi" w:cstheme="minorHAnsi"/>
          <w:b w:val="0"/>
        </w:rPr>
        <w:t xml:space="preserve">. Το Γραφείο ΟΕΥ </w:t>
      </w:r>
      <w:r w:rsidR="00EA55CE" w:rsidRPr="00466073">
        <w:rPr>
          <w:rFonts w:asciiTheme="minorHAnsi" w:hAnsiTheme="minorHAnsi" w:cstheme="minorHAnsi"/>
          <w:b w:val="0"/>
        </w:rPr>
        <w:t>στην Βουδαπέστη</w:t>
      </w:r>
      <w:r w:rsidRPr="00466073">
        <w:rPr>
          <w:rFonts w:asciiTheme="minorHAnsi" w:hAnsiTheme="minorHAnsi" w:cstheme="minorHAnsi"/>
          <w:b w:val="0"/>
        </w:rPr>
        <w:t xml:space="preserve"> είναι στη διάθεση των Ελλήνων επιχειρηματιών προκειμένου να παράσχει στα πλαίσια του δυνατού τη συνδρομή και αρωγή του προς επίτευξη των επιχειρηματικών τους στόχων στην </w:t>
      </w:r>
      <w:r w:rsidR="00EA55CE" w:rsidRPr="00466073">
        <w:rPr>
          <w:rFonts w:asciiTheme="minorHAnsi" w:hAnsiTheme="minorHAnsi" w:cstheme="minorHAnsi"/>
          <w:b w:val="0"/>
        </w:rPr>
        <w:t>Ουγγαρία</w:t>
      </w:r>
      <w:r w:rsidRPr="00466073">
        <w:rPr>
          <w:rFonts w:asciiTheme="minorHAnsi" w:hAnsiTheme="minorHAnsi" w:cstheme="minorHAnsi"/>
          <w:b w:val="0"/>
        </w:rPr>
        <w:t>.</w:t>
      </w:r>
    </w:p>
    <w:sectPr w:rsidR="00AF5B67" w:rsidRPr="00466073" w:rsidSect="00A17872">
      <w:footerReference w:type="default" r:id="rId39"/>
      <w:pgSz w:w="12240" w:h="15840"/>
      <w:pgMar w:top="714" w:right="900" w:bottom="447" w:left="1350" w:header="720" w:footer="720" w:gutter="0"/>
      <w:pgNumType w:start="1"/>
      <w:cols w:space="720" w:equalWidth="0">
        <w:col w:w="9990"/>
      </w:cols>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936" w:rsidRDefault="00A44936" w:rsidP="00E81CFD">
      <w:r>
        <w:separator/>
      </w:r>
    </w:p>
  </w:endnote>
  <w:endnote w:type="continuationSeparator" w:id="0">
    <w:p w:rsidR="00A44936" w:rsidRDefault="00A44936" w:rsidP="00E81C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016959"/>
      <w:docPartObj>
        <w:docPartGallery w:val="Page Numbers (Bottom of Page)"/>
        <w:docPartUnique/>
      </w:docPartObj>
    </w:sdtPr>
    <w:sdtContent>
      <w:p w:rsidR="00DD201D" w:rsidRDefault="007E0678">
        <w:pPr>
          <w:pStyle w:val="Footer"/>
          <w:jc w:val="right"/>
        </w:pPr>
        <w:fldSimple w:instr=" PAGE   \* MERGEFORMAT ">
          <w:r w:rsidR="005E51D1">
            <w:rPr>
              <w:noProof/>
            </w:rPr>
            <w:t>5</w:t>
          </w:r>
        </w:fldSimple>
      </w:p>
    </w:sdtContent>
  </w:sdt>
  <w:p w:rsidR="00DD201D" w:rsidRDefault="00DD2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936" w:rsidRDefault="00A44936" w:rsidP="00E81CFD">
      <w:r>
        <w:separator/>
      </w:r>
    </w:p>
  </w:footnote>
  <w:footnote w:type="continuationSeparator" w:id="0">
    <w:p w:rsidR="00A44936" w:rsidRDefault="00A44936" w:rsidP="00E81CFD">
      <w:r>
        <w:continuationSeparator/>
      </w:r>
    </w:p>
  </w:footnote>
  <w:footnote w:id="1">
    <w:p w:rsidR="00DD201D" w:rsidRPr="00B14BE4" w:rsidRDefault="00DD201D" w:rsidP="007102FC">
      <w:pPr>
        <w:pStyle w:val="FootnoteText"/>
        <w:rPr>
          <w:lang w:val="el-GR"/>
        </w:rPr>
      </w:pPr>
      <w:r>
        <w:rPr>
          <w:rStyle w:val="FootnoteReference"/>
        </w:rPr>
        <w:footnoteRef/>
      </w:r>
      <w:r w:rsidRPr="00B14BE4">
        <w:rPr>
          <w:lang w:val="el-GR"/>
        </w:rPr>
        <w:t xml:space="preserve"> </w:t>
      </w:r>
      <w:r>
        <w:rPr>
          <w:lang w:val="el-GR"/>
        </w:rPr>
        <w:t>Σύμφωνα</w:t>
      </w:r>
      <w:r w:rsidRPr="00B14BE4">
        <w:rPr>
          <w:lang w:val="el-GR"/>
        </w:rPr>
        <w:t xml:space="preserve"> </w:t>
      </w:r>
      <w:r>
        <w:rPr>
          <w:lang w:val="el-GR"/>
        </w:rPr>
        <w:t>με</w:t>
      </w:r>
      <w:r w:rsidRPr="00B14BE4">
        <w:rPr>
          <w:lang w:val="el-GR"/>
        </w:rPr>
        <w:t xml:space="preserve"> </w:t>
      </w:r>
      <w:r>
        <w:rPr>
          <w:lang w:val="el-GR"/>
        </w:rPr>
        <w:t>την</w:t>
      </w:r>
      <w:r w:rsidRPr="00B14BE4">
        <w:rPr>
          <w:lang w:val="el-GR"/>
        </w:rPr>
        <w:t xml:space="preserve"> </w:t>
      </w:r>
      <w:r>
        <w:rPr>
          <w:lang w:val="el-GR"/>
        </w:rPr>
        <w:t>απογραφή</w:t>
      </w:r>
      <w:r w:rsidRPr="00B14BE4">
        <w:rPr>
          <w:lang w:val="el-GR"/>
        </w:rPr>
        <w:t xml:space="preserve"> </w:t>
      </w:r>
      <w:r>
        <w:rPr>
          <w:lang w:val="el-GR"/>
        </w:rPr>
        <w:t>του</w:t>
      </w:r>
      <w:r w:rsidRPr="00B14BE4">
        <w:rPr>
          <w:lang w:val="el-GR"/>
        </w:rPr>
        <w:t xml:space="preserve"> 2011, </w:t>
      </w:r>
      <w:r>
        <w:rPr>
          <w:lang w:val="el-GR"/>
        </w:rPr>
        <w:t>συνολικά</w:t>
      </w:r>
      <w:r w:rsidRPr="00B14BE4">
        <w:rPr>
          <w:lang w:val="el-GR"/>
        </w:rPr>
        <w:t xml:space="preserve"> 1.701 </w:t>
      </w:r>
      <w:r>
        <w:rPr>
          <w:lang w:val="el-GR"/>
        </w:rPr>
        <w:t>Ούγγροι</w:t>
      </w:r>
      <w:r w:rsidRPr="00B14BE4">
        <w:rPr>
          <w:lang w:val="el-GR"/>
        </w:rPr>
        <w:t xml:space="preserve"> </w:t>
      </w:r>
      <w:r>
        <w:rPr>
          <w:lang w:val="el-GR"/>
        </w:rPr>
        <w:t>πολίτες</w:t>
      </w:r>
      <w:r w:rsidRPr="00B14BE4">
        <w:rPr>
          <w:lang w:val="el-GR"/>
        </w:rPr>
        <w:t xml:space="preserve"> </w:t>
      </w:r>
      <w:r>
        <w:rPr>
          <w:lang w:val="el-GR"/>
        </w:rPr>
        <w:t>δήλωσαν</w:t>
      </w:r>
      <w:r w:rsidRPr="00B14BE4">
        <w:rPr>
          <w:lang w:val="el-GR"/>
        </w:rPr>
        <w:t xml:space="preserve"> </w:t>
      </w:r>
      <w:r>
        <w:rPr>
          <w:lang w:val="el-GR"/>
        </w:rPr>
        <w:t>ως</w:t>
      </w:r>
      <w:r w:rsidRPr="00B14BE4">
        <w:rPr>
          <w:lang w:val="el-GR"/>
        </w:rPr>
        <w:t xml:space="preserve"> </w:t>
      </w:r>
      <w:r>
        <w:rPr>
          <w:lang w:val="el-GR"/>
        </w:rPr>
        <w:t>επίσημη</w:t>
      </w:r>
      <w:r w:rsidRPr="00B14BE4">
        <w:rPr>
          <w:lang w:val="el-GR"/>
        </w:rPr>
        <w:t xml:space="preserve"> </w:t>
      </w:r>
      <w:r>
        <w:rPr>
          <w:lang w:val="el-GR"/>
        </w:rPr>
        <w:t>θρησκεία</w:t>
      </w:r>
      <w:r w:rsidRPr="00B14BE4">
        <w:rPr>
          <w:lang w:val="el-GR"/>
        </w:rPr>
        <w:t xml:space="preserve"> </w:t>
      </w:r>
      <w:r>
        <w:rPr>
          <w:lang w:val="el-GR"/>
        </w:rPr>
        <w:t>τους</w:t>
      </w:r>
      <w:r w:rsidRPr="00B14BE4">
        <w:rPr>
          <w:lang w:val="el-GR"/>
        </w:rPr>
        <w:t xml:space="preserve"> </w:t>
      </w:r>
      <w:r>
        <w:rPr>
          <w:lang w:val="el-GR"/>
        </w:rPr>
        <w:t>τον</w:t>
      </w:r>
      <w:r w:rsidRPr="00B14BE4">
        <w:rPr>
          <w:lang w:val="el-GR"/>
        </w:rPr>
        <w:t xml:space="preserve"> </w:t>
      </w:r>
      <w:r>
        <w:rPr>
          <w:lang w:val="el-GR"/>
        </w:rPr>
        <w:t>Ελληνορθ</w:t>
      </w:r>
      <w:r w:rsidRPr="00B14BE4">
        <w:rPr>
          <w:lang w:val="el-GR"/>
        </w:rPr>
        <w:t>ό</w:t>
      </w:r>
      <w:r>
        <w:rPr>
          <w:lang w:val="el-GR"/>
        </w:rPr>
        <w:t>δοξο</w:t>
      </w:r>
      <w:r w:rsidRPr="00B14BE4">
        <w:rPr>
          <w:lang w:val="el-GR"/>
        </w:rPr>
        <w:t xml:space="preserve"> </w:t>
      </w:r>
      <w:r>
        <w:rPr>
          <w:lang w:val="el-GR"/>
        </w:rPr>
        <w:t xml:space="preserve">Χριστιανισμό. </w:t>
      </w:r>
      <w:r w:rsidRPr="00B14BE4">
        <w:rPr>
          <w:lang w:val="el-GR"/>
        </w:rPr>
        <w:t xml:space="preserve"> </w:t>
      </w:r>
    </w:p>
  </w:footnote>
  <w:footnote w:id="2">
    <w:p w:rsidR="00DD201D" w:rsidRPr="00CD48C7" w:rsidRDefault="00DD201D">
      <w:pPr>
        <w:pStyle w:val="FootnoteText"/>
        <w:rPr>
          <w:lang w:val="el-GR"/>
        </w:rPr>
      </w:pPr>
      <w:r>
        <w:rPr>
          <w:rStyle w:val="FootnoteReference"/>
        </w:rPr>
        <w:footnoteRef/>
      </w:r>
      <w:r w:rsidRPr="00CD48C7">
        <w:rPr>
          <w:lang w:val="el-GR"/>
        </w:rPr>
        <w:t xml:space="preserve"> </w:t>
      </w:r>
      <w:r w:rsidRPr="00CD48C7">
        <w:rPr>
          <w:sz w:val="18"/>
          <w:szCs w:val="18"/>
          <w:lang w:val="el-GR"/>
        </w:rPr>
        <w:t xml:space="preserve">Μετατροπή σε </w:t>
      </w:r>
      <w:r w:rsidRPr="00CD48C7">
        <w:rPr>
          <w:rFonts w:ascii="Arial" w:eastAsia="Times New Roman" w:hAnsi="Arial" w:cs="Arial"/>
          <w:bCs/>
          <w:sz w:val="18"/>
          <w:szCs w:val="18"/>
          <w:lang w:val="el-GR" w:eastAsia="el-GR"/>
        </w:rPr>
        <w:t xml:space="preserve">€ </w:t>
      </w:r>
      <w:r w:rsidRPr="00CD48C7">
        <w:rPr>
          <w:sz w:val="18"/>
          <w:szCs w:val="18"/>
          <w:lang w:val="el-GR"/>
        </w:rPr>
        <w:t>με μέση ετήσια ισοτιμία 2016 (</w:t>
      </w:r>
      <w:proofErr w:type="spellStart"/>
      <w:r w:rsidRPr="00CD48C7">
        <w:rPr>
          <w:sz w:val="18"/>
          <w:szCs w:val="18"/>
          <w:lang w:val="el-GR"/>
        </w:rPr>
        <w:t>€1</w:t>
      </w:r>
      <w:proofErr w:type="spellEnd"/>
      <w:r w:rsidRPr="00CD48C7">
        <w:rPr>
          <w:sz w:val="18"/>
          <w:szCs w:val="18"/>
          <w:lang w:val="el-GR"/>
        </w:rPr>
        <w:t xml:space="preserve"> = 311,46 </w:t>
      </w:r>
      <w:r w:rsidRPr="00CF4927">
        <w:rPr>
          <w:sz w:val="18"/>
          <w:szCs w:val="18"/>
        </w:rPr>
        <w:t>HUF</w:t>
      </w:r>
      <w:r w:rsidRPr="00CD48C7">
        <w:rPr>
          <w:sz w:val="18"/>
          <w:szCs w:val="18"/>
          <w:lang w:val="el-GR"/>
        </w:rPr>
        <w:t>)</w:t>
      </w:r>
      <w:r>
        <w:rPr>
          <w:sz w:val="18"/>
          <w:szCs w:val="18"/>
          <w:lang w:val="el-GR"/>
        </w:rPr>
        <w:t xml:space="preserve">. Πηγή: </w:t>
      </w:r>
      <w:r w:rsidRPr="004E30D4">
        <w:rPr>
          <w:sz w:val="18"/>
          <w:szCs w:val="18"/>
          <w:lang w:val="el-GR"/>
        </w:rPr>
        <w:t>Κεντρική Τράπεζα Ουγγαρίας (ΜΝΒ)</w:t>
      </w:r>
      <w:r>
        <w:rPr>
          <w:sz w:val="18"/>
          <w:szCs w:val="18"/>
          <w:lang w:val="el-GR"/>
        </w:rPr>
        <w:t>.</w:t>
      </w:r>
    </w:p>
  </w:footnote>
  <w:footnote w:id="3">
    <w:p w:rsidR="00DD201D" w:rsidRPr="00E27477" w:rsidRDefault="00DD201D" w:rsidP="00E27477">
      <w:pPr>
        <w:pStyle w:val="FootnoteText"/>
        <w:jc w:val="both"/>
        <w:rPr>
          <w:lang w:val="el-GR"/>
        </w:rPr>
      </w:pPr>
      <w:r>
        <w:rPr>
          <w:rStyle w:val="FootnoteReference"/>
        </w:rPr>
        <w:footnoteRef/>
      </w:r>
      <w:r>
        <w:rPr>
          <w:lang w:val="el-GR"/>
        </w:rPr>
        <w:t xml:space="preserve">Το 1992 ξεκίνησαν την παραγωγή αυτοκινήτων στην Ουγγαρία οι εταιρείες </w:t>
      </w:r>
      <w:r>
        <w:rPr>
          <w:lang w:val="hu-HU"/>
        </w:rPr>
        <w:t xml:space="preserve">Opel </w:t>
      </w:r>
      <w:r>
        <w:rPr>
          <w:lang w:val="el-GR"/>
        </w:rPr>
        <w:t xml:space="preserve">και </w:t>
      </w:r>
      <w:r>
        <w:rPr>
          <w:lang w:val="hu-HU"/>
        </w:rPr>
        <w:t xml:space="preserve">Suzuki. </w:t>
      </w:r>
      <w:r>
        <w:rPr>
          <w:lang w:val="el-GR"/>
        </w:rPr>
        <w:t>Έκτοτε, η αυτοκινητοβιομηχανία ενισχύθηκε σημαντικά, ενώ και άλλες εταιρείες (</w:t>
      </w:r>
      <w:r>
        <w:t>Mercedes</w:t>
      </w:r>
      <w:r w:rsidRPr="00E27477">
        <w:rPr>
          <w:lang w:val="el-GR"/>
        </w:rPr>
        <w:t xml:space="preserve"> </w:t>
      </w:r>
      <w:r>
        <w:t>Benz</w:t>
      </w:r>
      <w:r w:rsidRPr="00E27477">
        <w:rPr>
          <w:lang w:val="el-GR"/>
        </w:rPr>
        <w:t xml:space="preserve">, </w:t>
      </w:r>
      <w:r>
        <w:t>Audi</w:t>
      </w:r>
      <w:r w:rsidRPr="00E27477">
        <w:rPr>
          <w:lang w:val="el-GR"/>
        </w:rPr>
        <w:t xml:space="preserve">) </w:t>
      </w:r>
      <w:r>
        <w:rPr>
          <w:lang w:val="el-GR"/>
        </w:rPr>
        <w:t xml:space="preserve">άρχισαν να δραστηριοποιούνται στην Ουγγαρία. Το 2000 το 14% του συνόλου της βιομηχανικής παραγωγής της χώρας προερχόταν από την αυτοκινητοβιομηχανία.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0000491C">
      <w:start w:val="1"/>
      <w:numFmt w:val="bullet"/>
      <w:lvlText w:val="Η"/>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Σ."/>
      <w:lvlJc w:val="left"/>
      <w:pPr>
        <w:tabs>
          <w:tab w:val="num" w:pos="720"/>
        </w:tabs>
        <w:ind w:left="720" w:hanging="360"/>
      </w:pPr>
    </w:lvl>
    <w:lvl w:ilvl="1" w:tplc="000056AE">
      <w:start w:val="1"/>
      <w:numFmt w:val="bullet"/>
      <w:lvlText w:val="Η"/>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E1F"/>
    <w:multiLevelType w:val="hybridMultilevel"/>
    <w:tmpl w:val="00006E5D"/>
    <w:lvl w:ilvl="0" w:tplc="00001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E9"/>
    <w:multiLevelType w:val="hybridMultilevel"/>
    <w:tmpl w:val="000001EB"/>
    <w:lvl w:ilvl="0" w:tplc="00000BB3">
      <w:start w:val="1"/>
      <w:numFmt w:val="bullet"/>
      <w:lvlText w:val=""/>
      <w:lvlJc w:val="left"/>
      <w:pPr>
        <w:tabs>
          <w:tab w:val="num" w:pos="720"/>
        </w:tabs>
        <w:ind w:left="720" w:hanging="360"/>
      </w:pPr>
    </w:lvl>
    <w:lvl w:ilvl="1" w:tplc="00002EA6">
      <w:start w:val="1"/>
      <w:numFmt w:val="bullet"/>
      <w:lvlText w:val="Η"/>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509"/>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3CB"/>
    <w:multiLevelType w:val="hybridMultilevel"/>
    <w:tmpl w:val="00006BFC"/>
    <w:lvl w:ilvl="0" w:tplc="00007F96">
      <w:start w:val="1"/>
      <w:numFmt w:val="bullet"/>
      <w:lvlText w:val="Η"/>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
      <w:numFmt w:val="bullet"/>
      <w:lvlText w:val="ο"/>
      <w:lvlJc w:val="left"/>
      <w:pPr>
        <w:tabs>
          <w:tab w:val="num" w:pos="720"/>
        </w:tabs>
        <w:ind w:left="720" w:hanging="360"/>
      </w:pPr>
    </w:lvl>
    <w:lvl w:ilvl="1" w:tplc="00002CD6">
      <w:start w:val="1"/>
      <w:numFmt w:val="bullet"/>
      <w:lvlText w:val="Η"/>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01F"/>
    <w:multiLevelType w:val="hybridMultilevel"/>
    <w:tmpl w:val="00005D03"/>
    <w:lvl w:ilvl="0" w:tplc="00007A5A">
      <w:start w:val="1"/>
      <w:numFmt w:val="bullet"/>
      <w:lvlText w:val=""/>
      <w:lvlJc w:val="left"/>
      <w:pPr>
        <w:tabs>
          <w:tab w:val="num" w:pos="720"/>
        </w:tabs>
        <w:ind w:left="720" w:hanging="360"/>
      </w:pPr>
    </w:lvl>
    <w:lvl w:ilvl="1" w:tplc="0000767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2AE"/>
    <w:multiLevelType w:val="hybridMultilevel"/>
    <w:tmpl w:val="00006952"/>
    <w:lvl w:ilvl="0" w:tplc="00005F90">
      <w:start w:val="1"/>
      <w:numFmt w:val="bullet"/>
      <w:lvlText w:val=""/>
      <w:lvlJc w:val="left"/>
      <w:pPr>
        <w:tabs>
          <w:tab w:val="num" w:pos="720"/>
        </w:tabs>
        <w:ind w:left="720" w:hanging="360"/>
      </w:pPr>
    </w:lvl>
    <w:lvl w:ilvl="1" w:tplc="00001649">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FF5"/>
    <w:multiLevelType w:val="hybridMultilevel"/>
    <w:tmpl w:val="00004E45"/>
    <w:lvl w:ilvl="0" w:tplc="000032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68712DE"/>
    <w:multiLevelType w:val="hybridMultilevel"/>
    <w:tmpl w:val="26FCDC38"/>
    <w:lvl w:ilvl="0" w:tplc="01487492">
      <w:start w:val="1"/>
      <w:numFmt w:val="bullet"/>
      <w:lvlText w:val="•"/>
      <w:lvlJc w:val="left"/>
      <w:pPr>
        <w:tabs>
          <w:tab w:val="num" w:pos="720"/>
        </w:tabs>
        <w:ind w:left="720" w:hanging="360"/>
      </w:pPr>
      <w:rPr>
        <w:rFonts w:ascii="Arial" w:hAnsi="Arial" w:hint="default"/>
      </w:rPr>
    </w:lvl>
    <w:lvl w:ilvl="1" w:tplc="7F626558" w:tentative="1">
      <w:start w:val="1"/>
      <w:numFmt w:val="bullet"/>
      <w:lvlText w:val="•"/>
      <w:lvlJc w:val="left"/>
      <w:pPr>
        <w:tabs>
          <w:tab w:val="num" w:pos="1440"/>
        </w:tabs>
        <w:ind w:left="1440" w:hanging="360"/>
      </w:pPr>
      <w:rPr>
        <w:rFonts w:ascii="Arial" w:hAnsi="Arial" w:hint="default"/>
      </w:rPr>
    </w:lvl>
    <w:lvl w:ilvl="2" w:tplc="6DB8A9C2" w:tentative="1">
      <w:start w:val="1"/>
      <w:numFmt w:val="bullet"/>
      <w:lvlText w:val="•"/>
      <w:lvlJc w:val="left"/>
      <w:pPr>
        <w:tabs>
          <w:tab w:val="num" w:pos="2160"/>
        </w:tabs>
        <w:ind w:left="2160" w:hanging="360"/>
      </w:pPr>
      <w:rPr>
        <w:rFonts w:ascii="Arial" w:hAnsi="Arial" w:hint="default"/>
      </w:rPr>
    </w:lvl>
    <w:lvl w:ilvl="3" w:tplc="0C301110" w:tentative="1">
      <w:start w:val="1"/>
      <w:numFmt w:val="bullet"/>
      <w:lvlText w:val="•"/>
      <w:lvlJc w:val="left"/>
      <w:pPr>
        <w:tabs>
          <w:tab w:val="num" w:pos="2880"/>
        </w:tabs>
        <w:ind w:left="2880" w:hanging="360"/>
      </w:pPr>
      <w:rPr>
        <w:rFonts w:ascii="Arial" w:hAnsi="Arial" w:hint="default"/>
      </w:rPr>
    </w:lvl>
    <w:lvl w:ilvl="4" w:tplc="1AAA3C80" w:tentative="1">
      <w:start w:val="1"/>
      <w:numFmt w:val="bullet"/>
      <w:lvlText w:val="•"/>
      <w:lvlJc w:val="left"/>
      <w:pPr>
        <w:tabs>
          <w:tab w:val="num" w:pos="3600"/>
        </w:tabs>
        <w:ind w:left="3600" w:hanging="360"/>
      </w:pPr>
      <w:rPr>
        <w:rFonts w:ascii="Arial" w:hAnsi="Arial" w:hint="default"/>
      </w:rPr>
    </w:lvl>
    <w:lvl w:ilvl="5" w:tplc="795E777A" w:tentative="1">
      <w:start w:val="1"/>
      <w:numFmt w:val="bullet"/>
      <w:lvlText w:val="•"/>
      <w:lvlJc w:val="left"/>
      <w:pPr>
        <w:tabs>
          <w:tab w:val="num" w:pos="4320"/>
        </w:tabs>
        <w:ind w:left="4320" w:hanging="360"/>
      </w:pPr>
      <w:rPr>
        <w:rFonts w:ascii="Arial" w:hAnsi="Arial" w:hint="default"/>
      </w:rPr>
    </w:lvl>
    <w:lvl w:ilvl="6" w:tplc="0408240A" w:tentative="1">
      <w:start w:val="1"/>
      <w:numFmt w:val="bullet"/>
      <w:lvlText w:val="•"/>
      <w:lvlJc w:val="left"/>
      <w:pPr>
        <w:tabs>
          <w:tab w:val="num" w:pos="5040"/>
        </w:tabs>
        <w:ind w:left="5040" w:hanging="360"/>
      </w:pPr>
      <w:rPr>
        <w:rFonts w:ascii="Arial" w:hAnsi="Arial" w:hint="default"/>
      </w:rPr>
    </w:lvl>
    <w:lvl w:ilvl="7" w:tplc="17300EF4" w:tentative="1">
      <w:start w:val="1"/>
      <w:numFmt w:val="bullet"/>
      <w:lvlText w:val="•"/>
      <w:lvlJc w:val="left"/>
      <w:pPr>
        <w:tabs>
          <w:tab w:val="num" w:pos="5760"/>
        </w:tabs>
        <w:ind w:left="5760" w:hanging="360"/>
      </w:pPr>
      <w:rPr>
        <w:rFonts w:ascii="Arial" w:hAnsi="Arial" w:hint="default"/>
      </w:rPr>
    </w:lvl>
    <w:lvl w:ilvl="8" w:tplc="0082B8D8" w:tentative="1">
      <w:start w:val="1"/>
      <w:numFmt w:val="bullet"/>
      <w:lvlText w:val="•"/>
      <w:lvlJc w:val="left"/>
      <w:pPr>
        <w:tabs>
          <w:tab w:val="num" w:pos="6480"/>
        </w:tabs>
        <w:ind w:left="6480" w:hanging="360"/>
      </w:pPr>
      <w:rPr>
        <w:rFonts w:ascii="Arial" w:hAnsi="Arial" w:hint="default"/>
      </w:rPr>
    </w:lvl>
  </w:abstractNum>
  <w:abstractNum w:abstractNumId="20">
    <w:nsid w:val="0DD30F1D"/>
    <w:multiLevelType w:val="hybridMultilevel"/>
    <w:tmpl w:val="2AD0B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A22EC2"/>
    <w:multiLevelType w:val="hybridMultilevel"/>
    <w:tmpl w:val="973A0484"/>
    <w:lvl w:ilvl="0" w:tplc="0D0E4F3E">
      <w:start w:val="1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DC4165"/>
    <w:multiLevelType w:val="hybridMultilevel"/>
    <w:tmpl w:val="C5FAA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986F44"/>
    <w:multiLevelType w:val="hybridMultilevel"/>
    <w:tmpl w:val="880E0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576D6A"/>
    <w:multiLevelType w:val="hybridMultilevel"/>
    <w:tmpl w:val="C5FAA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0A4648"/>
    <w:multiLevelType w:val="hybridMultilevel"/>
    <w:tmpl w:val="D4EA944C"/>
    <w:lvl w:ilvl="0" w:tplc="0408000B">
      <w:start w:val="1"/>
      <w:numFmt w:val="bullet"/>
      <w:lvlText w:val=""/>
      <w:lvlJc w:val="left"/>
      <w:pPr>
        <w:tabs>
          <w:tab w:val="num" w:pos="1800"/>
        </w:tabs>
        <w:ind w:left="1800" w:hanging="360"/>
      </w:pPr>
      <w:rPr>
        <w:rFonts w:ascii="Wingdings" w:hAnsi="Wingdings"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6">
    <w:nsid w:val="294D31C9"/>
    <w:multiLevelType w:val="hybridMultilevel"/>
    <w:tmpl w:val="338AC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0F15552"/>
    <w:multiLevelType w:val="multilevel"/>
    <w:tmpl w:val="E2AA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4403DBD"/>
    <w:multiLevelType w:val="hybridMultilevel"/>
    <w:tmpl w:val="5DCCE558"/>
    <w:lvl w:ilvl="0" w:tplc="C77439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024572F"/>
    <w:multiLevelType w:val="hybridMultilevel"/>
    <w:tmpl w:val="E424C284"/>
    <w:lvl w:ilvl="0" w:tplc="CFA47F26">
      <w:start w:val="1"/>
      <w:numFmt w:val="bullet"/>
      <w:lvlText w:val="•"/>
      <w:lvlJc w:val="left"/>
      <w:pPr>
        <w:tabs>
          <w:tab w:val="num" w:pos="720"/>
        </w:tabs>
        <w:ind w:left="720" w:hanging="360"/>
      </w:pPr>
      <w:rPr>
        <w:rFonts w:ascii="Arial" w:hAnsi="Arial" w:hint="default"/>
      </w:rPr>
    </w:lvl>
    <w:lvl w:ilvl="1" w:tplc="6E342780" w:tentative="1">
      <w:start w:val="1"/>
      <w:numFmt w:val="bullet"/>
      <w:lvlText w:val="•"/>
      <w:lvlJc w:val="left"/>
      <w:pPr>
        <w:tabs>
          <w:tab w:val="num" w:pos="1440"/>
        </w:tabs>
        <w:ind w:left="1440" w:hanging="360"/>
      </w:pPr>
      <w:rPr>
        <w:rFonts w:ascii="Arial" w:hAnsi="Arial" w:hint="default"/>
      </w:rPr>
    </w:lvl>
    <w:lvl w:ilvl="2" w:tplc="BF407A12" w:tentative="1">
      <w:start w:val="1"/>
      <w:numFmt w:val="bullet"/>
      <w:lvlText w:val="•"/>
      <w:lvlJc w:val="left"/>
      <w:pPr>
        <w:tabs>
          <w:tab w:val="num" w:pos="2160"/>
        </w:tabs>
        <w:ind w:left="2160" w:hanging="360"/>
      </w:pPr>
      <w:rPr>
        <w:rFonts w:ascii="Arial" w:hAnsi="Arial" w:hint="default"/>
      </w:rPr>
    </w:lvl>
    <w:lvl w:ilvl="3" w:tplc="A2E6B992" w:tentative="1">
      <w:start w:val="1"/>
      <w:numFmt w:val="bullet"/>
      <w:lvlText w:val="•"/>
      <w:lvlJc w:val="left"/>
      <w:pPr>
        <w:tabs>
          <w:tab w:val="num" w:pos="2880"/>
        </w:tabs>
        <w:ind w:left="2880" w:hanging="360"/>
      </w:pPr>
      <w:rPr>
        <w:rFonts w:ascii="Arial" w:hAnsi="Arial" w:hint="default"/>
      </w:rPr>
    </w:lvl>
    <w:lvl w:ilvl="4" w:tplc="9F2E296E" w:tentative="1">
      <w:start w:val="1"/>
      <w:numFmt w:val="bullet"/>
      <w:lvlText w:val="•"/>
      <w:lvlJc w:val="left"/>
      <w:pPr>
        <w:tabs>
          <w:tab w:val="num" w:pos="3600"/>
        </w:tabs>
        <w:ind w:left="3600" w:hanging="360"/>
      </w:pPr>
      <w:rPr>
        <w:rFonts w:ascii="Arial" w:hAnsi="Arial" w:hint="default"/>
      </w:rPr>
    </w:lvl>
    <w:lvl w:ilvl="5" w:tplc="E8300FC2" w:tentative="1">
      <w:start w:val="1"/>
      <w:numFmt w:val="bullet"/>
      <w:lvlText w:val="•"/>
      <w:lvlJc w:val="left"/>
      <w:pPr>
        <w:tabs>
          <w:tab w:val="num" w:pos="4320"/>
        </w:tabs>
        <w:ind w:left="4320" w:hanging="360"/>
      </w:pPr>
      <w:rPr>
        <w:rFonts w:ascii="Arial" w:hAnsi="Arial" w:hint="default"/>
      </w:rPr>
    </w:lvl>
    <w:lvl w:ilvl="6" w:tplc="CBEA53CA" w:tentative="1">
      <w:start w:val="1"/>
      <w:numFmt w:val="bullet"/>
      <w:lvlText w:val="•"/>
      <w:lvlJc w:val="left"/>
      <w:pPr>
        <w:tabs>
          <w:tab w:val="num" w:pos="5040"/>
        </w:tabs>
        <w:ind w:left="5040" w:hanging="360"/>
      </w:pPr>
      <w:rPr>
        <w:rFonts w:ascii="Arial" w:hAnsi="Arial" w:hint="default"/>
      </w:rPr>
    </w:lvl>
    <w:lvl w:ilvl="7" w:tplc="E08E3F1E" w:tentative="1">
      <w:start w:val="1"/>
      <w:numFmt w:val="bullet"/>
      <w:lvlText w:val="•"/>
      <w:lvlJc w:val="left"/>
      <w:pPr>
        <w:tabs>
          <w:tab w:val="num" w:pos="5760"/>
        </w:tabs>
        <w:ind w:left="5760" w:hanging="360"/>
      </w:pPr>
      <w:rPr>
        <w:rFonts w:ascii="Arial" w:hAnsi="Arial" w:hint="default"/>
      </w:rPr>
    </w:lvl>
    <w:lvl w:ilvl="8" w:tplc="EF52AA08" w:tentative="1">
      <w:start w:val="1"/>
      <w:numFmt w:val="bullet"/>
      <w:lvlText w:val="•"/>
      <w:lvlJc w:val="left"/>
      <w:pPr>
        <w:tabs>
          <w:tab w:val="num" w:pos="6480"/>
        </w:tabs>
        <w:ind w:left="6480" w:hanging="360"/>
      </w:pPr>
      <w:rPr>
        <w:rFonts w:ascii="Arial" w:hAnsi="Arial" w:hint="default"/>
      </w:rPr>
    </w:lvl>
  </w:abstractNum>
  <w:abstractNum w:abstractNumId="30">
    <w:nsid w:val="43EB4B8B"/>
    <w:multiLevelType w:val="multilevel"/>
    <w:tmpl w:val="9DDE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55D3EF4"/>
    <w:multiLevelType w:val="hybridMultilevel"/>
    <w:tmpl w:val="8634E430"/>
    <w:lvl w:ilvl="0" w:tplc="CAC207B4">
      <w:start w:val="1"/>
      <w:numFmt w:val="bullet"/>
      <w:lvlText w:val="•"/>
      <w:lvlJc w:val="left"/>
      <w:pPr>
        <w:tabs>
          <w:tab w:val="num" w:pos="720"/>
        </w:tabs>
        <w:ind w:left="720" w:hanging="360"/>
      </w:pPr>
      <w:rPr>
        <w:rFonts w:ascii="Arial" w:hAnsi="Arial" w:hint="default"/>
      </w:rPr>
    </w:lvl>
    <w:lvl w:ilvl="1" w:tplc="F98E458A" w:tentative="1">
      <w:start w:val="1"/>
      <w:numFmt w:val="bullet"/>
      <w:lvlText w:val="•"/>
      <w:lvlJc w:val="left"/>
      <w:pPr>
        <w:tabs>
          <w:tab w:val="num" w:pos="1440"/>
        </w:tabs>
        <w:ind w:left="1440" w:hanging="360"/>
      </w:pPr>
      <w:rPr>
        <w:rFonts w:ascii="Arial" w:hAnsi="Arial" w:hint="default"/>
      </w:rPr>
    </w:lvl>
    <w:lvl w:ilvl="2" w:tplc="39803810" w:tentative="1">
      <w:start w:val="1"/>
      <w:numFmt w:val="bullet"/>
      <w:lvlText w:val="•"/>
      <w:lvlJc w:val="left"/>
      <w:pPr>
        <w:tabs>
          <w:tab w:val="num" w:pos="2160"/>
        </w:tabs>
        <w:ind w:left="2160" w:hanging="360"/>
      </w:pPr>
      <w:rPr>
        <w:rFonts w:ascii="Arial" w:hAnsi="Arial" w:hint="default"/>
      </w:rPr>
    </w:lvl>
    <w:lvl w:ilvl="3" w:tplc="4E7AFE36" w:tentative="1">
      <w:start w:val="1"/>
      <w:numFmt w:val="bullet"/>
      <w:lvlText w:val="•"/>
      <w:lvlJc w:val="left"/>
      <w:pPr>
        <w:tabs>
          <w:tab w:val="num" w:pos="2880"/>
        </w:tabs>
        <w:ind w:left="2880" w:hanging="360"/>
      </w:pPr>
      <w:rPr>
        <w:rFonts w:ascii="Arial" w:hAnsi="Arial" w:hint="default"/>
      </w:rPr>
    </w:lvl>
    <w:lvl w:ilvl="4" w:tplc="14FC75BA" w:tentative="1">
      <w:start w:val="1"/>
      <w:numFmt w:val="bullet"/>
      <w:lvlText w:val="•"/>
      <w:lvlJc w:val="left"/>
      <w:pPr>
        <w:tabs>
          <w:tab w:val="num" w:pos="3600"/>
        </w:tabs>
        <w:ind w:left="3600" w:hanging="360"/>
      </w:pPr>
      <w:rPr>
        <w:rFonts w:ascii="Arial" w:hAnsi="Arial" w:hint="default"/>
      </w:rPr>
    </w:lvl>
    <w:lvl w:ilvl="5" w:tplc="BF90A060" w:tentative="1">
      <w:start w:val="1"/>
      <w:numFmt w:val="bullet"/>
      <w:lvlText w:val="•"/>
      <w:lvlJc w:val="left"/>
      <w:pPr>
        <w:tabs>
          <w:tab w:val="num" w:pos="4320"/>
        </w:tabs>
        <w:ind w:left="4320" w:hanging="360"/>
      </w:pPr>
      <w:rPr>
        <w:rFonts w:ascii="Arial" w:hAnsi="Arial" w:hint="default"/>
      </w:rPr>
    </w:lvl>
    <w:lvl w:ilvl="6" w:tplc="F5C0479E" w:tentative="1">
      <w:start w:val="1"/>
      <w:numFmt w:val="bullet"/>
      <w:lvlText w:val="•"/>
      <w:lvlJc w:val="left"/>
      <w:pPr>
        <w:tabs>
          <w:tab w:val="num" w:pos="5040"/>
        </w:tabs>
        <w:ind w:left="5040" w:hanging="360"/>
      </w:pPr>
      <w:rPr>
        <w:rFonts w:ascii="Arial" w:hAnsi="Arial" w:hint="default"/>
      </w:rPr>
    </w:lvl>
    <w:lvl w:ilvl="7" w:tplc="EAFAF9E8" w:tentative="1">
      <w:start w:val="1"/>
      <w:numFmt w:val="bullet"/>
      <w:lvlText w:val="•"/>
      <w:lvlJc w:val="left"/>
      <w:pPr>
        <w:tabs>
          <w:tab w:val="num" w:pos="5760"/>
        </w:tabs>
        <w:ind w:left="5760" w:hanging="360"/>
      </w:pPr>
      <w:rPr>
        <w:rFonts w:ascii="Arial" w:hAnsi="Arial" w:hint="default"/>
      </w:rPr>
    </w:lvl>
    <w:lvl w:ilvl="8" w:tplc="BBCE7094" w:tentative="1">
      <w:start w:val="1"/>
      <w:numFmt w:val="bullet"/>
      <w:lvlText w:val="•"/>
      <w:lvlJc w:val="left"/>
      <w:pPr>
        <w:tabs>
          <w:tab w:val="num" w:pos="6480"/>
        </w:tabs>
        <w:ind w:left="6480" w:hanging="360"/>
      </w:pPr>
      <w:rPr>
        <w:rFonts w:ascii="Arial" w:hAnsi="Arial" w:hint="default"/>
      </w:rPr>
    </w:lvl>
  </w:abstractNum>
  <w:abstractNum w:abstractNumId="32">
    <w:nsid w:val="47CD48A9"/>
    <w:multiLevelType w:val="hybridMultilevel"/>
    <w:tmpl w:val="8FE0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9F3383"/>
    <w:multiLevelType w:val="hybridMultilevel"/>
    <w:tmpl w:val="BF5CD238"/>
    <w:lvl w:ilvl="0" w:tplc="6D0E33BA">
      <w:start w:val="1"/>
      <w:numFmt w:val="bullet"/>
      <w:lvlText w:val="•"/>
      <w:lvlJc w:val="left"/>
      <w:pPr>
        <w:tabs>
          <w:tab w:val="num" w:pos="720"/>
        </w:tabs>
        <w:ind w:left="720" w:hanging="360"/>
      </w:pPr>
      <w:rPr>
        <w:rFonts w:ascii="Arial" w:hAnsi="Arial" w:hint="default"/>
      </w:rPr>
    </w:lvl>
    <w:lvl w:ilvl="1" w:tplc="D8D874F0" w:tentative="1">
      <w:start w:val="1"/>
      <w:numFmt w:val="bullet"/>
      <w:lvlText w:val="•"/>
      <w:lvlJc w:val="left"/>
      <w:pPr>
        <w:tabs>
          <w:tab w:val="num" w:pos="1440"/>
        </w:tabs>
        <w:ind w:left="1440" w:hanging="360"/>
      </w:pPr>
      <w:rPr>
        <w:rFonts w:ascii="Arial" w:hAnsi="Arial" w:hint="default"/>
      </w:rPr>
    </w:lvl>
    <w:lvl w:ilvl="2" w:tplc="9FDADFB2" w:tentative="1">
      <w:start w:val="1"/>
      <w:numFmt w:val="bullet"/>
      <w:lvlText w:val="•"/>
      <w:lvlJc w:val="left"/>
      <w:pPr>
        <w:tabs>
          <w:tab w:val="num" w:pos="2160"/>
        </w:tabs>
        <w:ind w:left="2160" w:hanging="360"/>
      </w:pPr>
      <w:rPr>
        <w:rFonts w:ascii="Arial" w:hAnsi="Arial" w:hint="default"/>
      </w:rPr>
    </w:lvl>
    <w:lvl w:ilvl="3" w:tplc="65B40FDC" w:tentative="1">
      <w:start w:val="1"/>
      <w:numFmt w:val="bullet"/>
      <w:lvlText w:val="•"/>
      <w:lvlJc w:val="left"/>
      <w:pPr>
        <w:tabs>
          <w:tab w:val="num" w:pos="2880"/>
        </w:tabs>
        <w:ind w:left="2880" w:hanging="360"/>
      </w:pPr>
      <w:rPr>
        <w:rFonts w:ascii="Arial" w:hAnsi="Arial" w:hint="default"/>
      </w:rPr>
    </w:lvl>
    <w:lvl w:ilvl="4" w:tplc="BF92EA9A" w:tentative="1">
      <w:start w:val="1"/>
      <w:numFmt w:val="bullet"/>
      <w:lvlText w:val="•"/>
      <w:lvlJc w:val="left"/>
      <w:pPr>
        <w:tabs>
          <w:tab w:val="num" w:pos="3600"/>
        </w:tabs>
        <w:ind w:left="3600" w:hanging="360"/>
      </w:pPr>
      <w:rPr>
        <w:rFonts w:ascii="Arial" w:hAnsi="Arial" w:hint="default"/>
      </w:rPr>
    </w:lvl>
    <w:lvl w:ilvl="5" w:tplc="B1049A48" w:tentative="1">
      <w:start w:val="1"/>
      <w:numFmt w:val="bullet"/>
      <w:lvlText w:val="•"/>
      <w:lvlJc w:val="left"/>
      <w:pPr>
        <w:tabs>
          <w:tab w:val="num" w:pos="4320"/>
        </w:tabs>
        <w:ind w:left="4320" w:hanging="360"/>
      </w:pPr>
      <w:rPr>
        <w:rFonts w:ascii="Arial" w:hAnsi="Arial" w:hint="default"/>
      </w:rPr>
    </w:lvl>
    <w:lvl w:ilvl="6" w:tplc="23DE5C44" w:tentative="1">
      <w:start w:val="1"/>
      <w:numFmt w:val="bullet"/>
      <w:lvlText w:val="•"/>
      <w:lvlJc w:val="left"/>
      <w:pPr>
        <w:tabs>
          <w:tab w:val="num" w:pos="5040"/>
        </w:tabs>
        <w:ind w:left="5040" w:hanging="360"/>
      </w:pPr>
      <w:rPr>
        <w:rFonts w:ascii="Arial" w:hAnsi="Arial" w:hint="default"/>
      </w:rPr>
    </w:lvl>
    <w:lvl w:ilvl="7" w:tplc="095C7F86" w:tentative="1">
      <w:start w:val="1"/>
      <w:numFmt w:val="bullet"/>
      <w:lvlText w:val="•"/>
      <w:lvlJc w:val="left"/>
      <w:pPr>
        <w:tabs>
          <w:tab w:val="num" w:pos="5760"/>
        </w:tabs>
        <w:ind w:left="5760" w:hanging="360"/>
      </w:pPr>
      <w:rPr>
        <w:rFonts w:ascii="Arial" w:hAnsi="Arial" w:hint="default"/>
      </w:rPr>
    </w:lvl>
    <w:lvl w:ilvl="8" w:tplc="96D85D2C" w:tentative="1">
      <w:start w:val="1"/>
      <w:numFmt w:val="bullet"/>
      <w:lvlText w:val="•"/>
      <w:lvlJc w:val="left"/>
      <w:pPr>
        <w:tabs>
          <w:tab w:val="num" w:pos="6480"/>
        </w:tabs>
        <w:ind w:left="6480" w:hanging="360"/>
      </w:pPr>
      <w:rPr>
        <w:rFonts w:ascii="Arial" w:hAnsi="Arial" w:hint="default"/>
      </w:rPr>
    </w:lvl>
  </w:abstractNum>
  <w:abstractNum w:abstractNumId="34">
    <w:nsid w:val="4DF57B3B"/>
    <w:multiLevelType w:val="hybridMultilevel"/>
    <w:tmpl w:val="B40E2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B84144"/>
    <w:multiLevelType w:val="multilevel"/>
    <w:tmpl w:val="08D4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8F1D67"/>
    <w:multiLevelType w:val="hybridMultilevel"/>
    <w:tmpl w:val="61F21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76CAF"/>
    <w:multiLevelType w:val="hybridMultilevel"/>
    <w:tmpl w:val="1D7C7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84D10BB"/>
    <w:multiLevelType w:val="hybridMultilevel"/>
    <w:tmpl w:val="5024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C527C7"/>
    <w:multiLevelType w:val="hybridMultilevel"/>
    <w:tmpl w:val="7B5AC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E97416"/>
    <w:multiLevelType w:val="hybridMultilevel"/>
    <w:tmpl w:val="2EEEE01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nsid w:val="7B1D4EC2"/>
    <w:multiLevelType w:val="multilevel"/>
    <w:tmpl w:val="56F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num>
  <w:num w:numId="3">
    <w:abstractNumId w:val="17"/>
  </w:num>
  <w:num w:numId="4">
    <w:abstractNumId w:val="15"/>
  </w:num>
  <w:num w:numId="5">
    <w:abstractNumId w:val="7"/>
  </w:num>
  <w:num w:numId="6">
    <w:abstractNumId w:val="4"/>
  </w:num>
  <w:num w:numId="7">
    <w:abstractNumId w:val="8"/>
  </w:num>
  <w:num w:numId="8">
    <w:abstractNumId w:val="1"/>
  </w:num>
  <w:num w:numId="9">
    <w:abstractNumId w:val="10"/>
  </w:num>
  <w:num w:numId="10">
    <w:abstractNumId w:val="11"/>
  </w:num>
  <w:num w:numId="11">
    <w:abstractNumId w:val="3"/>
  </w:num>
  <w:num w:numId="12">
    <w:abstractNumId w:val="13"/>
  </w:num>
  <w:num w:numId="13">
    <w:abstractNumId w:val="16"/>
  </w:num>
  <w:num w:numId="14">
    <w:abstractNumId w:val="9"/>
  </w:num>
  <w:num w:numId="15">
    <w:abstractNumId w:val="5"/>
  </w:num>
  <w:num w:numId="16">
    <w:abstractNumId w:val="12"/>
  </w:num>
  <w:num w:numId="17">
    <w:abstractNumId w:val="18"/>
  </w:num>
  <w:num w:numId="18">
    <w:abstractNumId w:val="6"/>
  </w:num>
  <w:num w:numId="19">
    <w:abstractNumId w:val="2"/>
  </w:num>
  <w:num w:numId="20">
    <w:abstractNumId w:val="25"/>
  </w:num>
  <w:num w:numId="21">
    <w:abstractNumId w:val="36"/>
  </w:num>
  <w:num w:numId="22">
    <w:abstractNumId w:val="23"/>
  </w:num>
  <w:num w:numId="23">
    <w:abstractNumId w:val="39"/>
  </w:num>
  <w:num w:numId="24">
    <w:abstractNumId w:val="30"/>
  </w:num>
  <w:num w:numId="25">
    <w:abstractNumId w:val="41"/>
  </w:num>
  <w:num w:numId="26">
    <w:abstractNumId w:val="26"/>
  </w:num>
  <w:num w:numId="27">
    <w:abstractNumId w:val="35"/>
  </w:num>
  <w:num w:numId="28">
    <w:abstractNumId w:val="27"/>
  </w:num>
  <w:num w:numId="29">
    <w:abstractNumId w:val="20"/>
  </w:num>
  <w:num w:numId="30">
    <w:abstractNumId w:val="38"/>
  </w:num>
  <w:num w:numId="31">
    <w:abstractNumId w:val="40"/>
  </w:num>
  <w:num w:numId="32">
    <w:abstractNumId w:val="32"/>
  </w:num>
  <w:num w:numId="33">
    <w:abstractNumId w:val="34"/>
  </w:num>
  <w:num w:numId="34">
    <w:abstractNumId w:val="31"/>
  </w:num>
  <w:num w:numId="35">
    <w:abstractNumId w:val="29"/>
  </w:num>
  <w:num w:numId="36">
    <w:abstractNumId w:val="33"/>
  </w:num>
  <w:num w:numId="37">
    <w:abstractNumId w:val="19"/>
  </w:num>
  <w:num w:numId="38">
    <w:abstractNumId w:val="37"/>
  </w:num>
  <w:num w:numId="39">
    <w:abstractNumId w:val="28"/>
  </w:num>
  <w:num w:numId="40">
    <w:abstractNumId w:val="22"/>
  </w:num>
  <w:num w:numId="41">
    <w:abstractNumId w:val="24"/>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F62886"/>
    <w:rsid w:val="00001C0E"/>
    <w:rsid w:val="0000207A"/>
    <w:rsid w:val="00003FDA"/>
    <w:rsid w:val="00004692"/>
    <w:rsid w:val="00005057"/>
    <w:rsid w:val="00006AFD"/>
    <w:rsid w:val="00006CFB"/>
    <w:rsid w:val="000079B8"/>
    <w:rsid w:val="000109B9"/>
    <w:rsid w:val="00011B05"/>
    <w:rsid w:val="00012BDD"/>
    <w:rsid w:val="000147B1"/>
    <w:rsid w:val="00015F4C"/>
    <w:rsid w:val="000166EB"/>
    <w:rsid w:val="00017DA3"/>
    <w:rsid w:val="000201B5"/>
    <w:rsid w:val="00020ABD"/>
    <w:rsid w:val="00020EFC"/>
    <w:rsid w:val="0002250F"/>
    <w:rsid w:val="0002372F"/>
    <w:rsid w:val="000241DD"/>
    <w:rsid w:val="000243F2"/>
    <w:rsid w:val="00024525"/>
    <w:rsid w:val="000254FA"/>
    <w:rsid w:val="00025568"/>
    <w:rsid w:val="00025E59"/>
    <w:rsid w:val="00032188"/>
    <w:rsid w:val="000323CC"/>
    <w:rsid w:val="000335AE"/>
    <w:rsid w:val="00034FD8"/>
    <w:rsid w:val="00036EB9"/>
    <w:rsid w:val="00040296"/>
    <w:rsid w:val="0004054D"/>
    <w:rsid w:val="00041BF1"/>
    <w:rsid w:val="00042C32"/>
    <w:rsid w:val="0004367B"/>
    <w:rsid w:val="00045D80"/>
    <w:rsid w:val="000464CB"/>
    <w:rsid w:val="0004707C"/>
    <w:rsid w:val="000476A1"/>
    <w:rsid w:val="00047AD8"/>
    <w:rsid w:val="00050EB2"/>
    <w:rsid w:val="000530FC"/>
    <w:rsid w:val="00053B74"/>
    <w:rsid w:val="00053EFC"/>
    <w:rsid w:val="00054F5F"/>
    <w:rsid w:val="000554CE"/>
    <w:rsid w:val="00055B03"/>
    <w:rsid w:val="00057AB0"/>
    <w:rsid w:val="00060A62"/>
    <w:rsid w:val="00063F1E"/>
    <w:rsid w:val="00063F6E"/>
    <w:rsid w:val="00070FD0"/>
    <w:rsid w:val="00071C08"/>
    <w:rsid w:val="000726A2"/>
    <w:rsid w:val="000726F3"/>
    <w:rsid w:val="0007295E"/>
    <w:rsid w:val="000743D8"/>
    <w:rsid w:val="000748CA"/>
    <w:rsid w:val="00075310"/>
    <w:rsid w:val="00076A07"/>
    <w:rsid w:val="00077B69"/>
    <w:rsid w:val="00077C36"/>
    <w:rsid w:val="0008055C"/>
    <w:rsid w:val="000815DE"/>
    <w:rsid w:val="00082C12"/>
    <w:rsid w:val="00083B7A"/>
    <w:rsid w:val="00083B91"/>
    <w:rsid w:val="00085F12"/>
    <w:rsid w:val="00086A87"/>
    <w:rsid w:val="0009047C"/>
    <w:rsid w:val="000907D1"/>
    <w:rsid w:val="000914C1"/>
    <w:rsid w:val="000920A8"/>
    <w:rsid w:val="0009309D"/>
    <w:rsid w:val="00094162"/>
    <w:rsid w:val="00095932"/>
    <w:rsid w:val="00095DB2"/>
    <w:rsid w:val="00095DC3"/>
    <w:rsid w:val="0009648A"/>
    <w:rsid w:val="0009669A"/>
    <w:rsid w:val="00097ADC"/>
    <w:rsid w:val="000A13FF"/>
    <w:rsid w:val="000A215F"/>
    <w:rsid w:val="000A29FF"/>
    <w:rsid w:val="000A3433"/>
    <w:rsid w:val="000A3B67"/>
    <w:rsid w:val="000A3CA5"/>
    <w:rsid w:val="000A3E39"/>
    <w:rsid w:val="000A4BDD"/>
    <w:rsid w:val="000A5AE0"/>
    <w:rsid w:val="000A752B"/>
    <w:rsid w:val="000A7CC3"/>
    <w:rsid w:val="000B02D7"/>
    <w:rsid w:val="000B2AA6"/>
    <w:rsid w:val="000B2C96"/>
    <w:rsid w:val="000B2F21"/>
    <w:rsid w:val="000B30EB"/>
    <w:rsid w:val="000B652D"/>
    <w:rsid w:val="000B67BE"/>
    <w:rsid w:val="000B6CA8"/>
    <w:rsid w:val="000B75D6"/>
    <w:rsid w:val="000B7DDD"/>
    <w:rsid w:val="000C1AC1"/>
    <w:rsid w:val="000C2194"/>
    <w:rsid w:val="000C2A46"/>
    <w:rsid w:val="000C2CAE"/>
    <w:rsid w:val="000C403D"/>
    <w:rsid w:val="000C54A5"/>
    <w:rsid w:val="000C55D6"/>
    <w:rsid w:val="000C5CD4"/>
    <w:rsid w:val="000C7F5E"/>
    <w:rsid w:val="000D0493"/>
    <w:rsid w:val="000D04D7"/>
    <w:rsid w:val="000D2917"/>
    <w:rsid w:val="000D337B"/>
    <w:rsid w:val="000D33C7"/>
    <w:rsid w:val="000D3BDB"/>
    <w:rsid w:val="000D3C12"/>
    <w:rsid w:val="000D475A"/>
    <w:rsid w:val="000D6134"/>
    <w:rsid w:val="000D6B1B"/>
    <w:rsid w:val="000E1720"/>
    <w:rsid w:val="000E26F7"/>
    <w:rsid w:val="000E28C6"/>
    <w:rsid w:val="000E38D1"/>
    <w:rsid w:val="000E438F"/>
    <w:rsid w:val="000E7A77"/>
    <w:rsid w:val="000E7D2C"/>
    <w:rsid w:val="000F2628"/>
    <w:rsid w:val="000F2C59"/>
    <w:rsid w:val="000F3C6B"/>
    <w:rsid w:val="000F3CAA"/>
    <w:rsid w:val="000F4041"/>
    <w:rsid w:val="000F4B50"/>
    <w:rsid w:val="000F4D8A"/>
    <w:rsid w:val="0010034C"/>
    <w:rsid w:val="00100418"/>
    <w:rsid w:val="00101D77"/>
    <w:rsid w:val="00103989"/>
    <w:rsid w:val="00104DA5"/>
    <w:rsid w:val="0010753F"/>
    <w:rsid w:val="001078DC"/>
    <w:rsid w:val="00110782"/>
    <w:rsid w:val="00111068"/>
    <w:rsid w:val="00111176"/>
    <w:rsid w:val="00113581"/>
    <w:rsid w:val="00113598"/>
    <w:rsid w:val="001137E3"/>
    <w:rsid w:val="00113B86"/>
    <w:rsid w:val="00113BB9"/>
    <w:rsid w:val="00113E6D"/>
    <w:rsid w:val="00115916"/>
    <w:rsid w:val="001177B0"/>
    <w:rsid w:val="00117D82"/>
    <w:rsid w:val="00120262"/>
    <w:rsid w:val="0012057E"/>
    <w:rsid w:val="00121F7C"/>
    <w:rsid w:val="001235C2"/>
    <w:rsid w:val="00123CB0"/>
    <w:rsid w:val="00124DA5"/>
    <w:rsid w:val="00124F96"/>
    <w:rsid w:val="00125A07"/>
    <w:rsid w:val="0012728C"/>
    <w:rsid w:val="00130393"/>
    <w:rsid w:val="0013163D"/>
    <w:rsid w:val="001324EA"/>
    <w:rsid w:val="00132F08"/>
    <w:rsid w:val="001350FA"/>
    <w:rsid w:val="00136337"/>
    <w:rsid w:val="00136A70"/>
    <w:rsid w:val="00136CD3"/>
    <w:rsid w:val="00137FF5"/>
    <w:rsid w:val="00141581"/>
    <w:rsid w:val="00142519"/>
    <w:rsid w:val="0014299C"/>
    <w:rsid w:val="001435CE"/>
    <w:rsid w:val="00144CD0"/>
    <w:rsid w:val="001452F1"/>
    <w:rsid w:val="001468A3"/>
    <w:rsid w:val="001504F6"/>
    <w:rsid w:val="0015089E"/>
    <w:rsid w:val="00151FAC"/>
    <w:rsid w:val="00154639"/>
    <w:rsid w:val="00154817"/>
    <w:rsid w:val="00155066"/>
    <w:rsid w:val="001560EE"/>
    <w:rsid w:val="001565F9"/>
    <w:rsid w:val="001572BE"/>
    <w:rsid w:val="001624ED"/>
    <w:rsid w:val="00163019"/>
    <w:rsid w:val="00164EA9"/>
    <w:rsid w:val="001667C0"/>
    <w:rsid w:val="00167787"/>
    <w:rsid w:val="00167B1E"/>
    <w:rsid w:val="00167EF7"/>
    <w:rsid w:val="001720A6"/>
    <w:rsid w:val="001726C8"/>
    <w:rsid w:val="001726FA"/>
    <w:rsid w:val="00174EE4"/>
    <w:rsid w:val="0017592A"/>
    <w:rsid w:val="00176D48"/>
    <w:rsid w:val="0017753D"/>
    <w:rsid w:val="0018093E"/>
    <w:rsid w:val="00180E94"/>
    <w:rsid w:val="00181094"/>
    <w:rsid w:val="00182CE1"/>
    <w:rsid w:val="00182E17"/>
    <w:rsid w:val="00182FE4"/>
    <w:rsid w:val="001879C5"/>
    <w:rsid w:val="001900C2"/>
    <w:rsid w:val="001904E7"/>
    <w:rsid w:val="00191225"/>
    <w:rsid w:val="00191659"/>
    <w:rsid w:val="001941A5"/>
    <w:rsid w:val="00195358"/>
    <w:rsid w:val="0019652F"/>
    <w:rsid w:val="00196CEA"/>
    <w:rsid w:val="00197012"/>
    <w:rsid w:val="001A1E9B"/>
    <w:rsid w:val="001A24AC"/>
    <w:rsid w:val="001A319B"/>
    <w:rsid w:val="001A3C3B"/>
    <w:rsid w:val="001A4C15"/>
    <w:rsid w:val="001A619D"/>
    <w:rsid w:val="001A641D"/>
    <w:rsid w:val="001A6C84"/>
    <w:rsid w:val="001A704D"/>
    <w:rsid w:val="001A78D1"/>
    <w:rsid w:val="001A79ED"/>
    <w:rsid w:val="001A7C87"/>
    <w:rsid w:val="001B0068"/>
    <w:rsid w:val="001B0B48"/>
    <w:rsid w:val="001B1890"/>
    <w:rsid w:val="001B348F"/>
    <w:rsid w:val="001B3F87"/>
    <w:rsid w:val="001B48DA"/>
    <w:rsid w:val="001B5E2F"/>
    <w:rsid w:val="001B6121"/>
    <w:rsid w:val="001B6255"/>
    <w:rsid w:val="001B730C"/>
    <w:rsid w:val="001C0733"/>
    <w:rsid w:val="001C1389"/>
    <w:rsid w:val="001C1529"/>
    <w:rsid w:val="001C1537"/>
    <w:rsid w:val="001C1B1F"/>
    <w:rsid w:val="001C3F81"/>
    <w:rsid w:val="001C4ADF"/>
    <w:rsid w:val="001C4F3D"/>
    <w:rsid w:val="001C5A89"/>
    <w:rsid w:val="001C5CD1"/>
    <w:rsid w:val="001C6D0E"/>
    <w:rsid w:val="001D0076"/>
    <w:rsid w:val="001D112A"/>
    <w:rsid w:val="001D1291"/>
    <w:rsid w:val="001D13EA"/>
    <w:rsid w:val="001D201C"/>
    <w:rsid w:val="001D2964"/>
    <w:rsid w:val="001D30F2"/>
    <w:rsid w:val="001D4E7E"/>
    <w:rsid w:val="001D4EEC"/>
    <w:rsid w:val="001D569B"/>
    <w:rsid w:val="001D56A8"/>
    <w:rsid w:val="001D6927"/>
    <w:rsid w:val="001D6BD1"/>
    <w:rsid w:val="001D6FC6"/>
    <w:rsid w:val="001D7BD1"/>
    <w:rsid w:val="001E063F"/>
    <w:rsid w:val="001E08AF"/>
    <w:rsid w:val="001E1FB0"/>
    <w:rsid w:val="001E3424"/>
    <w:rsid w:val="001E372C"/>
    <w:rsid w:val="001E390B"/>
    <w:rsid w:val="001E3D2C"/>
    <w:rsid w:val="001E5192"/>
    <w:rsid w:val="001E56FB"/>
    <w:rsid w:val="001E5F25"/>
    <w:rsid w:val="001E6631"/>
    <w:rsid w:val="001E689C"/>
    <w:rsid w:val="001F00D3"/>
    <w:rsid w:val="001F046C"/>
    <w:rsid w:val="001F09D9"/>
    <w:rsid w:val="001F1E01"/>
    <w:rsid w:val="001F353A"/>
    <w:rsid w:val="001F3E02"/>
    <w:rsid w:val="001F3EE8"/>
    <w:rsid w:val="001F4F06"/>
    <w:rsid w:val="001F7211"/>
    <w:rsid w:val="00201E8A"/>
    <w:rsid w:val="0020309F"/>
    <w:rsid w:val="00203C2F"/>
    <w:rsid w:val="002055B5"/>
    <w:rsid w:val="00205FDF"/>
    <w:rsid w:val="0020630E"/>
    <w:rsid w:val="00210023"/>
    <w:rsid w:val="002124B9"/>
    <w:rsid w:val="00214237"/>
    <w:rsid w:val="00214BBC"/>
    <w:rsid w:val="00217897"/>
    <w:rsid w:val="002203E6"/>
    <w:rsid w:val="00222D40"/>
    <w:rsid w:val="002248DD"/>
    <w:rsid w:val="00224B11"/>
    <w:rsid w:val="002251EA"/>
    <w:rsid w:val="002278C0"/>
    <w:rsid w:val="00227938"/>
    <w:rsid w:val="002305B8"/>
    <w:rsid w:val="00231775"/>
    <w:rsid w:val="00232B11"/>
    <w:rsid w:val="00232CCC"/>
    <w:rsid w:val="00235C19"/>
    <w:rsid w:val="00236A4F"/>
    <w:rsid w:val="0023745F"/>
    <w:rsid w:val="002378DC"/>
    <w:rsid w:val="00242ED3"/>
    <w:rsid w:val="00243549"/>
    <w:rsid w:val="00244864"/>
    <w:rsid w:val="00244B04"/>
    <w:rsid w:val="00245260"/>
    <w:rsid w:val="002469C6"/>
    <w:rsid w:val="0024752F"/>
    <w:rsid w:val="00251759"/>
    <w:rsid w:val="002520BA"/>
    <w:rsid w:val="00254182"/>
    <w:rsid w:val="00254B32"/>
    <w:rsid w:val="00255380"/>
    <w:rsid w:val="002556EF"/>
    <w:rsid w:val="002575F0"/>
    <w:rsid w:val="0026290F"/>
    <w:rsid w:val="00262AD2"/>
    <w:rsid w:val="00262D9E"/>
    <w:rsid w:val="0026362E"/>
    <w:rsid w:val="0026525A"/>
    <w:rsid w:val="002660BC"/>
    <w:rsid w:val="0026667B"/>
    <w:rsid w:val="002673D8"/>
    <w:rsid w:val="00267716"/>
    <w:rsid w:val="00267D12"/>
    <w:rsid w:val="00270FD8"/>
    <w:rsid w:val="00271FF6"/>
    <w:rsid w:val="00272227"/>
    <w:rsid w:val="0027346A"/>
    <w:rsid w:val="00274A74"/>
    <w:rsid w:val="002750F1"/>
    <w:rsid w:val="00275478"/>
    <w:rsid w:val="00276A1B"/>
    <w:rsid w:val="00276F40"/>
    <w:rsid w:val="00280B59"/>
    <w:rsid w:val="00281A69"/>
    <w:rsid w:val="002843AE"/>
    <w:rsid w:val="0028474A"/>
    <w:rsid w:val="00285C7C"/>
    <w:rsid w:val="00286717"/>
    <w:rsid w:val="002869E9"/>
    <w:rsid w:val="00286ACD"/>
    <w:rsid w:val="00291B68"/>
    <w:rsid w:val="0029704B"/>
    <w:rsid w:val="0029729A"/>
    <w:rsid w:val="002A023C"/>
    <w:rsid w:val="002A037D"/>
    <w:rsid w:val="002A07D6"/>
    <w:rsid w:val="002A0FEF"/>
    <w:rsid w:val="002A1036"/>
    <w:rsid w:val="002A2086"/>
    <w:rsid w:val="002A5267"/>
    <w:rsid w:val="002A6117"/>
    <w:rsid w:val="002B011A"/>
    <w:rsid w:val="002B0EA5"/>
    <w:rsid w:val="002B0F87"/>
    <w:rsid w:val="002B1AF5"/>
    <w:rsid w:val="002B32C3"/>
    <w:rsid w:val="002B3E52"/>
    <w:rsid w:val="002B498A"/>
    <w:rsid w:val="002B4C4C"/>
    <w:rsid w:val="002B4DB0"/>
    <w:rsid w:val="002B5023"/>
    <w:rsid w:val="002B51A2"/>
    <w:rsid w:val="002B5B27"/>
    <w:rsid w:val="002B6E98"/>
    <w:rsid w:val="002B7B83"/>
    <w:rsid w:val="002B7D6A"/>
    <w:rsid w:val="002C2520"/>
    <w:rsid w:val="002C3530"/>
    <w:rsid w:val="002C3D48"/>
    <w:rsid w:val="002C3F8A"/>
    <w:rsid w:val="002C5560"/>
    <w:rsid w:val="002C6297"/>
    <w:rsid w:val="002C681C"/>
    <w:rsid w:val="002C700B"/>
    <w:rsid w:val="002D066A"/>
    <w:rsid w:val="002D18A8"/>
    <w:rsid w:val="002D2B5D"/>
    <w:rsid w:val="002D3A50"/>
    <w:rsid w:val="002D3A88"/>
    <w:rsid w:val="002D5480"/>
    <w:rsid w:val="002D5E36"/>
    <w:rsid w:val="002D680C"/>
    <w:rsid w:val="002E0334"/>
    <w:rsid w:val="002E23EA"/>
    <w:rsid w:val="002E2B2B"/>
    <w:rsid w:val="002E314D"/>
    <w:rsid w:val="002E34A1"/>
    <w:rsid w:val="002E5EB1"/>
    <w:rsid w:val="002E7491"/>
    <w:rsid w:val="002F0CA7"/>
    <w:rsid w:val="002F1819"/>
    <w:rsid w:val="002F2CE5"/>
    <w:rsid w:val="002F2DA6"/>
    <w:rsid w:val="002F39AE"/>
    <w:rsid w:val="002F4862"/>
    <w:rsid w:val="002F4C8B"/>
    <w:rsid w:val="002F560E"/>
    <w:rsid w:val="002F6EC4"/>
    <w:rsid w:val="002F7BF0"/>
    <w:rsid w:val="00300919"/>
    <w:rsid w:val="003026EE"/>
    <w:rsid w:val="00305741"/>
    <w:rsid w:val="00305B9B"/>
    <w:rsid w:val="003063F2"/>
    <w:rsid w:val="0030791E"/>
    <w:rsid w:val="00307939"/>
    <w:rsid w:val="00307AF2"/>
    <w:rsid w:val="00307E78"/>
    <w:rsid w:val="0031008D"/>
    <w:rsid w:val="0031069D"/>
    <w:rsid w:val="00310AF6"/>
    <w:rsid w:val="00310C55"/>
    <w:rsid w:val="0031185D"/>
    <w:rsid w:val="003122D2"/>
    <w:rsid w:val="00312349"/>
    <w:rsid w:val="00312F37"/>
    <w:rsid w:val="00313A05"/>
    <w:rsid w:val="003146BA"/>
    <w:rsid w:val="003148D8"/>
    <w:rsid w:val="00314B95"/>
    <w:rsid w:val="00315D8F"/>
    <w:rsid w:val="003165CE"/>
    <w:rsid w:val="00316723"/>
    <w:rsid w:val="003171B4"/>
    <w:rsid w:val="00320C11"/>
    <w:rsid w:val="00321689"/>
    <w:rsid w:val="00321B3E"/>
    <w:rsid w:val="00323EE3"/>
    <w:rsid w:val="00324488"/>
    <w:rsid w:val="0032561F"/>
    <w:rsid w:val="003263F9"/>
    <w:rsid w:val="00327AEE"/>
    <w:rsid w:val="003314F2"/>
    <w:rsid w:val="00331CED"/>
    <w:rsid w:val="003339AD"/>
    <w:rsid w:val="00335B15"/>
    <w:rsid w:val="00335F69"/>
    <w:rsid w:val="0033714C"/>
    <w:rsid w:val="00340A09"/>
    <w:rsid w:val="00341C47"/>
    <w:rsid w:val="003438F8"/>
    <w:rsid w:val="00343E8E"/>
    <w:rsid w:val="00344851"/>
    <w:rsid w:val="003473AF"/>
    <w:rsid w:val="003476DC"/>
    <w:rsid w:val="0035014B"/>
    <w:rsid w:val="00351359"/>
    <w:rsid w:val="00351FBA"/>
    <w:rsid w:val="00352743"/>
    <w:rsid w:val="0035275D"/>
    <w:rsid w:val="00354932"/>
    <w:rsid w:val="00354952"/>
    <w:rsid w:val="00355C70"/>
    <w:rsid w:val="003564E9"/>
    <w:rsid w:val="00356F2B"/>
    <w:rsid w:val="00361C89"/>
    <w:rsid w:val="003627DF"/>
    <w:rsid w:val="00362B09"/>
    <w:rsid w:val="0036659F"/>
    <w:rsid w:val="00366979"/>
    <w:rsid w:val="003718D8"/>
    <w:rsid w:val="00374F07"/>
    <w:rsid w:val="00375063"/>
    <w:rsid w:val="00376082"/>
    <w:rsid w:val="00376A13"/>
    <w:rsid w:val="00380E66"/>
    <w:rsid w:val="00380F05"/>
    <w:rsid w:val="003812F8"/>
    <w:rsid w:val="00383391"/>
    <w:rsid w:val="003836B6"/>
    <w:rsid w:val="0038487E"/>
    <w:rsid w:val="00385509"/>
    <w:rsid w:val="00386569"/>
    <w:rsid w:val="00387274"/>
    <w:rsid w:val="003877F1"/>
    <w:rsid w:val="00390E20"/>
    <w:rsid w:val="00390FC1"/>
    <w:rsid w:val="0039265B"/>
    <w:rsid w:val="00392B0A"/>
    <w:rsid w:val="00392B50"/>
    <w:rsid w:val="003935F8"/>
    <w:rsid w:val="00393B53"/>
    <w:rsid w:val="003942C1"/>
    <w:rsid w:val="003943E1"/>
    <w:rsid w:val="00397EB1"/>
    <w:rsid w:val="00397FB2"/>
    <w:rsid w:val="003A0454"/>
    <w:rsid w:val="003A2400"/>
    <w:rsid w:val="003A45F7"/>
    <w:rsid w:val="003A5EE0"/>
    <w:rsid w:val="003A65BA"/>
    <w:rsid w:val="003A78D2"/>
    <w:rsid w:val="003B07B8"/>
    <w:rsid w:val="003B257C"/>
    <w:rsid w:val="003B649E"/>
    <w:rsid w:val="003B7734"/>
    <w:rsid w:val="003B7C59"/>
    <w:rsid w:val="003C0114"/>
    <w:rsid w:val="003C1A76"/>
    <w:rsid w:val="003C3773"/>
    <w:rsid w:val="003C4280"/>
    <w:rsid w:val="003C4F05"/>
    <w:rsid w:val="003C5A13"/>
    <w:rsid w:val="003C5F91"/>
    <w:rsid w:val="003C654B"/>
    <w:rsid w:val="003D1659"/>
    <w:rsid w:val="003D16B2"/>
    <w:rsid w:val="003D279D"/>
    <w:rsid w:val="003D45B4"/>
    <w:rsid w:val="003D460C"/>
    <w:rsid w:val="003E16A6"/>
    <w:rsid w:val="003E2DEC"/>
    <w:rsid w:val="003E33B9"/>
    <w:rsid w:val="003E3E7B"/>
    <w:rsid w:val="003E64F4"/>
    <w:rsid w:val="003E6D91"/>
    <w:rsid w:val="003E6ECD"/>
    <w:rsid w:val="003F25C0"/>
    <w:rsid w:val="003F38E0"/>
    <w:rsid w:val="003F42D6"/>
    <w:rsid w:val="003F57D2"/>
    <w:rsid w:val="00400B20"/>
    <w:rsid w:val="00401277"/>
    <w:rsid w:val="004014E0"/>
    <w:rsid w:val="00401693"/>
    <w:rsid w:val="00402032"/>
    <w:rsid w:val="004020BC"/>
    <w:rsid w:val="0040245C"/>
    <w:rsid w:val="004024E0"/>
    <w:rsid w:val="0040256F"/>
    <w:rsid w:val="00404179"/>
    <w:rsid w:val="004102B8"/>
    <w:rsid w:val="004109F3"/>
    <w:rsid w:val="004110E4"/>
    <w:rsid w:val="00412E3C"/>
    <w:rsid w:val="00414026"/>
    <w:rsid w:val="00414D7D"/>
    <w:rsid w:val="00416124"/>
    <w:rsid w:val="004177F7"/>
    <w:rsid w:val="00421810"/>
    <w:rsid w:val="00423642"/>
    <w:rsid w:val="0042481C"/>
    <w:rsid w:val="00425E5A"/>
    <w:rsid w:val="00426907"/>
    <w:rsid w:val="00431085"/>
    <w:rsid w:val="00432CE0"/>
    <w:rsid w:val="00433B1E"/>
    <w:rsid w:val="0043441E"/>
    <w:rsid w:val="004349C3"/>
    <w:rsid w:val="00437BF8"/>
    <w:rsid w:val="00437FBB"/>
    <w:rsid w:val="004403CD"/>
    <w:rsid w:val="00441E06"/>
    <w:rsid w:val="00443734"/>
    <w:rsid w:val="004439F6"/>
    <w:rsid w:val="00443E1E"/>
    <w:rsid w:val="00443FFE"/>
    <w:rsid w:val="0045014F"/>
    <w:rsid w:val="004512E3"/>
    <w:rsid w:val="0045171B"/>
    <w:rsid w:val="004538BC"/>
    <w:rsid w:val="00454C55"/>
    <w:rsid w:val="00455744"/>
    <w:rsid w:val="00457955"/>
    <w:rsid w:val="00460926"/>
    <w:rsid w:val="004611D4"/>
    <w:rsid w:val="00461D9F"/>
    <w:rsid w:val="00462421"/>
    <w:rsid w:val="00462E72"/>
    <w:rsid w:val="00463800"/>
    <w:rsid w:val="004655F5"/>
    <w:rsid w:val="00466073"/>
    <w:rsid w:val="00466CC8"/>
    <w:rsid w:val="00470AFF"/>
    <w:rsid w:val="00470BD3"/>
    <w:rsid w:val="00471418"/>
    <w:rsid w:val="00471A32"/>
    <w:rsid w:val="00472D3E"/>
    <w:rsid w:val="00473915"/>
    <w:rsid w:val="00473B26"/>
    <w:rsid w:val="004743AC"/>
    <w:rsid w:val="004749C5"/>
    <w:rsid w:val="00474F57"/>
    <w:rsid w:val="00476928"/>
    <w:rsid w:val="004775A3"/>
    <w:rsid w:val="00477ADD"/>
    <w:rsid w:val="004809F2"/>
    <w:rsid w:val="004828B0"/>
    <w:rsid w:val="0048445E"/>
    <w:rsid w:val="00484A07"/>
    <w:rsid w:val="00484DF2"/>
    <w:rsid w:val="00486B29"/>
    <w:rsid w:val="00487836"/>
    <w:rsid w:val="00487B15"/>
    <w:rsid w:val="004909C1"/>
    <w:rsid w:val="004913C6"/>
    <w:rsid w:val="00491D30"/>
    <w:rsid w:val="00492E6F"/>
    <w:rsid w:val="00495F81"/>
    <w:rsid w:val="004961D4"/>
    <w:rsid w:val="00496C30"/>
    <w:rsid w:val="00497D0B"/>
    <w:rsid w:val="004A1401"/>
    <w:rsid w:val="004A5194"/>
    <w:rsid w:val="004A530B"/>
    <w:rsid w:val="004A70F7"/>
    <w:rsid w:val="004B0897"/>
    <w:rsid w:val="004B14F3"/>
    <w:rsid w:val="004B2F07"/>
    <w:rsid w:val="004B4EF3"/>
    <w:rsid w:val="004B566D"/>
    <w:rsid w:val="004B7298"/>
    <w:rsid w:val="004C15E6"/>
    <w:rsid w:val="004C2D8D"/>
    <w:rsid w:val="004C48F8"/>
    <w:rsid w:val="004C54EA"/>
    <w:rsid w:val="004C557F"/>
    <w:rsid w:val="004C75DE"/>
    <w:rsid w:val="004D09B7"/>
    <w:rsid w:val="004D09E3"/>
    <w:rsid w:val="004D1276"/>
    <w:rsid w:val="004D2D1A"/>
    <w:rsid w:val="004D410A"/>
    <w:rsid w:val="004D4F71"/>
    <w:rsid w:val="004D526B"/>
    <w:rsid w:val="004D66BF"/>
    <w:rsid w:val="004D6DA8"/>
    <w:rsid w:val="004D727F"/>
    <w:rsid w:val="004E0131"/>
    <w:rsid w:val="004E254F"/>
    <w:rsid w:val="004E25EE"/>
    <w:rsid w:val="004E2C0F"/>
    <w:rsid w:val="004E2C30"/>
    <w:rsid w:val="004E30D4"/>
    <w:rsid w:val="004E341F"/>
    <w:rsid w:val="004E356C"/>
    <w:rsid w:val="004E3872"/>
    <w:rsid w:val="004E570A"/>
    <w:rsid w:val="004E7F98"/>
    <w:rsid w:val="004F074E"/>
    <w:rsid w:val="004F0BA3"/>
    <w:rsid w:val="004F14AB"/>
    <w:rsid w:val="004F1690"/>
    <w:rsid w:val="004F1DFF"/>
    <w:rsid w:val="004F2942"/>
    <w:rsid w:val="004F533E"/>
    <w:rsid w:val="004F60F8"/>
    <w:rsid w:val="00501C66"/>
    <w:rsid w:val="00502ED4"/>
    <w:rsid w:val="00503126"/>
    <w:rsid w:val="005036DE"/>
    <w:rsid w:val="005042E8"/>
    <w:rsid w:val="00506DFC"/>
    <w:rsid w:val="00511D1A"/>
    <w:rsid w:val="00512495"/>
    <w:rsid w:val="005129EB"/>
    <w:rsid w:val="00513718"/>
    <w:rsid w:val="00513899"/>
    <w:rsid w:val="005139F2"/>
    <w:rsid w:val="00514A05"/>
    <w:rsid w:val="00515590"/>
    <w:rsid w:val="005159F1"/>
    <w:rsid w:val="00516C8D"/>
    <w:rsid w:val="00516CCC"/>
    <w:rsid w:val="005209CB"/>
    <w:rsid w:val="005236A0"/>
    <w:rsid w:val="00523F96"/>
    <w:rsid w:val="00524777"/>
    <w:rsid w:val="00524A7D"/>
    <w:rsid w:val="00525E2D"/>
    <w:rsid w:val="005261DB"/>
    <w:rsid w:val="00526487"/>
    <w:rsid w:val="00527344"/>
    <w:rsid w:val="00527B75"/>
    <w:rsid w:val="005311A3"/>
    <w:rsid w:val="005326CD"/>
    <w:rsid w:val="00533292"/>
    <w:rsid w:val="00533F12"/>
    <w:rsid w:val="00534EFB"/>
    <w:rsid w:val="00535642"/>
    <w:rsid w:val="00535FF5"/>
    <w:rsid w:val="005363AF"/>
    <w:rsid w:val="005403C4"/>
    <w:rsid w:val="00540B30"/>
    <w:rsid w:val="00540FFE"/>
    <w:rsid w:val="00541BCF"/>
    <w:rsid w:val="00542739"/>
    <w:rsid w:val="005428AD"/>
    <w:rsid w:val="00542953"/>
    <w:rsid w:val="00542989"/>
    <w:rsid w:val="00542B97"/>
    <w:rsid w:val="00543502"/>
    <w:rsid w:val="00544E0E"/>
    <w:rsid w:val="00546900"/>
    <w:rsid w:val="00546CB3"/>
    <w:rsid w:val="00547296"/>
    <w:rsid w:val="00547596"/>
    <w:rsid w:val="00550032"/>
    <w:rsid w:val="005501C4"/>
    <w:rsid w:val="00551104"/>
    <w:rsid w:val="00552F5B"/>
    <w:rsid w:val="00554F1E"/>
    <w:rsid w:val="00556487"/>
    <w:rsid w:val="005571B3"/>
    <w:rsid w:val="005615D2"/>
    <w:rsid w:val="0056189C"/>
    <w:rsid w:val="00562A86"/>
    <w:rsid w:val="005640ED"/>
    <w:rsid w:val="00564275"/>
    <w:rsid w:val="005650F9"/>
    <w:rsid w:val="00565937"/>
    <w:rsid w:val="00566D4B"/>
    <w:rsid w:val="0056730B"/>
    <w:rsid w:val="00567B08"/>
    <w:rsid w:val="00567E3F"/>
    <w:rsid w:val="005708C1"/>
    <w:rsid w:val="005725A9"/>
    <w:rsid w:val="00573BA5"/>
    <w:rsid w:val="0057494F"/>
    <w:rsid w:val="00574D3B"/>
    <w:rsid w:val="00574FDC"/>
    <w:rsid w:val="00576514"/>
    <w:rsid w:val="00576B17"/>
    <w:rsid w:val="00576F89"/>
    <w:rsid w:val="00581585"/>
    <w:rsid w:val="0058323E"/>
    <w:rsid w:val="0058383A"/>
    <w:rsid w:val="00583E68"/>
    <w:rsid w:val="005845DB"/>
    <w:rsid w:val="0058603D"/>
    <w:rsid w:val="005875AE"/>
    <w:rsid w:val="005901A2"/>
    <w:rsid w:val="0059174D"/>
    <w:rsid w:val="005955F1"/>
    <w:rsid w:val="005962E0"/>
    <w:rsid w:val="00597ECD"/>
    <w:rsid w:val="005A0E01"/>
    <w:rsid w:val="005A1DCD"/>
    <w:rsid w:val="005A44EC"/>
    <w:rsid w:val="005A734D"/>
    <w:rsid w:val="005A7AF8"/>
    <w:rsid w:val="005B1F98"/>
    <w:rsid w:val="005B2320"/>
    <w:rsid w:val="005B2FAA"/>
    <w:rsid w:val="005B3FCE"/>
    <w:rsid w:val="005B4CDD"/>
    <w:rsid w:val="005B4F5E"/>
    <w:rsid w:val="005B55D3"/>
    <w:rsid w:val="005B63CB"/>
    <w:rsid w:val="005B65BD"/>
    <w:rsid w:val="005B691E"/>
    <w:rsid w:val="005B6B3C"/>
    <w:rsid w:val="005B7942"/>
    <w:rsid w:val="005B7965"/>
    <w:rsid w:val="005B79E6"/>
    <w:rsid w:val="005C0602"/>
    <w:rsid w:val="005C2250"/>
    <w:rsid w:val="005C3684"/>
    <w:rsid w:val="005C375F"/>
    <w:rsid w:val="005C49B5"/>
    <w:rsid w:val="005C4F6D"/>
    <w:rsid w:val="005C63E6"/>
    <w:rsid w:val="005D0DD6"/>
    <w:rsid w:val="005D1C84"/>
    <w:rsid w:val="005D2309"/>
    <w:rsid w:val="005D278B"/>
    <w:rsid w:val="005D2FC8"/>
    <w:rsid w:val="005D3026"/>
    <w:rsid w:val="005D33F5"/>
    <w:rsid w:val="005D4001"/>
    <w:rsid w:val="005D5993"/>
    <w:rsid w:val="005D6AD5"/>
    <w:rsid w:val="005D7399"/>
    <w:rsid w:val="005E0B20"/>
    <w:rsid w:val="005E0F9A"/>
    <w:rsid w:val="005E1907"/>
    <w:rsid w:val="005E2D98"/>
    <w:rsid w:val="005E38D8"/>
    <w:rsid w:val="005E4263"/>
    <w:rsid w:val="005E4473"/>
    <w:rsid w:val="005E493E"/>
    <w:rsid w:val="005E51D1"/>
    <w:rsid w:val="005E5F21"/>
    <w:rsid w:val="005E77F3"/>
    <w:rsid w:val="005F282E"/>
    <w:rsid w:val="005F4540"/>
    <w:rsid w:val="005F6720"/>
    <w:rsid w:val="005F69E8"/>
    <w:rsid w:val="005F7E85"/>
    <w:rsid w:val="006000E8"/>
    <w:rsid w:val="006001AA"/>
    <w:rsid w:val="00601B8B"/>
    <w:rsid w:val="006054BC"/>
    <w:rsid w:val="0060575D"/>
    <w:rsid w:val="00606755"/>
    <w:rsid w:val="00606E28"/>
    <w:rsid w:val="00607B88"/>
    <w:rsid w:val="00610F02"/>
    <w:rsid w:val="0061145D"/>
    <w:rsid w:val="00611DB2"/>
    <w:rsid w:val="00612ED5"/>
    <w:rsid w:val="0061356D"/>
    <w:rsid w:val="0061455A"/>
    <w:rsid w:val="00616DC2"/>
    <w:rsid w:val="00620F02"/>
    <w:rsid w:val="0062402B"/>
    <w:rsid w:val="006258D6"/>
    <w:rsid w:val="006315D0"/>
    <w:rsid w:val="00632517"/>
    <w:rsid w:val="00632518"/>
    <w:rsid w:val="00632925"/>
    <w:rsid w:val="0063557B"/>
    <w:rsid w:val="00635FE0"/>
    <w:rsid w:val="0064042D"/>
    <w:rsid w:val="00640FA0"/>
    <w:rsid w:val="00644315"/>
    <w:rsid w:val="00644B7B"/>
    <w:rsid w:val="00645FBB"/>
    <w:rsid w:val="00646FAE"/>
    <w:rsid w:val="00647DDC"/>
    <w:rsid w:val="00650329"/>
    <w:rsid w:val="00651B1C"/>
    <w:rsid w:val="006520B4"/>
    <w:rsid w:val="00653B01"/>
    <w:rsid w:val="0065443D"/>
    <w:rsid w:val="00654B5C"/>
    <w:rsid w:val="00654F33"/>
    <w:rsid w:val="006552A7"/>
    <w:rsid w:val="00655610"/>
    <w:rsid w:val="006556F1"/>
    <w:rsid w:val="00655B9A"/>
    <w:rsid w:val="006578D2"/>
    <w:rsid w:val="006632CC"/>
    <w:rsid w:val="00664426"/>
    <w:rsid w:val="00664ED2"/>
    <w:rsid w:val="006655D7"/>
    <w:rsid w:val="00665D60"/>
    <w:rsid w:val="00665DAE"/>
    <w:rsid w:val="00666FFA"/>
    <w:rsid w:val="00667A54"/>
    <w:rsid w:val="00670E3C"/>
    <w:rsid w:val="00670E44"/>
    <w:rsid w:val="00670EC8"/>
    <w:rsid w:val="0067163F"/>
    <w:rsid w:val="00671693"/>
    <w:rsid w:val="00672970"/>
    <w:rsid w:val="00674649"/>
    <w:rsid w:val="00675A8B"/>
    <w:rsid w:val="00676DF3"/>
    <w:rsid w:val="006771D3"/>
    <w:rsid w:val="00677B86"/>
    <w:rsid w:val="00677E86"/>
    <w:rsid w:val="00680D81"/>
    <w:rsid w:val="00681773"/>
    <w:rsid w:val="006829F9"/>
    <w:rsid w:val="006833F9"/>
    <w:rsid w:val="00684FC9"/>
    <w:rsid w:val="006851F0"/>
    <w:rsid w:val="006856C0"/>
    <w:rsid w:val="00685A54"/>
    <w:rsid w:val="006863A4"/>
    <w:rsid w:val="0068698A"/>
    <w:rsid w:val="0069246B"/>
    <w:rsid w:val="006929C5"/>
    <w:rsid w:val="006936EB"/>
    <w:rsid w:val="00693962"/>
    <w:rsid w:val="00693F65"/>
    <w:rsid w:val="00694CA1"/>
    <w:rsid w:val="0069514B"/>
    <w:rsid w:val="00695D9D"/>
    <w:rsid w:val="006972E0"/>
    <w:rsid w:val="006A12FD"/>
    <w:rsid w:val="006A1585"/>
    <w:rsid w:val="006A1A6F"/>
    <w:rsid w:val="006A28B8"/>
    <w:rsid w:val="006A3666"/>
    <w:rsid w:val="006A4158"/>
    <w:rsid w:val="006A4730"/>
    <w:rsid w:val="006A5917"/>
    <w:rsid w:val="006A6FAC"/>
    <w:rsid w:val="006B0871"/>
    <w:rsid w:val="006B188D"/>
    <w:rsid w:val="006B1D2E"/>
    <w:rsid w:val="006B2F8D"/>
    <w:rsid w:val="006B6BDE"/>
    <w:rsid w:val="006B725C"/>
    <w:rsid w:val="006B7C02"/>
    <w:rsid w:val="006C00E2"/>
    <w:rsid w:val="006C094E"/>
    <w:rsid w:val="006C2493"/>
    <w:rsid w:val="006C2955"/>
    <w:rsid w:val="006C33A7"/>
    <w:rsid w:val="006C48E2"/>
    <w:rsid w:val="006C496A"/>
    <w:rsid w:val="006C54DA"/>
    <w:rsid w:val="006C55D4"/>
    <w:rsid w:val="006C5641"/>
    <w:rsid w:val="006D1871"/>
    <w:rsid w:val="006D1E32"/>
    <w:rsid w:val="006D231E"/>
    <w:rsid w:val="006D306F"/>
    <w:rsid w:val="006D3862"/>
    <w:rsid w:val="006D3D64"/>
    <w:rsid w:val="006D3E07"/>
    <w:rsid w:val="006D4CCE"/>
    <w:rsid w:val="006D7E04"/>
    <w:rsid w:val="006D7F16"/>
    <w:rsid w:val="006E0081"/>
    <w:rsid w:val="006E33B5"/>
    <w:rsid w:val="006E3AED"/>
    <w:rsid w:val="006E5A54"/>
    <w:rsid w:val="006F0894"/>
    <w:rsid w:val="006F16F6"/>
    <w:rsid w:val="006F26B8"/>
    <w:rsid w:val="006F2FBC"/>
    <w:rsid w:val="006F3975"/>
    <w:rsid w:val="006F4464"/>
    <w:rsid w:val="006F4903"/>
    <w:rsid w:val="006F6155"/>
    <w:rsid w:val="006F65A1"/>
    <w:rsid w:val="00701AB7"/>
    <w:rsid w:val="00704450"/>
    <w:rsid w:val="00706470"/>
    <w:rsid w:val="007066CB"/>
    <w:rsid w:val="007078D0"/>
    <w:rsid w:val="007102FC"/>
    <w:rsid w:val="007108FF"/>
    <w:rsid w:val="007109FF"/>
    <w:rsid w:val="00713E66"/>
    <w:rsid w:val="007160CE"/>
    <w:rsid w:val="0072060A"/>
    <w:rsid w:val="00722965"/>
    <w:rsid w:val="007238D3"/>
    <w:rsid w:val="00725515"/>
    <w:rsid w:val="007321E0"/>
    <w:rsid w:val="007324D2"/>
    <w:rsid w:val="00732BC3"/>
    <w:rsid w:val="00732E43"/>
    <w:rsid w:val="00733A94"/>
    <w:rsid w:val="00734794"/>
    <w:rsid w:val="0073480C"/>
    <w:rsid w:val="00734C41"/>
    <w:rsid w:val="007350B8"/>
    <w:rsid w:val="0073543E"/>
    <w:rsid w:val="00736C47"/>
    <w:rsid w:val="00737221"/>
    <w:rsid w:val="007427DB"/>
    <w:rsid w:val="00742A88"/>
    <w:rsid w:val="00742E01"/>
    <w:rsid w:val="00742E8F"/>
    <w:rsid w:val="00743A3F"/>
    <w:rsid w:val="007443E7"/>
    <w:rsid w:val="00746E9D"/>
    <w:rsid w:val="00747400"/>
    <w:rsid w:val="00747566"/>
    <w:rsid w:val="00750351"/>
    <w:rsid w:val="00753AD2"/>
    <w:rsid w:val="00753F7E"/>
    <w:rsid w:val="00755021"/>
    <w:rsid w:val="007564DA"/>
    <w:rsid w:val="00756BCF"/>
    <w:rsid w:val="007622BF"/>
    <w:rsid w:val="007638AF"/>
    <w:rsid w:val="0076732B"/>
    <w:rsid w:val="00767FDB"/>
    <w:rsid w:val="00770A8C"/>
    <w:rsid w:val="007712CF"/>
    <w:rsid w:val="007714BF"/>
    <w:rsid w:val="00771B14"/>
    <w:rsid w:val="0077282F"/>
    <w:rsid w:val="007728F2"/>
    <w:rsid w:val="00772C36"/>
    <w:rsid w:val="0077322A"/>
    <w:rsid w:val="007738EA"/>
    <w:rsid w:val="0077466E"/>
    <w:rsid w:val="0077500E"/>
    <w:rsid w:val="007756D4"/>
    <w:rsid w:val="007769CE"/>
    <w:rsid w:val="00776D6F"/>
    <w:rsid w:val="00776D7A"/>
    <w:rsid w:val="00781559"/>
    <w:rsid w:val="007816DB"/>
    <w:rsid w:val="0078203A"/>
    <w:rsid w:val="007827CA"/>
    <w:rsid w:val="00783EF6"/>
    <w:rsid w:val="00784BBF"/>
    <w:rsid w:val="0078632C"/>
    <w:rsid w:val="0078710C"/>
    <w:rsid w:val="00790C48"/>
    <w:rsid w:val="00790D7E"/>
    <w:rsid w:val="00791003"/>
    <w:rsid w:val="007913E2"/>
    <w:rsid w:val="00791969"/>
    <w:rsid w:val="00791A21"/>
    <w:rsid w:val="00793D24"/>
    <w:rsid w:val="00794197"/>
    <w:rsid w:val="00797418"/>
    <w:rsid w:val="007A0518"/>
    <w:rsid w:val="007A070B"/>
    <w:rsid w:val="007A1431"/>
    <w:rsid w:val="007A26EC"/>
    <w:rsid w:val="007A296E"/>
    <w:rsid w:val="007A2B3D"/>
    <w:rsid w:val="007A7567"/>
    <w:rsid w:val="007A796E"/>
    <w:rsid w:val="007B10EC"/>
    <w:rsid w:val="007B1804"/>
    <w:rsid w:val="007B1C90"/>
    <w:rsid w:val="007B46C5"/>
    <w:rsid w:val="007B7BFC"/>
    <w:rsid w:val="007C1AB7"/>
    <w:rsid w:val="007C1B5F"/>
    <w:rsid w:val="007C3ADE"/>
    <w:rsid w:val="007C585B"/>
    <w:rsid w:val="007C5D3D"/>
    <w:rsid w:val="007C64A2"/>
    <w:rsid w:val="007C6A13"/>
    <w:rsid w:val="007D06D4"/>
    <w:rsid w:val="007D4AA5"/>
    <w:rsid w:val="007D5D9F"/>
    <w:rsid w:val="007D5F40"/>
    <w:rsid w:val="007D6B64"/>
    <w:rsid w:val="007D6D8E"/>
    <w:rsid w:val="007D768A"/>
    <w:rsid w:val="007D7807"/>
    <w:rsid w:val="007D7953"/>
    <w:rsid w:val="007E0399"/>
    <w:rsid w:val="007E0678"/>
    <w:rsid w:val="007E06A2"/>
    <w:rsid w:val="007E206E"/>
    <w:rsid w:val="007E42F6"/>
    <w:rsid w:val="007E4963"/>
    <w:rsid w:val="007E4F96"/>
    <w:rsid w:val="007E5249"/>
    <w:rsid w:val="007E56B3"/>
    <w:rsid w:val="007E639D"/>
    <w:rsid w:val="007F04A7"/>
    <w:rsid w:val="007F2CAD"/>
    <w:rsid w:val="007F4AC3"/>
    <w:rsid w:val="007F6783"/>
    <w:rsid w:val="007F7DB3"/>
    <w:rsid w:val="00800669"/>
    <w:rsid w:val="00802112"/>
    <w:rsid w:val="008021E9"/>
    <w:rsid w:val="00802824"/>
    <w:rsid w:val="00802C7A"/>
    <w:rsid w:val="0080483E"/>
    <w:rsid w:val="00805C25"/>
    <w:rsid w:val="00805E4C"/>
    <w:rsid w:val="00807B7B"/>
    <w:rsid w:val="00810267"/>
    <w:rsid w:val="00812D1F"/>
    <w:rsid w:val="008143CE"/>
    <w:rsid w:val="00814553"/>
    <w:rsid w:val="00814838"/>
    <w:rsid w:val="00815033"/>
    <w:rsid w:val="00815085"/>
    <w:rsid w:val="008155C6"/>
    <w:rsid w:val="00816210"/>
    <w:rsid w:val="0081637C"/>
    <w:rsid w:val="00817009"/>
    <w:rsid w:val="008176B5"/>
    <w:rsid w:val="008176ED"/>
    <w:rsid w:val="008179B6"/>
    <w:rsid w:val="00817AFA"/>
    <w:rsid w:val="008210C2"/>
    <w:rsid w:val="00823114"/>
    <w:rsid w:val="00823387"/>
    <w:rsid w:val="008234A9"/>
    <w:rsid w:val="008258D8"/>
    <w:rsid w:val="00826660"/>
    <w:rsid w:val="00826885"/>
    <w:rsid w:val="008308D5"/>
    <w:rsid w:val="008319D5"/>
    <w:rsid w:val="0083314A"/>
    <w:rsid w:val="00833530"/>
    <w:rsid w:val="0083514C"/>
    <w:rsid w:val="0083607E"/>
    <w:rsid w:val="00836971"/>
    <w:rsid w:val="00837597"/>
    <w:rsid w:val="008438D0"/>
    <w:rsid w:val="00843B85"/>
    <w:rsid w:val="00843E46"/>
    <w:rsid w:val="00845756"/>
    <w:rsid w:val="008460A2"/>
    <w:rsid w:val="00846BB0"/>
    <w:rsid w:val="00847F14"/>
    <w:rsid w:val="0085050A"/>
    <w:rsid w:val="00850AB8"/>
    <w:rsid w:val="00852D5B"/>
    <w:rsid w:val="00854741"/>
    <w:rsid w:val="00856D6B"/>
    <w:rsid w:val="00856FB7"/>
    <w:rsid w:val="00857658"/>
    <w:rsid w:val="00857F0A"/>
    <w:rsid w:val="008604B1"/>
    <w:rsid w:val="008609E3"/>
    <w:rsid w:val="0086395E"/>
    <w:rsid w:val="00864674"/>
    <w:rsid w:val="00864A9F"/>
    <w:rsid w:val="00865C5B"/>
    <w:rsid w:val="00867749"/>
    <w:rsid w:val="00867ED0"/>
    <w:rsid w:val="008704FF"/>
    <w:rsid w:val="00870729"/>
    <w:rsid w:val="00870B78"/>
    <w:rsid w:val="008711B6"/>
    <w:rsid w:val="0087179B"/>
    <w:rsid w:val="00872AB0"/>
    <w:rsid w:val="00872FEC"/>
    <w:rsid w:val="0087372E"/>
    <w:rsid w:val="00873D1F"/>
    <w:rsid w:val="00875487"/>
    <w:rsid w:val="00877482"/>
    <w:rsid w:val="00877887"/>
    <w:rsid w:val="00880B6C"/>
    <w:rsid w:val="0088113C"/>
    <w:rsid w:val="00883D9C"/>
    <w:rsid w:val="00883F1A"/>
    <w:rsid w:val="00884371"/>
    <w:rsid w:val="0088543F"/>
    <w:rsid w:val="00887436"/>
    <w:rsid w:val="00887E9E"/>
    <w:rsid w:val="008907D7"/>
    <w:rsid w:val="00890CB1"/>
    <w:rsid w:val="00891164"/>
    <w:rsid w:val="008921E6"/>
    <w:rsid w:val="00892B67"/>
    <w:rsid w:val="008958A4"/>
    <w:rsid w:val="00896FB9"/>
    <w:rsid w:val="008A0987"/>
    <w:rsid w:val="008A0F82"/>
    <w:rsid w:val="008A23CA"/>
    <w:rsid w:val="008A2BB6"/>
    <w:rsid w:val="008A4CC6"/>
    <w:rsid w:val="008A682A"/>
    <w:rsid w:val="008A7894"/>
    <w:rsid w:val="008A78B2"/>
    <w:rsid w:val="008A7BAC"/>
    <w:rsid w:val="008B062C"/>
    <w:rsid w:val="008B5F8E"/>
    <w:rsid w:val="008B64D8"/>
    <w:rsid w:val="008C1020"/>
    <w:rsid w:val="008C121E"/>
    <w:rsid w:val="008C170E"/>
    <w:rsid w:val="008C4A9D"/>
    <w:rsid w:val="008C5A6D"/>
    <w:rsid w:val="008C64FB"/>
    <w:rsid w:val="008C6A90"/>
    <w:rsid w:val="008C6C9C"/>
    <w:rsid w:val="008C7855"/>
    <w:rsid w:val="008D07F2"/>
    <w:rsid w:val="008D0E04"/>
    <w:rsid w:val="008D192E"/>
    <w:rsid w:val="008D1CB6"/>
    <w:rsid w:val="008D285F"/>
    <w:rsid w:val="008D296D"/>
    <w:rsid w:val="008D2DBB"/>
    <w:rsid w:val="008D54B0"/>
    <w:rsid w:val="008D5A63"/>
    <w:rsid w:val="008D6830"/>
    <w:rsid w:val="008D6F20"/>
    <w:rsid w:val="008D75D2"/>
    <w:rsid w:val="008E27E4"/>
    <w:rsid w:val="008E5492"/>
    <w:rsid w:val="008E7430"/>
    <w:rsid w:val="008E766A"/>
    <w:rsid w:val="008F0A4B"/>
    <w:rsid w:val="008F0CC2"/>
    <w:rsid w:val="008F3616"/>
    <w:rsid w:val="008F3AC6"/>
    <w:rsid w:val="008F4C05"/>
    <w:rsid w:val="008F5859"/>
    <w:rsid w:val="008F60BB"/>
    <w:rsid w:val="008F62EF"/>
    <w:rsid w:val="008F7674"/>
    <w:rsid w:val="008F77D7"/>
    <w:rsid w:val="008F7C8E"/>
    <w:rsid w:val="00903EEC"/>
    <w:rsid w:val="00904FB4"/>
    <w:rsid w:val="0091171C"/>
    <w:rsid w:val="00913353"/>
    <w:rsid w:val="00913794"/>
    <w:rsid w:val="009158F5"/>
    <w:rsid w:val="0091619B"/>
    <w:rsid w:val="00916DDC"/>
    <w:rsid w:val="0091787D"/>
    <w:rsid w:val="00921FE9"/>
    <w:rsid w:val="009228D2"/>
    <w:rsid w:val="00923596"/>
    <w:rsid w:val="009243A0"/>
    <w:rsid w:val="00925E20"/>
    <w:rsid w:val="00926894"/>
    <w:rsid w:val="00926AD0"/>
    <w:rsid w:val="00926F10"/>
    <w:rsid w:val="00930965"/>
    <w:rsid w:val="00931D38"/>
    <w:rsid w:val="00932A63"/>
    <w:rsid w:val="009330A5"/>
    <w:rsid w:val="0093367C"/>
    <w:rsid w:val="009339CB"/>
    <w:rsid w:val="0093453B"/>
    <w:rsid w:val="00934882"/>
    <w:rsid w:val="0093498E"/>
    <w:rsid w:val="00936A72"/>
    <w:rsid w:val="00940A19"/>
    <w:rsid w:val="00942409"/>
    <w:rsid w:val="00942F29"/>
    <w:rsid w:val="00943279"/>
    <w:rsid w:val="0094351E"/>
    <w:rsid w:val="00943597"/>
    <w:rsid w:val="00943603"/>
    <w:rsid w:val="00944223"/>
    <w:rsid w:val="009445E5"/>
    <w:rsid w:val="009446BD"/>
    <w:rsid w:val="00944716"/>
    <w:rsid w:val="00944BB2"/>
    <w:rsid w:val="009453B8"/>
    <w:rsid w:val="00945F69"/>
    <w:rsid w:val="00946D7A"/>
    <w:rsid w:val="009508D9"/>
    <w:rsid w:val="00950A68"/>
    <w:rsid w:val="00950BEF"/>
    <w:rsid w:val="00951BDB"/>
    <w:rsid w:val="009525C2"/>
    <w:rsid w:val="0095409D"/>
    <w:rsid w:val="0095699B"/>
    <w:rsid w:val="00956EB1"/>
    <w:rsid w:val="00957B05"/>
    <w:rsid w:val="00957C24"/>
    <w:rsid w:val="00957C2F"/>
    <w:rsid w:val="00962930"/>
    <w:rsid w:val="00963A48"/>
    <w:rsid w:val="009645AC"/>
    <w:rsid w:val="00966832"/>
    <w:rsid w:val="00967BCB"/>
    <w:rsid w:val="00970DF7"/>
    <w:rsid w:val="00971E02"/>
    <w:rsid w:val="009748E9"/>
    <w:rsid w:val="009751BD"/>
    <w:rsid w:val="00975A73"/>
    <w:rsid w:val="00975D89"/>
    <w:rsid w:val="00976AA9"/>
    <w:rsid w:val="00976DA4"/>
    <w:rsid w:val="009806BE"/>
    <w:rsid w:val="0098184F"/>
    <w:rsid w:val="0098204B"/>
    <w:rsid w:val="00982132"/>
    <w:rsid w:val="0098380B"/>
    <w:rsid w:val="00983E46"/>
    <w:rsid w:val="00985B82"/>
    <w:rsid w:val="009874BA"/>
    <w:rsid w:val="00987B62"/>
    <w:rsid w:val="009902A0"/>
    <w:rsid w:val="00991F22"/>
    <w:rsid w:val="0099251C"/>
    <w:rsid w:val="00992750"/>
    <w:rsid w:val="009927D7"/>
    <w:rsid w:val="00994A16"/>
    <w:rsid w:val="00994AE1"/>
    <w:rsid w:val="0099527C"/>
    <w:rsid w:val="00995926"/>
    <w:rsid w:val="0099655F"/>
    <w:rsid w:val="00997117"/>
    <w:rsid w:val="009979A8"/>
    <w:rsid w:val="009A0449"/>
    <w:rsid w:val="009A115F"/>
    <w:rsid w:val="009A11DB"/>
    <w:rsid w:val="009A1A5F"/>
    <w:rsid w:val="009A1E98"/>
    <w:rsid w:val="009A51DA"/>
    <w:rsid w:val="009A56EA"/>
    <w:rsid w:val="009A5C65"/>
    <w:rsid w:val="009A6E6F"/>
    <w:rsid w:val="009A7EC6"/>
    <w:rsid w:val="009B07BD"/>
    <w:rsid w:val="009B12D4"/>
    <w:rsid w:val="009B144B"/>
    <w:rsid w:val="009B24AA"/>
    <w:rsid w:val="009B4B98"/>
    <w:rsid w:val="009B52C6"/>
    <w:rsid w:val="009B55E8"/>
    <w:rsid w:val="009B5C61"/>
    <w:rsid w:val="009B7E1E"/>
    <w:rsid w:val="009B7EC4"/>
    <w:rsid w:val="009C1C9F"/>
    <w:rsid w:val="009C34B6"/>
    <w:rsid w:val="009C584F"/>
    <w:rsid w:val="009C7660"/>
    <w:rsid w:val="009D0FA1"/>
    <w:rsid w:val="009D1124"/>
    <w:rsid w:val="009D1993"/>
    <w:rsid w:val="009D2642"/>
    <w:rsid w:val="009D2699"/>
    <w:rsid w:val="009D5983"/>
    <w:rsid w:val="009D5F8E"/>
    <w:rsid w:val="009D6653"/>
    <w:rsid w:val="009E0A24"/>
    <w:rsid w:val="009E1676"/>
    <w:rsid w:val="009E2EBB"/>
    <w:rsid w:val="009E424A"/>
    <w:rsid w:val="009E49A3"/>
    <w:rsid w:val="009E658A"/>
    <w:rsid w:val="009F0BB9"/>
    <w:rsid w:val="009F15A6"/>
    <w:rsid w:val="009F2B18"/>
    <w:rsid w:val="009F3341"/>
    <w:rsid w:val="009F38A8"/>
    <w:rsid w:val="009F4918"/>
    <w:rsid w:val="009F75AC"/>
    <w:rsid w:val="00A01278"/>
    <w:rsid w:val="00A03147"/>
    <w:rsid w:val="00A03E6B"/>
    <w:rsid w:val="00A044E7"/>
    <w:rsid w:val="00A05119"/>
    <w:rsid w:val="00A11D4F"/>
    <w:rsid w:val="00A1248A"/>
    <w:rsid w:val="00A12703"/>
    <w:rsid w:val="00A12775"/>
    <w:rsid w:val="00A12B30"/>
    <w:rsid w:val="00A13F2B"/>
    <w:rsid w:val="00A14A88"/>
    <w:rsid w:val="00A14AB6"/>
    <w:rsid w:val="00A14AFC"/>
    <w:rsid w:val="00A15C73"/>
    <w:rsid w:val="00A164BB"/>
    <w:rsid w:val="00A17872"/>
    <w:rsid w:val="00A20188"/>
    <w:rsid w:val="00A204D8"/>
    <w:rsid w:val="00A2056E"/>
    <w:rsid w:val="00A21D3C"/>
    <w:rsid w:val="00A239BF"/>
    <w:rsid w:val="00A2665A"/>
    <w:rsid w:val="00A26756"/>
    <w:rsid w:val="00A2683C"/>
    <w:rsid w:val="00A273D5"/>
    <w:rsid w:val="00A27DDF"/>
    <w:rsid w:val="00A314C2"/>
    <w:rsid w:val="00A31A20"/>
    <w:rsid w:val="00A32156"/>
    <w:rsid w:val="00A3267D"/>
    <w:rsid w:val="00A32AD4"/>
    <w:rsid w:val="00A33A62"/>
    <w:rsid w:val="00A34134"/>
    <w:rsid w:val="00A34702"/>
    <w:rsid w:val="00A36828"/>
    <w:rsid w:val="00A378EC"/>
    <w:rsid w:val="00A4026A"/>
    <w:rsid w:val="00A4060D"/>
    <w:rsid w:val="00A40A2C"/>
    <w:rsid w:val="00A41D1C"/>
    <w:rsid w:val="00A4248C"/>
    <w:rsid w:val="00A4302F"/>
    <w:rsid w:val="00A43F5C"/>
    <w:rsid w:val="00A442FB"/>
    <w:rsid w:val="00A4479E"/>
    <w:rsid w:val="00A44936"/>
    <w:rsid w:val="00A45452"/>
    <w:rsid w:val="00A46515"/>
    <w:rsid w:val="00A46C2C"/>
    <w:rsid w:val="00A47095"/>
    <w:rsid w:val="00A47A25"/>
    <w:rsid w:val="00A5036F"/>
    <w:rsid w:val="00A50371"/>
    <w:rsid w:val="00A50677"/>
    <w:rsid w:val="00A506F6"/>
    <w:rsid w:val="00A51757"/>
    <w:rsid w:val="00A5522C"/>
    <w:rsid w:val="00A55AA6"/>
    <w:rsid w:val="00A57941"/>
    <w:rsid w:val="00A633B2"/>
    <w:rsid w:val="00A63402"/>
    <w:rsid w:val="00A638FD"/>
    <w:rsid w:val="00A63DDB"/>
    <w:rsid w:val="00A63DE0"/>
    <w:rsid w:val="00A64023"/>
    <w:rsid w:val="00A64030"/>
    <w:rsid w:val="00A64BF2"/>
    <w:rsid w:val="00A65EF4"/>
    <w:rsid w:val="00A67657"/>
    <w:rsid w:val="00A67D3D"/>
    <w:rsid w:val="00A70100"/>
    <w:rsid w:val="00A707D5"/>
    <w:rsid w:val="00A714E9"/>
    <w:rsid w:val="00A719AA"/>
    <w:rsid w:val="00A7433B"/>
    <w:rsid w:val="00A76B43"/>
    <w:rsid w:val="00A80E60"/>
    <w:rsid w:val="00A83006"/>
    <w:rsid w:val="00A83948"/>
    <w:rsid w:val="00A845B9"/>
    <w:rsid w:val="00A854B8"/>
    <w:rsid w:val="00A85D8F"/>
    <w:rsid w:val="00A8619C"/>
    <w:rsid w:val="00A865C9"/>
    <w:rsid w:val="00A8662C"/>
    <w:rsid w:val="00A86966"/>
    <w:rsid w:val="00A87695"/>
    <w:rsid w:val="00A8785C"/>
    <w:rsid w:val="00A913F3"/>
    <w:rsid w:val="00A914B6"/>
    <w:rsid w:val="00A9189A"/>
    <w:rsid w:val="00A92FCA"/>
    <w:rsid w:val="00A93716"/>
    <w:rsid w:val="00A9474D"/>
    <w:rsid w:val="00A96B5D"/>
    <w:rsid w:val="00AA0CDA"/>
    <w:rsid w:val="00AA37CF"/>
    <w:rsid w:val="00AA7C39"/>
    <w:rsid w:val="00AB0544"/>
    <w:rsid w:val="00AB31B4"/>
    <w:rsid w:val="00AB41E4"/>
    <w:rsid w:val="00AB63DE"/>
    <w:rsid w:val="00AB77A0"/>
    <w:rsid w:val="00AC153F"/>
    <w:rsid w:val="00AC1FAA"/>
    <w:rsid w:val="00AC2240"/>
    <w:rsid w:val="00AC391F"/>
    <w:rsid w:val="00AC3C88"/>
    <w:rsid w:val="00AC46E6"/>
    <w:rsid w:val="00AC63E9"/>
    <w:rsid w:val="00AC6957"/>
    <w:rsid w:val="00AC6B8A"/>
    <w:rsid w:val="00AC7764"/>
    <w:rsid w:val="00AC7987"/>
    <w:rsid w:val="00AC7F10"/>
    <w:rsid w:val="00AD2430"/>
    <w:rsid w:val="00AD2E64"/>
    <w:rsid w:val="00AD3250"/>
    <w:rsid w:val="00AD33B6"/>
    <w:rsid w:val="00AD3B36"/>
    <w:rsid w:val="00AD49DC"/>
    <w:rsid w:val="00AD5369"/>
    <w:rsid w:val="00AD53F8"/>
    <w:rsid w:val="00AD6D57"/>
    <w:rsid w:val="00AD7D83"/>
    <w:rsid w:val="00AE3E31"/>
    <w:rsid w:val="00AE4031"/>
    <w:rsid w:val="00AE4EE6"/>
    <w:rsid w:val="00AE5951"/>
    <w:rsid w:val="00AE6CE4"/>
    <w:rsid w:val="00AE7858"/>
    <w:rsid w:val="00AE7AA8"/>
    <w:rsid w:val="00AF28FE"/>
    <w:rsid w:val="00AF3068"/>
    <w:rsid w:val="00AF3BF6"/>
    <w:rsid w:val="00AF4F9B"/>
    <w:rsid w:val="00AF5B67"/>
    <w:rsid w:val="00AF645C"/>
    <w:rsid w:val="00AF7CE1"/>
    <w:rsid w:val="00B00AE9"/>
    <w:rsid w:val="00B015AC"/>
    <w:rsid w:val="00B0177F"/>
    <w:rsid w:val="00B03131"/>
    <w:rsid w:val="00B03B2B"/>
    <w:rsid w:val="00B04F0D"/>
    <w:rsid w:val="00B0767B"/>
    <w:rsid w:val="00B07DD1"/>
    <w:rsid w:val="00B120FD"/>
    <w:rsid w:val="00B122BB"/>
    <w:rsid w:val="00B12EE4"/>
    <w:rsid w:val="00B130B5"/>
    <w:rsid w:val="00B14BE4"/>
    <w:rsid w:val="00B17A6F"/>
    <w:rsid w:val="00B17CBD"/>
    <w:rsid w:val="00B204F3"/>
    <w:rsid w:val="00B20546"/>
    <w:rsid w:val="00B20F3E"/>
    <w:rsid w:val="00B21DF8"/>
    <w:rsid w:val="00B2211C"/>
    <w:rsid w:val="00B23CD2"/>
    <w:rsid w:val="00B256DB"/>
    <w:rsid w:val="00B26067"/>
    <w:rsid w:val="00B27457"/>
    <w:rsid w:val="00B30F5A"/>
    <w:rsid w:val="00B31FAE"/>
    <w:rsid w:val="00B32B2E"/>
    <w:rsid w:val="00B345F3"/>
    <w:rsid w:val="00B347A3"/>
    <w:rsid w:val="00B35973"/>
    <w:rsid w:val="00B35FAF"/>
    <w:rsid w:val="00B369BE"/>
    <w:rsid w:val="00B37EED"/>
    <w:rsid w:val="00B40988"/>
    <w:rsid w:val="00B40AEC"/>
    <w:rsid w:val="00B41404"/>
    <w:rsid w:val="00B41E03"/>
    <w:rsid w:val="00B42BE4"/>
    <w:rsid w:val="00B44167"/>
    <w:rsid w:val="00B44FF8"/>
    <w:rsid w:val="00B47914"/>
    <w:rsid w:val="00B51984"/>
    <w:rsid w:val="00B53E37"/>
    <w:rsid w:val="00B5462E"/>
    <w:rsid w:val="00B54739"/>
    <w:rsid w:val="00B564D1"/>
    <w:rsid w:val="00B5723D"/>
    <w:rsid w:val="00B60227"/>
    <w:rsid w:val="00B606F9"/>
    <w:rsid w:val="00B61668"/>
    <w:rsid w:val="00B61C46"/>
    <w:rsid w:val="00B6321D"/>
    <w:rsid w:val="00B642D2"/>
    <w:rsid w:val="00B64C13"/>
    <w:rsid w:val="00B657D7"/>
    <w:rsid w:val="00B65A45"/>
    <w:rsid w:val="00B6641C"/>
    <w:rsid w:val="00B7083F"/>
    <w:rsid w:val="00B7114C"/>
    <w:rsid w:val="00B715E3"/>
    <w:rsid w:val="00B71A0A"/>
    <w:rsid w:val="00B71E65"/>
    <w:rsid w:val="00B73AAE"/>
    <w:rsid w:val="00B7421B"/>
    <w:rsid w:val="00B7570C"/>
    <w:rsid w:val="00B75952"/>
    <w:rsid w:val="00B75D70"/>
    <w:rsid w:val="00B76918"/>
    <w:rsid w:val="00B81575"/>
    <w:rsid w:val="00B828F5"/>
    <w:rsid w:val="00B82965"/>
    <w:rsid w:val="00B82C73"/>
    <w:rsid w:val="00B82C7A"/>
    <w:rsid w:val="00B84AA2"/>
    <w:rsid w:val="00B8560D"/>
    <w:rsid w:val="00B85735"/>
    <w:rsid w:val="00B93C42"/>
    <w:rsid w:val="00B93C95"/>
    <w:rsid w:val="00B94D09"/>
    <w:rsid w:val="00B94E53"/>
    <w:rsid w:val="00B94EF9"/>
    <w:rsid w:val="00B94F5B"/>
    <w:rsid w:val="00B952F7"/>
    <w:rsid w:val="00B95913"/>
    <w:rsid w:val="00B96F51"/>
    <w:rsid w:val="00BA1081"/>
    <w:rsid w:val="00BA1F80"/>
    <w:rsid w:val="00BA3ACF"/>
    <w:rsid w:val="00BA4424"/>
    <w:rsid w:val="00BA5601"/>
    <w:rsid w:val="00BA655D"/>
    <w:rsid w:val="00BA6751"/>
    <w:rsid w:val="00BA687E"/>
    <w:rsid w:val="00BA7458"/>
    <w:rsid w:val="00BB1447"/>
    <w:rsid w:val="00BB182D"/>
    <w:rsid w:val="00BB2102"/>
    <w:rsid w:val="00BB3414"/>
    <w:rsid w:val="00BB54D1"/>
    <w:rsid w:val="00BB59A0"/>
    <w:rsid w:val="00BB6545"/>
    <w:rsid w:val="00BB6BC7"/>
    <w:rsid w:val="00BC4E14"/>
    <w:rsid w:val="00BC70D0"/>
    <w:rsid w:val="00BC7DB6"/>
    <w:rsid w:val="00BD249E"/>
    <w:rsid w:val="00BD2EC8"/>
    <w:rsid w:val="00BD304B"/>
    <w:rsid w:val="00BD473D"/>
    <w:rsid w:val="00BD4DC8"/>
    <w:rsid w:val="00BD619B"/>
    <w:rsid w:val="00BD6907"/>
    <w:rsid w:val="00BD69C4"/>
    <w:rsid w:val="00BE06BD"/>
    <w:rsid w:val="00BE234A"/>
    <w:rsid w:val="00BE27E7"/>
    <w:rsid w:val="00BE2B13"/>
    <w:rsid w:val="00BE2F28"/>
    <w:rsid w:val="00BE5F50"/>
    <w:rsid w:val="00BE6951"/>
    <w:rsid w:val="00BF327A"/>
    <w:rsid w:val="00BF4141"/>
    <w:rsid w:val="00BF6D05"/>
    <w:rsid w:val="00BF70B0"/>
    <w:rsid w:val="00BF7A8B"/>
    <w:rsid w:val="00C000DC"/>
    <w:rsid w:val="00C006C1"/>
    <w:rsid w:val="00C00C06"/>
    <w:rsid w:val="00C01262"/>
    <w:rsid w:val="00C02E0B"/>
    <w:rsid w:val="00C047B4"/>
    <w:rsid w:val="00C056AD"/>
    <w:rsid w:val="00C0659B"/>
    <w:rsid w:val="00C068B4"/>
    <w:rsid w:val="00C07758"/>
    <w:rsid w:val="00C11ABA"/>
    <w:rsid w:val="00C131DE"/>
    <w:rsid w:val="00C13F6F"/>
    <w:rsid w:val="00C14940"/>
    <w:rsid w:val="00C155DA"/>
    <w:rsid w:val="00C15680"/>
    <w:rsid w:val="00C158EC"/>
    <w:rsid w:val="00C1736A"/>
    <w:rsid w:val="00C17639"/>
    <w:rsid w:val="00C17CD5"/>
    <w:rsid w:val="00C203F4"/>
    <w:rsid w:val="00C204C4"/>
    <w:rsid w:val="00C20A17"/>
    <w:rsid w:val="00C21C36"/>
    <w:rsid w:val="00C22BCC"/>
    <w:rsid w:val="00C2328A"/>
    <w:rsid w:val="00C24390"/>
    <w:rsid w:val="00C2447B"/>
    <w:rsid w:val="00C25865"/>
    <w:rsid w:val="00C2596E"/>
    <w:rsid w:val="00C261C7"/>
    <w:rsid w:val="00C2633E"/>
    <w:rsid w:val="00C275DF"/>
    <w:rsid w:val="00C316F3"/>
    <w:rsid w:val="00C32262"/>
    <w:rsid w:val="00C327C0"/>
    <w:rsid w:val="00C32CC3"/>
    <w:rsid w:val="00C341CA"/>
    <w:rsid w:val="00C34E6F"/>
    <w:rsid w:val="00C35A55"/>
    <w:rsid w:val="00C376D9"/>
    <w:rsid w:val="00C40437"/>
    <w:rsid w:val="00C42FDC"/>
    <w:rsid w:val="00C46696"/>
    <w:rsid w:val="00C4673C"/>
    <w:rsid w:val="00C472FC"/>
    <w:rsid w:val="00C503E4"/>
    <w:rsid w:val="00C50AD1"/>
    <w:rsid w:val="00C512A7"/>
    <w:rsid w:val="00C52A55"/>
    <w:rsid w:val="00C5413A"/>
    <w:rsid w:val="00C55FDB"/>
    <w:rsid w:val="00C56BDA"/>
    <w:rsid w:val="00C6287F"/>
    <w:rsid w:val="00C637D5"/>
    <w:rsid w:val="00C64075"/>
    <w:rsid w:val="00C6417A"/>
    <w:rsid w:val="00C652D8"/>
    <w:rsid w:val="00C65B2B"/>
    <w:rsid w:val="00C66722"/>
    <w:rsid w:val="00C670FA"/>
    <w:rsid w:val="00C674FF"/>
    <w:rsid w:val="00C70294"/>
    <w:rsid w:val="00C70640"/>
    <w:rsid w:val="00C706F9"/>
    <w:rsid w:val="00C7233C"/>
    <w:rsid w:val="00C7379C"/>
    <w:rsid w:val="00C7384C"/>
    <w:rsid w:val="00C74808"/>
    <w:rsid w:val="00C7502C"/>
    <w:rsid w:val="00C760A3"/>
    <w:rsid w:val="00C76E49"/>
    <w:rsid w:val="00C77468"/>
    <w:rsid w:val="00C80256"/>
    <w:rsid w:val="00C80614"/>
    <w:rsid w:val="00C811AB"/>
    <w:rsid w:val="00C832A1"/>
    <w:rsid w:val="00C84DE3"/>
    <w:rsid w:val="00C85B49"/>
    <w:rsid w:val="00C87E0A"/>
    <w:rsid w:val="00C900F2"/>
    <w:rsid w:val="00C92098"/>
    <w:rsid w:val="00C951FC"/>
    <w:rsid w:val="00C95416"/>
    <w:rsid w:val="00C96DA3"/>
    <w:rsid w:val="00C9783B"/>
    <w:rsid w:val="00CA0AD3"/>
    <w:rsid w:val="00CA125D"/>
    <w:rsid w:val="00CA4236"/>
    <w:rsid w:val="00CA42ED"/>
    <w:rsid w:val="00CA45E7"/>
    <w:rsid w:val="00CA4AEB"/>
    <w:rsid w:val="00CA5182"/>
    <w:rsid w:val="00CB0DE7"/>
    <w:rsid w:val="00CB1B79"/>
    <w:rsid w:val="00CB1CDC"/>
    <w:rsid w:val="00CB3340"/>
    <w:rsid w:val="00CB615D"/>
    <w:rsid w:val="00CB77C9"/>
    <w:rsid w:val="00CB7D46"/>
    <w:rsid w:val="00CB7F97"/>
    <w:rsid w:val="00CC3706"/>
    <w:rsid w:val="00CC3770"/>
    <w:rsid w:val="00CC3A61"/>
    <w:rsid w:val="00CC3C6D"/>
    <w:rsid w:val="00CC3FC1"/>
    <w:rsid w:val="00CC4E53"/>
    <w:rsid w:val="00CC52FB"/>
    <w:rsid w:val="00CC6A73"/>
    <w:rsid w:val="00CC752D"/>
    <w:rsid w:val="00CD20F3"/>
    <w:rsid w:val="00CD39D5"/>
    <w:rsid w:val="00CD48C7"/>
    <w:rsid w:val="00CD6090"/>
    <w:rsid w:val="00CD7720"/>
    <w:rsid w:val="00CD7909"/>
    <w:rsid w:val="00CD7BBB"/>
    <w:rsid w:val="00CD7FF4"/>
    <w:rsid w:val="00CE19BC"/>
    <w:rsid w:val="00CE298F"/>
    <w:rsid w:val="00CE466C"/>
    <w:rsid w:val="00CE47AD"/>
    <w:rsid w:val="00CE4FEF"/>
    <w:rsid w:val="00CF0857"/>
    <w:rsid w:val="00CF1338"/>
    <w:rsid w:val="00CF181F"/>
    <w:rsid w:val="00CF4497"/>
    <w:rsid w:val="00CF61E1"/>
    <w:rsid w:val="00CF61FE"/>
    <w:rsid w:val="00CF7014"/>
    <w:rsid w:val="00CF7CF7"/>
    <w:rsid w:val="00D00DE5"/>
    <w:rsid w:val="00D0136C"/>
    <w:rsid w:val="00D075B9"/>
    <w:rsid w:val="00D07E1A"/>
    <w:rsid w:val="00D111AA"/>
    <w:rsid w:val="00D118BE"/>
    <w:rsid w:val="00D11C57"/>
    <w:rsid w:val="00D12A5A"/>
    <w:rsid w:val="00D12AEF"/>
    <w:rsid w:val="00D135D0"/>
    <w:rsid w:val="00D13D92"/>
    <w:rsid w:val="00D13F3A"/>
    <w:rsid w:val="00D15F91"/>
    <w:rsid w:val="00D165BC"/>
    <w:rsid w:val="00D17A00"/>
    <w:rsid w:val="00D17DEE"/>
    <w:rsid w:val="00D2034A"/>
    <w:rsid w:val="00D20498"/>
    <w:rsid w:val="00D20861"/>
    <w:rsid w:val="00D20D74"/>
    <w:rsid w:val="00D2194A"/>
    <w:rsid w:val="00D22301"/>
    <w:rsid w:val="00D263F0"/>
    <w:rsid w:val="00D2755A"/>
    <w:rsid w:val="00D30663"/>
    <w:rsid w:val="00D30DE0"/>
    <w:rsid w:val="00D32EB9"/>
    <w:rsid w:val="00D33A47"/>
    <w:rsid w:val="00D409AB"/>
    <w:rsid w:val="00D41322"/>
    <w:rsid w:val="00D41E53"/>
    <w:rsid w:val="00D43531"/>
    <w:rsid w:val="00D43A36"/>
    <w:rsid w:val="00D444DC"/>
    <w:rsid w:val="00D45368"/>
    <w:rsid w:val="00D45AD5"/>
    <w:rsid w:val="00D45C5C"/>
    <w:rsid w:val="00D466AB"/>
    <w:rsid w:val="00D47604"/>
    <w:rsid w:val="00D50F96"/>
    <w:rsid w:val="00D515B4"/>
    <w:rsid w:val="00D5297A"/>
    <w:rsid w:val="00D52B63"/>
    <w:rsid w:val="00D5360D"/>
    <w:rsid w:val="00D53D39"/>
    <w:rsid w:val="00D54F16"/>
    <w:rsid w:val="00D55B8C"/>
    <w:rsid w:val="00D55F26"/>
    <w:rsid w:val="00D56FA2"/>
    <w:rsid w:val="00D573E2"/>
    <w:rsid w:val="00D579C9"/>
    <w:rsid w:val="00D57DCB"/>
    <w:rsid w:val="00D6054E"/>
    <w:rsid w:val="00D613B2"/>
    <w:rsid w:val="00D61E8C"/>
    <w:rsid w:val="00D62CDA"/>
    <w:rsid w:val="00D64D76"/>
    <w:rsid w:val="00D65108"/>
    <w:rsid w:val="00D653AE"/>
    <w:rsid w:val="00D65D4B"/>
    <w:rsid w:val="00D718F5"/>
    <w:rsid w:val="00D71F7D"/>
    <w:rsid w:val="00D72263"/>
    <w:rsid w:val="00D72C17"/>
    <w:rsid w:val="00D74BFB"/>
    <w:rsid w:val="00D7504B"/>
    <w:rsid w:val="00D7544D"/>
    <w:rsid w:val="00D80C79"/>
    <w:rsid w:val="00D81009"/>
    <w:rsid w:val="00D82BB0"/>
    <w:rsid w:val="00D83EDA"/>
    <w:rsid w:val="00D86D32"/>
    <w:rsid w:val="00D90D52"/>
    <w:rsid w:val="00D913F7"/>
    <w:rsid w:val="00D919DF"/>
    <w:rsid w:val="00D91A66"/>
    <w:rsid w:val="00D92521"/>
    <w:rsid w:val="00D9446B"/>
    <w:rsid w:val="00DA1A3D"/>
    <w:rsid w:val="00DA1AAE"/>
    <w:rsid w:val="00DA217D"/>
    <w:rsid w:val="00DA2965"/>
    <w:rsid w:val="00DA625E"/>
    <w:rsid w:val="00DA759C"/>
    <w:rsid w:val="00DB275C"/>
    <w:rsid w:val="00DB28F9"/>
    <w:rsid w:val="00DB2F7D"/>
    <w:rsid w:val="00DB3CFB"/>
    <w:rsid w:val="00DB4A01"/>
    <w:rsid w:val="00DB4DBF"/>
    <w:rsid w:val="00DB58B1"/>
    <w:rsid w:val="00DB6164"/>
    <w:rsid w:val="00DB686C"/>
    <w:rsid w:val="00DB7A7F"/>
    <w:rsid w:val="00DC0F93"/>
    <w:rsid w:val="00DC20FA"/>
    <w:rsid w:val="00DC418E"/>
    <w:rsid w:val="00DC5122"/>
    <w:rsid w:val="00DC52CB"/>
    <w:rsid w:val="00DC5610"/>
    <w:rsid w:val="00DC7442"/>
    <w:rsid w:val="00DD0522"/>
    <w:rsid w:val="00DD201D"/>
    <w:rsid w:val="00DD2423"/>
    <w:rsid w:val="00DD2500"/>
    <w:rsid w:val="00DD5441"/>
    <w:rsid w:val="00DD58CD"/>
    <w:rsid w:val="00DD6833"/>
    <w:rsid w:val="00DE0012"/>
    <w:rsid w:val="00DE06D0"/>
    <w:rsid w:val="00DE0DC9"/>
    <w:rsid w:val="00DE145D"/>
    <w:rsid w:val="00DE1500"/>
    <w:rsid w:val="00DE3A61"/>
    <w:rsid w:val="00DE44C9"/>
    <w:rsid w:val="00DE485F"/>
    <w:rsid w:val="00DE5A58"/>
    <w:rsid w:val="00DE6610"/>
    <w:rsid w:val="00DE72DC"/>
    <w:rsid w:val="00DE79CD"/>
    <w:rsid w:val="00DF0460"/>
    <w:rsid w:val="00DF1615"/>
    <w:rsid w:val="00DF3B4F"/>
    <w:rsid w:val="00DF4EE3"/>
    <w:rsid w:val="00DF5A36"/>
    <w:rsid w:val="00DF5EC4"/>
    <w:rsid w:val="00E004ED"/>
    <w:rsid w:val="00E00839"/>
    <w:rsid w:val="00E00DC9"/>
    <w:rsid w:val="00E00F49"/>
    <w:rsid w:val="00E01620"/>
    <w:rsid w:val="00E01A70"/>
    <w:rsid w:val="00E0204D"/>
    <w:rsid w:val="00E02B48"/>
    <w:rsid w:val="00E0300F"/>
    <w:rsid w:val="00E03DDC"/>
    <w:rsid w:val="00E0489E"/>
    <w:rsid w:val="00E052DE"/>
    <w:rsid w:val="00E05367"/>
    <w:rsid w:val="00E06750"/>
    <w:rsid w:val="00E10647"/>
    <w:rsid w:val="00E10E07"/>
    <w:rsid w:val="00E1210D"/>
    <w:rsid w:val="00E1221C"/>
    <w:rsid w:val="00E13A4B"/>
    <w:rsid w:val="00E1416F"/>
    <w:rsid w:val="00E14D1C"/>
    <w:rsid w:val="00E14FAF"/>
    <w:rsid w:val="00E1502D"/>
    <w:rsid w:val="00E161D3"/>
    <w:rsid w:val="00E16CDB"/>
    <w:rsid w:val="00E21680"/>
    <w:rsid w:val="00E22B3E"/>
    <w:rsid w:val="00E22BDD"/>
    <w:rsid w:val="00E27477"/>
    <w:rsid w:val="00E27C3C"/>
    <w:rsid w:val="00E30982"/>
    <w:rsid w:val="00E31741"/>
    <w:rsid w:val="00E31DDC"/>
    <w:rsid w:val="00E320E8"/>
    <w:rsid w:val="00E33BC9"/>
    <w:rsid w:val="00E340B7"/>
    <w:rsid w:val="00E366DA"/>
    <w:rsid w:val="00E40855"/>
    <w:rsid w:val="00E4101F"/>
    <w:rsid w:val="00E430F3"/>
    <w:rsid w:val="00E44C3D"/>
    <w:rsid w:val="00E4543D"/>
    <w:rsid w:val="00E4581F"/>
    <w:rsid w:val="00E512FF"/>
    <w:rsid w:val="00E51D40"/>
    <w:rsid w:val="00E52D2E"/>
    <w:rsid w:val="00E537D7"/>
    <w:rsid w:val="00E542A1"/>
    <w:rsid w:val="00E555C2"/>
    <w:rsid w:val="00E560E3"/>
    <w:rsid w:val="00E600DA"/>
    <w:rsid w:val="00E60292"/>
    <w:rsid w:val="00E61466"/>
    <w:rsid w:val="00E61DD2"/>
    <w:rsid w:val="00E62A92"/>
    <w:rsid w:val="00E63306"/>
    <w:rsid w:val="00E639EB"/>
    <w:rsid w:val="00E646F3"/>
    <w:rsid w:val="00E64A4F"/>
    <w:rsid w:val="00E64B20"/>
    <w:rsid w:val="00E6565B"/>
    <w:rsid w:val="00E67B1E"/>
    <w:rsid w:val="00E7037C"/>
    <w:rsid w:val="00E72280"/>
    <w:rsid w:val="00E728C1"/>
    <w:rsid w:val="00E73400"/>
    <w:rsid w:val="00E75582"/>
    <w:rsid w:val="00E76934"/>
    <w:rsid w:val="00E77626"/>
    <w:rsid w:val="00E81CFD"/>
    <w:rsid w:val="00E827D3"/>
    <w:rsid w:val="00E83971"/>
    <w:rsid w:val="00E865F8"/>
    <w:rsid w:val="00E870F0"/>
    <w:rsid w:val="00E9033F"/>
    <w:rsid w:val="00E909D9"/>
    <w:rsid w:val="00E92042"/>
    <w:rsid w:val="00E93733"/>
    <w:rsid w:val="00E9379F"/>
    <w:rsid w:val="00E94693"/>
    <w:rsid w:val="00E94918"/>
    <w:rsid w:val="00E96447"/>
    <w:rsid w:val="00E970F6"/>
    <w:rsid w:val="00E97262"/>
    <w:rsid w:val="00E975BE"/>
    <w:rsid w:val="00EA0078"/>
    <w:rsid w:val="00EA0EDC"/>
    <w:rsid w:val="00EA0F49"/>
    <w:rsid w:val="00EA2EF0"/>
    <w:rsid w:val="00EA401C"/>
    <w:rsid w:val="00EA47FB"/>
    <w:rsid w:val="00EA55CE"/>
    <w:rsid w:val="00EA67A1"/>
    <w:rsid w:val="00EA6ED9"/>
    <w:rsid w:val="00EB0528"/>
    <w:rsid w:val="00EB09E2"/>
    <w:rsid w:val="00EB11C7"/>
    <w:rsid w:val="00EB1715"/>
    <w:rsid w:val="00EB1B1A"/>
    <w:rsid w:val="00EB1E80"/>
    <w:rsid w:val="00EB1F1B"/>
    <w:rsid w:val="00EB29F2"/>
    <w:rsid w:val="00EB42FE"/>
    <w:rsid w:val="00EB4FB6"/>
    <w:rsid w:val="00EB6C20"/>
    <w:rsid w:val="00EB7113"/>
    <w:rsid w:val="00EB7149"/>
    <w:rsid w:val="00EB7ED6"/>
    <w:rsid w:val="00EC061E"/>
    <w:rsid w:val="00EC206F"/>
    <w:rsid w:val="00EC2FBA"/>
    <w:rsid w:val="00ED08CB"/>
    <w:rsid w:val="00ED102A"/>
    <w:rsid w:val="00ED204B"/>
    <w:rsid w:val="00ED25B7"/>
    <w:rsid w:val="00ED2BFC"/>
    <w:rsid w:val="00ED355A"/>
    <w:rsid w:val="00ED3EE4"/>
    <w:rsid w:val="00ED4B67"/>
    <w:rsid w:val="00ED5504"/>
    <w:rsid w:val="00ED5982"/>
    <w:rsid w:val="00EE0679"/>
    <w:rsid w:val="00EE0F29"/>
    <w:rsid w:val="00EE2A0F"/>
    <w:rsid w:val="00EE5B84"/>
    <w:rsid w:val="00EE616C"/>
    <w:rsid w:val="00EE69A4"/>
    <w:rsid w:val="00EE6E1D"/>
    <w:rsid w:val="00EF06CD"/>
    <w:rsid w:val="00EF0F4A"/>
    <w:rsid w:val="00EF3963"/>
    <w:rsid w:val="00EF4313"/>
    <w:rsid w:val="00EF577A"/>
    <w:rsid w:val="00EF577D"/>
    <w:rsid w:val="00EF62EE"/>
    <w:rsid w:val="00EF6B8A"/>
    <w:rsid w:val="00F00644"/>
    <w:rsid w:val="00F03EC9"/>
    <w:rsid w:val="00F04D17"/>
    <w:rsid w:val="00F04DAF"/>
    <w:rsid w:val="00F07F93"/>
    <w:rsid w:val="00F108FD"/>
    <w:rsid w:val="00F10B47"/>
    <w:rsid w:val="00F11354"/>
    <w:rsid w:val="00F120E9"/>
    <w:rsid w:val="00F12609"/>
    <w:rsid w:val="00F1421C"/>
    <w:rsid w:val="00F15926"/>
    <w:rsid w:val="00F16011"/>
    <w:rsid w:val="00F16503"/>
    <w:rsid w:val="00F20BC9"/>
    <w:rsid w:val="00F20DBD"/>
    <w:rsid w:val="00F22280"/>
    <w:rsid w:val="00F23866"/>
    <w:rsid w:val="00F25D9B"/>
    <w:rsid w:val="00F26583"/>
    <w:rsid w:val="00F30274"/>
    <w:rsid w:val="00F3263E"/>
    <w:rsid w:val="00F3289F"/>
    <w:rsid w:val="00F331B5"/>
    <w:rsid w:val="00F33946"/>
    <w:rsid w:val="00F33A09"/>
    <w:rsid w:val="00F366FF"/>
    <w:rsid w:val="00F3683E"/>
    <w:rsid w:val="00F36909"/>
    <w:rsid w:val="00F36BFB"/>
    <w:rsid w:val="00F378CD"/>
    <w:rsid w:val="00F37E50"/>
    <w:rsid w:val="00F403FB"/>
    <w:rsid w:val="00F41E5C"/>
    <w:rsid w:val="00F42041"/>
    <w:rsid w:val="00F42935"/>
    <w:rsid w:val="00F430AF"/>
    <w:rsid w:val="00F45BA2"/>
    <w:rsid w:val="00F45E2F"/>
    <w:rsid w:val="00F46C1A"/>
    <w:rsid w:val="00F477DC"/>
    <w:rsid w:val="00F51100"/>
    <w:rsid w:val="00F51C63"/>
    <w:rsid w:val="00F52C17"/>
    <w:rsid w:val="00F531B8"/>
    <w:rsid w:val="00F53E30"/>
    <w:rsid w:val="00F54F6B"/>
    <w:rsid w:val="00F55195"/>
    <w:rsid w:val="00F55CBF"/>
    <w:rsid w:val="00F56350"/>
    <w:rsid w:val="00F60A19"/>
    <w:rsid w:val="00F62372"/>
    <w:rsid w:val="00F62886"/>
    <w:rsid w:val="00F641A9"/>
    <w:rsid w:val="00F645C9"/>
    <w:rsid w:val="00F65569"/>
    <w:rsid w:val="00F66C84"/>
    <w:rsid w:val="00F673C1"/>
    <w:rsid w:val="00F6741F"/>
    <w:rsid w:val="00F67CB8"/>
    <w:rsid w:val="00F706F6"/>
    <w:rsid w:val="00F7095C"/>
    <w:rsid w:val="00F72DF4"/>
    <w:rsid w:val="00F735FD"/>
    <w:rsid w:val="00F73CD6"/>
    <w:rsid w:val="00F75667"/>
    <w:rsid w:val="00F76AFB"/>
    <w:rsid w:val="00F77404"/>
    <w:rsid w:val="00F779EC"/>
    <w:rsid w:val="00F8031D"/>
    <w:rsid w:val="00F80805"/>
    <w:rsid w:val="00F81E5E"/>
    <w:rsid w:val="00F82700"/>
    <w:rsid w:val="00F83330"/>
    <w:rsid w:val="00F83A56"/>
    <w:rsid w:val="00F84588"/>
    <w:rsid w:val="00F84602"/>
    <w:rsid w:val="00F849F8"/>
    <w:rsid w:val="00F84DE5"/>
    <w:rsid w:val="00F856FF"/>
    <w:rsid w:val="00F869E5"/>
    <w:rsid w:val="00F86FFE"/>
    <w:rsid w:val="00F90228"/>
    <w:rsid w:val="00F926D2"/>
    <w:rsid w:val="00F92B9C"/>
    <w:rsid w:val="00F93390"/>
    <w:rsid w:val="00F93C23"/>
    <w:rsid w:val="00F9466C"/>
    <w:rsid w:val="00F94832"/>
    <w:rsid w:val="00F94A87"/>
    <w:rsid w:val="00F954BC"/>
    <w:rsid w:val="00FA085B"/>
    <w:rsid w:val="00FA3D96"/>
    <w:rsid w:val="00FA3ED1"/>
    <w:rsid w:val="00FA62D5"/>
    <w:rsid w:val="00FA677E"/>
    <w:rsid w:val="00FB069C"/>
    <w:rsid w:val="00FB1794"/>
    <w:rsid w:val="00FB2E79"/>
    <w:rsid w:val="00FB53D6"/>
    <w:rsid w:val="00FB6388"/>
    <w:rsid w:val="00FB6576"/>
    <w:rsid w:val="00FB6AA9"/>
    <w:rsid w:val="00FB744C"/>
    <w:rsid w:val="00FC3985"/>
    <w:rsid w:val="00FC4B83"/>
    <w:rsid w:val="00FC548B"/>
    <w:rsid w:val="00FC62EF"/>
    <w:rsid w:val="00FD0BC0"/>
    <w:rsid w:val="00FD0FBE"/>
    <w:rsid w:val="00FD2B06"/>
    <w:rsid w:val="00FD4CDD"/>
    <w:rsid w:val="00FD502E"/>
    <w:rsid w:val="00FD56E0"/>
    <w:rsid w:val="00FD6187"/>
    <w:rsid w:val="00FE04FD"/>
    <w:rsid w:val="00FE1869"/>
    <w:rsid w:val="00FE2FC0"/>
    <w:rsid w:val="00FE5EE9"/>
    <w:rsid w:val="00FE79DC"/>
    <w:rsid w:val="00FF0CFD"/>
    <w:rsid w:val="00FF102A"/>
    <w:rsid w:val="00FF3249"/>
    <w:rsid w:val="00FF32EE"/>
    <w:rsid w:val="00FF419B"/>
    <w:rsid w:val="00FF47A2"/>
    <w:rsid w:val="00FF6CFD"/>
    <w:rsid w:val="00FF7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61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0A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2E3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70B7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1CFD"/>
    <w:pPr>
      <w:tabs>
        <w:tab w:val="center" w:pos="4320"/>
        <w:tab w:val="right" w:pos="8640"/>
      </w:tabs>
    </w:pPr>
  </w:style>
  <w:style w:type="character" w:customStyle="1" w:styleId="HeaderChar">
    <w:name w:val="Header Char"/>
    <w:basedOn w:val="DefaultParagraphFont"/>
    <w:link w:val="Header"/>
    <w:uiPriority w:val="99"/>
    <w:semiHidden/>
    <w:rsid w:val="00E81CFD"/>
  </w:style>
  <w:style w:type="paragraph" w:styleId="Footer">
    <w:name w:val="footer"/>
    <w:basedOn w:val="Normal"/>
    <w:link w:val="FooterChar"/>
    <w:uiPriority w:val="99"/>
    <w:unhideWhenUsed/>
    <w:rsid w:val="00E81CFD"/>
    <w:pPr>
      <w:tabs>
        <w:tab w:val="center" w:pos="4320"/>
        <w:tab w:val="right" w:pos="864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81CFD"/>
  </w:style>
  <w:style w:type="paragraph" w:styleId="FootnoteText">
    <w:name w:val="footnote text"/>
    <w:basedOn w:val="Normal"/>
    <w:link w:val="FootnoteTextChar"/>
    <w:uiPriority w:val="99"/>
    <w:semiHidden/>
    <w:unhideWhenUsed/>
    <w:rsid w:val="0054759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547596"/>
    <w:rPr>
      <w:sz w:val="20"/>
      <w:szCs w:val="20"/>
    </w:rPr>
  </w:style>
  <w:style w:type="character" w:styleId="FootnoteReference">
    <w:name w:val="footnote reference"/>
    <w:basedOn w:val="DefaultParagraphFont"/>
    <w:uiPriority w:val="99"/>
    <w:semiHidden/>
    <w:unhideWhenUsed/>
    <w:rsid w:val="00547596"/>
    <w:rPr>
      <w:vertAlign w:val="superscript"/>
    </w:rPr>
  </w:style>
  <w:style w:type="character" w:customStyle="1" w:styleId="category">
    <w:name w:val="category"/>
    <w:basedOn w:val="DefaultParagraphFont"/>
    <w:rsid w:val="00D5297A"/>
  </w:style>
  <w:style w:type="character" w:customStyle="1" w:styleId="apple-converted-space">
    <w:name w:val="apple-converted-space"/>
    <w:basedOn w:val="DefaultParagraphFont"/>
    <w:rsid w:val="00D5297A"/>
  </w:style>
  <w:style w:type="character" w:customStyle="1" w:styleId="categorydata">
    <w:name w:val="category_data"/>
    <w:basedOn w:val="DefaultParagraphFont"/>
    <w:rsid w:val="00D5297A"/>
  </w:style>
  <w:style w:type="character" w:customStyle="1" w:styleId="Heading4Char">
    <w:name w:val="Heading 4 Char"/>
    <w:basedOn w:val="DefaultParagraphFont"/>
    <w:link w:val="Heading4"/>
    <w:uiPriority w:val="9"/>
    <w:rsid w:val="00870B78"/>
    <w:rPr>
      <w:rFonts w:ascii="Times New Roman" w:eastAsia="Times New Roman" w:hAnsi="Times New Roman" w:cs="Times New Roman"/>
      <w:b/>
      <w:bCs/>
      <w:sz w:val="24"/>
      <w:szCs w:val="24"/>
    </w:rPr>
  </w:style>
  <w:style w:type="paragraph" w:customStyle="1" w:styleId="bp">
    <w:name w:val="bp"/>
    <w:basedOn w:val="Normal"/>
    <w:rsid w:val="00870B78"/>
    <w:pPr>
      <w:spacing w:before="100" w:beforeAutospacing="1" w:after="100" w:afterAutospacing="1"/>
    </w:pPr>
  </w:style>
  <w:style w:type="paragraph" w:styleId="ListParagraph">
    <w:name w:val="List Paragraph"/>
    <w:aliases w:val="List Paragraph à moi,Számozott lista 1,LISTA"/>
    <w:basedOn w:val="Normal"/>
    <w:link w:val="ListParagraphChar"/>
    <w:uiPriority w:val="34"/>
    <w:qFormat/>
    <w:rsid w:val="00D13D92"/>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unhideWhenUsed/>
    <w:rsid w:val="00AF5B67"/>
    <w:pPr>
      <w:ind w:right="23"/>
      <w:jc w:val="both"/>
    </w:pPr>
    <w:rPr>
      <w:rFonts w:eastAsia="MS Mincho"/>
      <w:b/>
      <w:lang w:val="el-GR" w:eastAsia="el-GR"/>
    </w:rPr>
  </w:style>
  <w:style w:type="character" w:customStyle="1" w:styleId="BodyText2Char">
    <w:name w:val="Body Text 2 Char"/>
    <w:basedOn w:val="DefaultParagraphFont"/>
    <w:link w:val="BodyText2"/>
    <w:rsid w:val="00AF5B67"/>
    <w:rPr>
      <w:rFonts w:ascii="Times New Roman" w:eastAsia="MS Mincho" w:hAnsi="Times New Roman" w:cs="Times New Roman"/>
      <w:b/>
      <w:sz w:val="24"/>
      <w:szCs w:val="24"/>
      <w:lang w:val="el-GR" w:eastAsia="el-GR"/>
    </w:rPr>
  </w:style>
  <w:style w:type="table" w:styleId="TableGrid">
    <w:name w:val="Table Grid"/>
    <w:basedOn w:val="TableNormal"/>
    <w:uiPriority w:val="59"/>
    <w:rsid w:val="00AF5B6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56F2B"/>
    <w:pPr>
      <w:spacing w:before="100" w:beforeAutospacing="1" w:after="100" w:afterAutospacing="1"/>
    </w:pPr>
  </w:style>
  <w:style w:type="character" w:styleId="Hyperlink">
    <w:name w:val="Hyperlink"/>
    <w:basedOn w:val="DefaultParagraphFont"/>
    <w:uiPriority w:val="99"/>
    <w:unhideWhenUsed/>
    <w:rsid w:val="006C2493"/>
    <w:rPr>
      <w:color w:val="0000FF"/>
      <w:u w:val="single"/>
    </w:rPr>
  </w:style>
  <w:style w:type="paragraph" w:styleId="HTMLPreformatted">
    <w:name w:val="HTML Preformatted"/>
    <w:basedOn w:val="Normal"/>
    <w:link w:val="HTMLPreformattedChar"/>
    <w:uiPriority w:val="99"/>
    <w:semiHidden/>
    <w:unhideWhenUsed/>
    <w:rsid w:val="00CC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C3706"/>
    <w:rPr>
      <w:rFonts w:ascii="Courier New" w:eastAsia="Times New Roman" w:hAnsi="Courier New" w:cs="Courier New"/>
      <w:sz w:val="20"/>
      <w:szCs w:val="20"/>
    </w:rPr>
  </w:style>
  <w:style w:type="character" w:styleId="Emphasis">
    <w:name w:val="Emphasis"/>
    <w:basedOn w:val="DefaultParagraphFont"/>
    <w:uiPriority w:val="20"/>
    <w:qFormat/>
    <w:rsid w:val="006B2F8D"/>
    <w:rPr>
      <w:i/>
      <w:iCs/>
    </w:rPr>
  </w:style>
  <w:style w:type="paragraph" w:customStyle="1" w:styleId="tekst">
    <w:name w:val="tekst"/>
    <w:basedOn w:val="Normal"/>
    <w:rsid w:val="000109B9"/>
    <w:pPr>
      <w:spacing w:before="100" w:beforeAutospacing="1" w:after="100" w:afterAutospacing="1"/>
    </w:pPr>
  </w:style>
  <w:style w:type="paragraph" w:customStyle="1" w:styleId="Default">
    <w:name w:val="Default"/>
    <w:rsid w:val="002F7BF0"/>
    <w:pPr>
      <w:autoSpaceDE w:val="0"/>
      <w:autoSpaceDN w:val="0"/>
      <w:adjustRightInd w:val="0"/>
      <w:spacing w:after="0" w:line="240" w:lineRule="auto"/>
    </w:pPr>
    <w:rPr>
      <w:rFonts w:ascii="Times New Roman" w:eastAsia="Times New Roman" w:hAnsi="Times New Roman" w:cs="Times New Roman"/>
      <w:color w:val="000000"/>
      <w:sz w:val="24"/>
      <w:szCs w:val="24"/>
      <w:lang w:val="hu-HU" w:eastAsia="hu-HU"/>
    </w:rPr>
  </w:style>
  <w:style w:type="paragraph" w:styleId="EndnoteText">
    <w:name w:val="endnote text"/>
    <w:basedOn w:val="Normal"/>
    <w:link w:val="EndnoteTextChar"/>
    <w:uiPriority w:val="99"/>
    <w:semiHidden/>
    <w:unhideWhenUsed/>
    <w:rsid w:val="00B82965"/>
    <w:rPr>
      <w:sz w:val="20"/>
      <w:szCs w:val="20"/>
    </w:rPr>
  </w:style>
  <w:style w:type="character" w:customStyle="1" w:styleId="EndnoteTextChar">
    <w:name w:val="Endnote Text Char"/>
    <w:basedOn w:val="DefaultParagraphFont"/>
    <w:link w:val="EndnoteText"/>
    <w:uiPriority w:val="99"/>
    <w:semiHidden/>
    <w:rsid w:val="00B8296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82965"/>
    <w:rPr>
      <w:vertAlign w:val="superscript"/>
    </w:rPr>
  </w:style>
  <w:style w:type="character" w:customStyle="1" w:styleId="Heading3Char">
    <w:name w:val="Heading 3 Char"/>
    <w:basedOn w:val="DefaultParagraphFont"/>
    <w:link w:val="Heading3"/>
    <w:uiPriority w:val="9"/>
    <w:semiHidden/>
    <w:rsid w:val="00412E3C"/>
    <w:rPr>
      <w:rFonts w:asciiTheme="majorHAnsi" w:eastAsiaTheme="majorEastAsia" w:hAnsiTheme="majorHAnsi" w:cstheme="majorBidi"/>
      <w:b/>
      <w:bCs/>
      <w:color w:val="4F81BD" w:themeColor="accent1"/>
      <w:sz w:val="24"/>
      <w:szCs w:val="24"/>
    </w:rPr>
  </w:style>
  <w:style w:type="paragraph" w:customStyle="1" w:styleId="lead">
    <w:name w:val="lead"/>
    <w:basedOn w:val="Normal"/>
    <w:rsid w:val="00412E3C"/>
    <w:pPr>
      <w:spacing w:before="100" w:beforeAutospacing="1" w:after="100" w:afterAutospacing="1"/>
    </w:pPr>
  </w:style>
  <w:style w:type="character" w:styleId="Strong">
    <w:name w:val="Strong"/>
    <w:basedOn w:val="DefaultParagraphFont"/>
    <w:uiPriority w:val="22"/>
    <w:qFormat/>
    <w:rsid w:val="00154639"/>
    <w:rPr>
      <w:b/>
      <w:bCs/>
    </w:rPr>
  </w:style>
  <w:style w:type="character" w:customStyle="1" w:styleId="Heading2Char">
    <w:name w:val="Heading 2 Char"/>
    <w:basedOn w:val="DefaultParagraphFont"/>
    <w:link w:val="Heading2"/>
    <w:uiPriority w:val="9"/>
    <w:rsid w:val="00020ABD"/>
    <w:rPr>
      <w:rFonts w:asciiTheme="majorHAnsi" w:eastAsiaTheme="majorEastAsia" w:hAnsiTheme="majorHAnsi" w:cstheme="majorBidi"/>
      <w:b/>
      <w:bCs/>
      <w:color w:val="4F81BD" w:themeColor="accent1"/>
      <w:sz w:val="26"/>
      <w:szCs w:val="26"/>
    </w:rPr>
  </w:style>
  <w:style w:type="character" w:customStyle="1" w:styleId="subfield-name">
    <w:name w:val="subfield-name"/>
    <w:basedOn w:val="DefaultParagraphFont"/>
    <w:rsid w:val="00513899"/>
  </w:style>
  <w:style w:type="character" w:customStyle="1" w:styleId="subfield-number">
    <w:name w:val="subfield-number"/>
    <w:basedOn w:val="DefaultParagraphFont"/>
    <w:rsid w:val="00513899"/>
  </w:style>
  <w:style w:type="character" w:customStyle="1" w:styleId="subfield-date">
    <w:name w:val="subfield-date"/>
    <w:basedOn w:val="DefaultParagraphFont"/>
    <w:rsid w:val="00513899"/>
  </w:style>
  <w:style w:type="character" w:customStyle="1" w:styleId="Heading1Char">
    <w:name w:val="Heading 1 Char"/>
    <w:basedOn w:val="DefaultParagraphFont"/>
    <w:link w:val="Heading1"/>
    <w:uiPriority w:val="9"/>
    <w:rsid w:val="001B6121"/>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List Paragraph à moi Char,Számozott lista 1 Char,LISTA Char"/>
    <w:link w:val="ListParagraph"/>
    <w:uiPriority w:val="34"/>
    <w:rsid w:val="001B6121"/>
    <w:rPr>
      <w:rFonts w:eastAsiaTheme="minorHAnsi"/>
    </w:rPr>
  </w:style>
  <w:style w:type="character" w:styleId="FollowedHyperlink">
    <w:name w:val="FollowedHyperlink"/>
    <w:basedOn w:val="DefaultParagraphFont"/>
    <w:uiPriority w:val="99"/>
    <w:semiHidden/>
    <w:unhideWhenUsed/>
    <w:rsid w:val="006632CC"/>
    <w:rPr>
      <w:color w:val="800080" w:themeColor="followedHyperlink"/>
      <w:u w:val="single"/>
    </w:rPr>
  </w:style>
  <w:style w:type="paragraph" w:styleId="BalloonText">
    <w:name w:val="Balloon Text"/>
    <w:basedOn w:val="Normal"/>
    <w:link w:val="BalloonTextChar"/>
    <w:uiPriority w:val="99"/>
    <w:semiHidden/>
    <w:unhideWhenUsed/>
    <w:rsid w:val="006C2955"/>
    <w:rPr>
      <w:rFonts w:ascii="Tahoma" w:hAnsi="Tahoma" w:cs="Tahoma"/>
      <w:sz w:val="16"/>
      <w:szCs w:val="16"/>
    </w:rPr>
  </w:style>
  <w:style w:type="character" w:customStyle="1" w:styleId="BalloonTextChar">
    <w:name w:val="Balloon Text Char"/>
    <w:basedOn w:val="DefaultParagraphFont"/>
    <w:link w:val="BalloonText"/>
    <w:uiPriority w:val="99"/>
    <w:semiHidden/>
    <w:rsid w:val="006C2955"/>
    <w:rPr>
      <w:rFonts w:ascii="Tahoma" w:eastAsia="Times New Roman" w:hAnsi="Tahoma" w:cs="Tahoma"/>
      <w:sz w:val="16"/>
      <w:szCs w:val="16"/>
    </w:rPr>
  </w:style>
  <w:style w:type="table" w:customStyle="1" w:styleId="LightGrid-Accent11">
    <w:name w:val="Light Grid - Accent 11"/>
    <w:basedOn w:val="TableNormal"/>
    <w:uiPriority w:val="62"/>
    <w:rsid w:val="00B82C7A"/>
    <w:pPr>
      <w:spacing w:after="0" w:line="240" w:lineRule="auto"/>
    </w:pPr>
    <w:rPr>
      <w:rFonts w:ascii="Times New Roman" w:eastAsia="SimSun" w:hAnsi="Times New Roman" w:cs="Times New Roman"/>
      <w:sz w:val="20"/>
      <w:szCs w:val="20"/>
      <w:lang w:val="el-GR" w:eastAsia="el-G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color">
    <w:name w:val="color"/>
    <w:basedOn w:val="DefaultParagraphFont"/>
    <w:rsid w:val="00E22BDD"/>
  </w:style>
</w:styles>
</file>

<file path=word/webSettings.xml><?xml version="1.0" encoding="utf-8"?>
<w:webSettings xmlns:r="http://schemas.openxmlformats.org/officeDocument/2006/relationships" xmlns:w="http://schemas.openxmlformats.org/wordprocessingml/2006/main">
  <w:divs>
    <w:div w:id="12730468">
      <w:bodyDiv w:val="1"/>
      <w:marLeft w:val="0"/>
      <w:marRight w:val="0"/>
      <w:marTop w:val="0"/>
      <w:marBottom w:val="0"/>
      <w:divBdr>
        <w:top w:val="none" w:sz="0" w:space="0" w:color="auto"/>
        <w:left w:val="none" w:sz="0" w:space="0" w:color="auto"/>
        <w:bottom w:val="none" w:sz="0" w:space="0" w:color="auto"/>
        <w:right w:val="none" w:sz="0" w:space="0" w:color="auto"/>
      </w:divBdr>
    </w:div>
    <w:div w:id="13582074">
      <w:bodyDiv w:val="1"/>
      <w:marLeft w:val="0"/>
      <w:marRight w:val="0"/>
      <w:marTop w:val="0"/>
      <w:marBottom w:val="0"/>
      <w:divBdr>
        <w:top w:val="none" w:sz="0" w:space="0" w:color="auto"/>
        <w:left w:val="none" w:sz="0" w:space="0" w:color="auto"/>
        <w:bottom w:val="none" w:sz="0" w:space="0" w:color="auto"/>
        <w:right w:val="none" w:sz="0" w:space="0" w:color="auto"/>
      </w:divBdr>
    </w:div>
    <w:div w:id="54597122">
      <w:bodyDiv w:val="1"/>
      <w:marLeft w:val="0"/>
      <w:marRight w:val="0"/>
      <w:marTop w:val="0"/>
      <w:marBottom w:val="0"/>
      <w:divBdr>
        <w:top w:val="none" w:sz="0" w:space="0" w:color="auto"/>
        <w:left w:val="none" w:sz="0" w:space="0" w:color="auto"/>
        <w:bottom w:val="none" w:sz="0" w:space="0" w:color="auto"/>
        <w:right w:val="none" w:sz="0" w:space="0" w:color="auto"/>
      </w:divBdr>
      <w:divsChild>
        <w:div w:id="440422472">
          <w:marLeft w:val="0"/>
          <w:marRight w:val="0"/>
          <w:marTop w:val="0"/>
          <w:marBottom w:val="0"/>
          <w:divBdr>
            <w:top w:val="none" w:sz="0" w:space="0" w:color="auto"/>
            <w:left w:val="none" w:sz="0" w:space="0" w:color="auto"/>
            <w:bottom w:val="none" w:sz="0" w:space="0" w:color="auto"/>
            <w:right w:val="none" w:sz="0" w:space="0" w:color="auto"/>
          </w:divBdr>
        </w:div>
      </w:divsChild>
    </w:div>
    <w:div w:id="67311895">
      <w:bodyDiv w:val="1"/>
      <w:marLeft w:val="0"/>
      <w:marRight w:val="0"/>
      <w:marTop w:val="0"/>
      <w:marBottom w:val="0"/>
      <w:divBdr>
        <w:top w:val="none" w:sz="0" w:space="0" w:color="auto"/>
        <w:left w:val="none" w:sz="0" w:space="0" w:color="auto"/>
        <w:bottom w:val="none" w:sz="0" w:space="0" w:color="auto"/>
        <w:right w:val="none" w:sz="0" w:space="0" w:color="auto"/>
      </w:divBdr>
    </w:div>
    <w:div w:id="80176436">
      <w:bodyDiv w:val="1"/>
      <w:marLeft w:val="0"/>
      <w:marRight w:val="0"/>
      <w:marTop w:val="0"/>
      <w:marBottom w:val="0"/>
      <w:divBdr>
        <w:top w:val="none" w:sz="0" w:space="0" w:color="auto"/>
        <w:left w:val="none" w:sz="0" w:space="0" w:color="auto"/>
        <w:bottom w:val="none" w:sz="0" w:space="0" w:color="auto"/>
        <w:right w:val="none" w:sz="0" w:space="0" w:color="auto"/>
      </w:divBdr>
    </w:div>
    <w:div w:id="93743726">
      <w:bodyDiv w:val="1"/>
      <w:marLeft w:val="0"/>
      <w:marRight w:val="0"/>
      <w:marTop w:val="0"/>
      <w:marBottom w:val="0"/>
      <w:divBdr>
        <w:top w:val="none" w:sz="0" w:space="0" w:color="auto"/>
        <w:left w:val="none" w:sz="0" w:space="0" w:color="auto"/>
        <w:bottom w:val="none" w:sz="0" w:space="0" w:color="auto"/>
        <w:right w:val="none" w:sz="0" w:space="0" w:color="auto"/>
      </w:divBdr>
    </w:div>
    <w:div w:id="125852040">
      <w:bodyDiv w:val="1"/>
      <w:marLeft w:val="0"/>
      <w:marRight w:val="0"/>
      <w:marTop w:val="0"/>
      <w:marBottom w:val="0"/>
      <w:divBdr>
        <w:top w:val="none" w:sz="0" w:space="0" w:color="auto"/>
        <w:left w:val="none" w:sz="0" w:space="0" w:color="auto"/>
        <w:bottom w:val="none" w:sz="0" w:space="0" w:color="auto"/>
        <w:right w:val="none" w:sz="0" w:space="0" w:color="auto"/>
      </w:divBdr>
    </w:div>
    <w:div w:id="128011950">
      <w:bodyDiv w:val="1"/>
      <w:marLeft w:val="0"/>
      <w:marRight w:val="0"/>
      <w:marTop w:val="0"/>
      <w:marBottom w:val="0"/>
      <w:divBdr>
        <w:top w:val="none" w:sz="0" w:space="0" w:color="auto"/>
        <w:left w:val="none" w:sz="0" w:space="0" w:color="auto"/>
        <w:bottom w:val="none" w:sz="0" w:space="0" w:color="auto"/>
        <w:right w:val="none" w:sz="0" w:space="0" w:color="auto"/>
      </w:divBdr>
    </w:div>
    <w:div w:id="133908132">
      <w:bodyDiv w:val="1"/>
      <w:marLeft w:val="0"/>
      <w:marRight w:val="0"/>
      <w:marTop w:val="0"/>
      <w:marBottom w:val="0"/>
      <w:divBdr>
        <w:top w:val="none" w:sz="0" w:space="0" w:color="auto"/>
        <w:left w:val="none" w:sz="0" w:space="0" w:color="auto"/>
        <w:bottom w:val="none" w:sz="0" w:space="0" w:color="auto"/>
        <w:right w:val="none" w:sz="0" w:space="0" w:color="auto"/>
      </w:divBdr>
    </w:div>
    <w:div w:id="203370351">
      <w:bodyDiv w:val="1"/>
      <w:marLeft w:val="0"/>
      <w:marRight w:val="0"/>
      <w:marTop w:val="0"/>
      <w:marBottom w:val="0"/>
      <w:divBdr>
        <w:top w:val="none" w:sz="0" w:space="0" w:color="auto"/>
        <w:left w:val="none" w:sz="0" w:space="0" w:color="auto"/>
        <w:bottom w:val="none" w:sz="0" w:space="0" w:color="auto"/>
        <w:right w:val="none" w:sz="0" w:space="0" w:color="auto"/>
      </w:divBdr>
    </w:div>
    <w:div w:id="213002517">
      <w:bodyDiv w:val="1"/>
      <w:marLeft w:val="0"/>
      <w:marRight w:val="0"/>
      <w:marTop w:val="0"/>
      <w:marBottom w:val="0"/>
      <w:divBdr>
        <w:top w:val="none" w:sz="0" w:space="0" w:color="auto"/>
        <w:left w:val="none" w:sz="0" w:space="0" w:color="auto"/>
        <w:bottom w:val="none" w:sz="0" w:space="0" w:color="auto"/>
        <w:right w:val="none" w:sz="0" w:space="0" w:color="auto"/>
      </w:divBdr>
    </w:div>
    <w:div w:id="240867498">
      <w:bodyDiv w:val="1"/>
      <w:marLeft w:val="0"/>
      <w:marRight w:val="0"/>
      <w:marTop w:val="0"/>
      <w:marBottom w:val="0"/>
      <w:divBdr>
        <w:top w:val="none" w:sz="0" w:space="0" w:color="auto"/>
        <w:left w:val="none" w:sz="0" w:space="0" w:color="auto"/>
        <w:bottom w:val="none" w:sz="0" w:space="0" w:color="auto"/>
        <w:right w:val="none" w:sz="0" w:space="0" w:color="auto"/>
      </w:divBdr>
    </w:div>
    <w:div w:id="245772443">
      <w:bodyDiv w:val="1"/>
      <w:marLeft w:val="0"/>
      <w:marRight w:val="0"/>
      <w:marTop w:val="0"/>
      <w:marBottom w:val="0"/>
      <w:divBdr>
        <w:top w:val="none" w:sz="0" w:space="0" w:color="auto"/>
        <w:left w:val="none" w:sz="0" w:space="0" w:color="auto"/>
        <w:bottom w:val="none" w:sz="0" w:space="0" w:color="auto"/>
        <w:right w:val="none" w:sz="0" w:space="0" w:color="auto"/>
      </w:divBdr>
    </w:div>
    <w:div w:id="261496026">
      <w:bodyDiv w:val="1"/>
      <w:marLeft w:val="0"/>
      <w:marRight w:val="0"/>
      <w:marTop w:val="0"/>
      <w:marBottom w:val="0"/>
      <w:divBdr>
        <w:top w:val="none" w:sz="0" w:space="0" w:color="auto"/>
        <w:left w:val="none" w:sz="0" w:space="0" w:color="auto"/>
        <w:bottom w:val="none" w:sz="0" w:space="0" w:color="auto"/>
        <w:right w:val="none" w:sz="0" w:space="0" w:color="auto"/>
      </w:divBdr>
    </w:div>
    <w:div w:id="272397579">
      <w:bodyDiv w:val="1"/>
      <w:marLeft w:val="0"/>
      <w:marRight w:val="0"/>
      <w:marTop w:val="0"/>
      <w:marBottom w:val="0"/>
      <w:divBdr>
        <w:top w:val="none" w:sz="0" w:space="0" w:color="auto"/>
        <w:left w:val="none" w:sz="0" w:space="0" w:color="auto"/>
        <w:bottom w:val="none" w:sz="0" w:space="0" w:color="auto"/>
        <w:right w:val="none" w:sz="0" w:space="0" w:color="auto"/>
      </w:divBdr>
    </w:div>
    <w:div w:id="282155872">
      <w:bodyDiv w:val="1"/>
      <w:marLeft w:val="0"/>
      <w:marRight w:val="0"/>
      <w:marTop w:val="0"/>
      <w:marBottom w:val="0"/>
      <w:divBdr>
        <w:top w:val="none" w:sz="0" w:space="0" w:color="auto"/>
        <w:left w:val="none" w:sz="0" w:space="0" w:color="auto"/>
        <w:bottom w:val="none" w:sz="0" w:space="0" w:color="auto"/>
        <w:right w:val="none" w:sz="0" w:space="0" w:color="auto"/>
      </w:divBdr>
    </w:div>
    <w:div w:id="286472602">
      <w:bodyDiv w:val="1"/>
      <w:marLeft w:val="0"/>
      <w:marRight w:val="0"/>
      <w:marTop w:val="0"/>
      <w:marBottom w:val="0"/>
      <w:divBdr>
        <w:top w:val="none" w:sz="0" w:space="0" w:color="auto"/>
        <w:left w:val="none" w:sz="0" w:space="0" w:color="auto"/>
        <w:bottom w:val="none" w:sz="0" w:space="0" w:color="auto"/>
        <w:right w:val="none" w:sz="0" w:space="0" w:color="auto"/>
      </w:divBdr>
    </w:div>
    <w:div w:id="346101563">
      <w:bodyDiv w:val="1"/>
      <w:marLeft w:val="0"/>
      <w:marRight w:val="0"/>
      <w:marTop w:val="0"/>
      <w:marBottom w:val="0"/>
      <w:divBdr>
        <w:top w:val="none" w:sz="0" w:space="0" w:color="auto"/>
        <w:left w:val="none" w:sz="0" w:space="0" w:color="auto"/>
        <w:bottom w:val="none" w:sz="0" w:space="0" w:color="auto"/>
        <w:right w:val="none" w:sz="0" w:space="0" w:color="auto"/>
      </w:divBdr>
    </w:div>
    <w:div w:id="348027061">
      <w:bodyDiv w:val="1"/>
      <w:marLeft w:val="0"/>
      <w:marRight w:val="0"/>
      <w:marTop w:val="0"/>
      <w:marBottom w:val="0"/>
      <w:divBdr>
        <w:top w:val="none" w:sz="0" w:space="0" w:color="auto"/>
        <w:left w:val="none" w:sz="0" w:space="0" w:color="auto"/>
        <w:bottom w:val="none" w:sz="0" w:space="0" w:color="auto"/>
        <w:right w:val="none" w:sz="0" w:space="0" w:color="auto"/>
      </w:divBdr>
    </w:div>
    <w:div w:id="385684011">
      <w:bodyDiv w:val="1"/>
      <w:marLeft w:val="0"/>
      <w:marRight w:val="0"/>
      <w:marTop w:val="0"/>
      <w:marBottom w:val="0"/>
      <w:divBdr>
        <w:top w:val="none" w:sz="0" w:space="0" w:color="auto"/>
        <w:left w:val="none" w:sz="0" w:space="0" w:color="auto"/>
        <w:bottom w:val="none" w:sz="0" w:space="0" w:color="auto"/>
        <w:right w:val="none" w:sz="0" w:space="0" w:color="auto"/>
      </w:divBdr>
    </w:div>
    <w:div w:id="436876398">
      <w:bodyDiv w:val="1"/>
      <w:marLeft w:val="0"/>
      <w:marRight w:val="0"/>
      <w:marTop w:val="0"/>
      <w:marBottom w:val="0"/>
      <w:divBdr>
        <w:top w:val="none" w:sz="0" w:space="0" w:color="auto"/>
        <w:left w:val="none" w:sz="0" w:space="0" w:color="auto"/>
        <w:bottom w:val="none" w:sz="0" w:space="0" w:color="auto"/>
        <w:right w:val="none" w:sz="0" w:space="0" w:color="auto"/>
      </w:divBdr>
    </w:div>
    <w:div w:id="456142028">
      <w:bodyDiv w:val="1"/>
      <w:marLeft w:val="0"/>
      <w:marRight w:val="0"/>
      <w:marTop w:val="0"/>
      <w:marBottom w:val="0"/>
      <w:divBdr>
        <w:top w:val="none" w:sz="0" w:space="0" w:color="auto"/>
        <w:left w:val="none" w:sz="0" w:space="0" w:color="auto"/>
        <w:bottom w:val="none" w:sz="0" w:space="0" w:color="auto"/>
        <w:right w:val="none" w:sz="0" w:space="0" w:color="auto"/>
      </w:divBdr>
    </w:div>
    <w:div w:id="521944715">
      <w:bodyDiv w:val="1"/>
      <w:marLeft w:val="0"/>
      <w:marRight w:val="0"/>
      <w:marTop w:val="0"/>
      <w:marBottom w:val="0"/>
      <w:divBdr>
        <w:top w:val="none" w:sz="0" w:space="0" w:color="auto"/>
        <w:left w:val="none" w:sz="0" w:space="0" w:color="auto"/>
        <w:bottom w:val="none" w:sz="0" w:space="0" w:color="auto"/>
        <w:right w:val="none" w:sz="0" w:space="0" w:color="auto"/>
      </w:divBdr>
    </w:div>
    <w:div w:id="550115548">
      <w:bodyDiv w:val="1"/>
      <w:marLeft w:val="0"/>
      <w:marRight w:val="0"/>
      <w:marTop w:val="0"/>
      <w:marBottom w:val="0"/>
      <w:divBdr>
        <w:top w:val="none" w:sz="0" w:space="0" w:color="auto"/>
        <w:left w:val="none" w:sz="0" w:space="0" w:color="auto"/>
        <w:bottom w:val="none" w:sz="0" w:space="0" w:color="auto"/>
        <w:right w:val="none" w:sz="0" w:space="0" w:color="auto"/>
      </w:divBdr>
    </w:div>
    <w:div w:id="580262072">
      <w:bodyDiv w:val="1"/>
      <w:marLeft w:val="0"/>
      <w:marRight w:val="0"/>
      <w:marTop w:val="0"/>
      <w:marBottom w:val="0"/>
      <w:divBdr>
        <w:top w:val="none" w:sz="0" w:space="0" w:color="auto"/>
        <w:left w:val="none" w:sz="0" w:space="0" w:color="auto"/>
        <w:bottom w:val="none" w:sz="0" w:space="0" w:color="auto"/>
        <w:right w:val="none" w:sz="0" w:space="0" w:color="auto"/>
      </w:divBdr>
    </w:div>
    <w:div w:id="592665262">
      <w:bodyDiv w:val="1"/>
      <w:marLeft w:val="0"/>
      <w:marRight w:val="0"/>
      <w:marTop w:val="0"/>
      <w:marBottom w:val="0"/>
      <w:divBdr>
        <w:top w:val="none" w:sz="0" w:space="0" w:color="auto"/>
        <w:left w:val="none" w:sz="0" w:space="0" w:color="auto"/>
        <w:bottom w:val="none" w:sz="0" w:space="0" w:color="auto"/>
        <w:right w:val="none" w:sz="0" w:space="0" w:color="auto"/>
      </w:divBdr>
    </w:div>
    <w:div w:id="623734289">
      <w:bodyDiv w:val="1"/>
      <w:marLeft w:val="0"/>
      <w:marRight w:val="0"/>
      <w:marTop w:val="0"/>
      <w:marBottom w:val="0"/>
      <w:divBdr>
        <w:top w:val="none" w:sz="0" w:space="0" w:color="auto"/>
        <w:left w:val="none" w:sz="0" w:space="0" w:color="auto"/>
        <w:bottom w:val="none" w:sz="0" w:space="0" w:color="auto"/>
        <w:right w:val="none" w:sz="0" w:space="0" w:color="auto"/>
      </w:divBdr>
    </w:div>
    <w:div w:id="629439405">
      <w:bodyDiv w:val="1"/>
      <w:marLeft w:val="0"/>
      <w:marRight w:val="0"/>
      <w:marTop w:val="0"/>
      <w:marBottom w:val="0"/>
      <w:divBdr>
        <w:top w:val="none" w:sz="0" w:space="0" w:color="auto"/>
        <w:left w:val="none" w:sz="0" w:space="0" w:color="auto"/>
        <w:bottom w:val="none" w:sz="0" w:space="0" w:color="auto"/>
        <w:right w:val="none" w:sz="0" w:space="0" w:color="auto"/>
      </w:divBdr>
    </w:div>
    <w:div w:id="637152569">
      <w:bodyDiv w:val="1"/>
      <w:marLeft w:val="0"/>
      <w:marRight w:val="0"/>
      <w:marTop w:val="0"/>
      <w:marBottom w:val="0"/>
      <w:divBdr>
        <w:top w:val="none" w:sz="0" w:space="0" w:color="auto"/>
        <w:left w:val="none" w:sz="0" w:space="0" w:color="auto"/>
        <w:bottom w:val="none" w:sz="0" w:space="0" w:color="auto"/>
        <w:right w:val="none" w:sz="0" w:space="0" w:color="auto"/>
      </w:divBdr>
    </w:div>
    <w:div w:id="645546362">
      <w:bodyDiv w:val="1"/>
      <w:marLeft w:val="0"/>
      <w:marRight w:val="0"/>
      <w:marTop w:val="0"/>
      <w:marBottom w:val="0"/>
      <w:divBdr>
        <w:top w:val="none" w:sz="0" w:space="0" w:color="auto"/>
        <w:left w:val="none" w:sz="0" w:space="0" w:color="auto"/>
        <w:bottom w:val="none" w:sz="0" w:space="0" w:color="auto"/>
        <w:right w:val="none" w:sz="0" w:space="0" w:color="auto"/>
      </w:divBdr>
    </w:div>
    <w:div w:id="653098365">
      <w:bodyDiv w:val="1"/>
      <w:marLeft w:val="0"/>
      <w:marRight w:val="0"/>
      <w:marTop w:val="0"/>
      <w:marBottom w:val="0"/>
      <w:divBdr>
        <w:top w:val="none" w:sz="0" w:space="0" w:color="auto"/>
        <w:left w:val="none" w:sz="0" w:space="0" w:color="auto"/>
        <w:bottom w:val="none" w:sz="0" w:space="0" w:color="auto"/>
        <w:right w:val="none" w:sz="0" w:space="0" w:color="auto"/>
      </w:divBdr>
    </w:div>
    <w:div w:id="658776402">
      <w:bodyDiv w:val="1"/>
      <w:marLeft w:val="0"/>
      <w:marRight w:val="0"/>
      <w:marTop w:val="0"/>
      <w:marBottom w:val="0"/>
      <w:divBdr>
        <w:top w:val="none" w:sz="0" w:space="0" w:color="auto"/>
        <w:left w:val="none" w:sz="0" w:space="0" w:color="auto"/>
        <w:bottom w:val="none" w:sz="0" w:space="0" w:color="auto"/>
        <w:right w:val="none" w:sz="0" w:space="0" w:color="auto"/>
      </w:divBdr>
    </w:div>
    <w:div w:id="691225567">
      <w:bodyDiv w:val="1"/>
      <w:marLeft w:val="0"/>
      <w:marRight w:val="0"/>
      <w:marTop w:val="0"/>
      <w:marBottom w:val="0"/>
      <w:divBdr>
        <w:top w:val="none" w:sz="0" w:space="0" w:color="auto"/>
        <w:left w:val="none" w:sz="0" w:space="0" w:color="auto"/>
        <w:bottom w:val="none" w:sz="0" w:space="0" w:color="auto"/>
        <w:right w:val="none" w:sz="0" w:space="0" w:color="auto"/>
      </w:divBdr>
    </w:div>
    <w:div w:id="704871853">
      <w:bodyDiv w:val="1"/>
      <w:marLeft w:val="0"/>
      <w:marRight w:val="0"/>
      <w:marTop w:val="0"/>
      <w:marBottom w:val="0"/>
      <w:divBdr>
        <w:top w:val="none" w:sz="0" w:space="0" w:color="auto"/>
        <w:left w:val="none" w:sz="0" w:space="0" w:color="auto"/>
        <w:bottom w:val="none" w:sz="0" w:space="0" w:color="auto"/>
        <w:right w:val="none" w:sz="0" w:space="0" w:color="auto"/>
      </w:divBdr>
    </w:div>
    <w:div w:id="707414100">
      <w:bodyDiv w:val="1"/>
      <w:marLeft w:val="0"/>
      <w:marRight w:val="0"/>
      <w:marTop w:val="0"/>
      <w:marBottom w:val="0"/>
      <w:divBdr>
        <w:top w:val="none" w:sz="0" w:space="0" w:color="auto"/>
        <w:left w:val="none" w:sz="0" w:space="0" w:color="auto"/>
        <w:bottom w:val="none" w:sz="0" w:space="0" w:color="auto"/>
        <w:right w:val="none" w:sz="0" w:space="0" w:color="auto"/>
      </w:divBdr>
    </w:div>
    <w:div w:id="733047179">
      <w:bodyDiv w:val="1"/>
      <w:marLeft w:val="0"/>
      <w:marRight w:val="0"/>
      <w:marTop w:val="0"/>
      <w:marBottom w:val="0"/>
      <w:divBdr>
        <w:top w:val="none" w:sz="0" w:space="0" w:color="auto"/>
        <w:left w:val="none" w:sz="0" w:space="0" w:color="auto"/>
        <w:bottom w:val="none" w:sz="0" w:space="0" w:color="auto"/>
        <w:right w:val="none" w:sz="0" w:space="0" w:color="auto"/>
      </w:divBdr>
    </w:div>
    <w:div w:id="740642251">
      <w:bodyDiv w:val="1"/>
      <w:marLeft w:val="0"/>
      <w:marRight w:val="0"/>
      <w:marTop w:val="0"/>
      <w:marBottom w:val="0"/>
      <w:divBdr>
        <w:top w:val="none" w:sz="0" w:space="0" w:color="auto"/>
        <w:left w:val="none" w:sz="0" w:space="0" w:color="auto"/>
        <w:bottom w:val="none" w:sz="0" w:space="0" w:color="auto"/>
        <w:right w:val="none" w:sz="0" w:space="0" w:color="auto"/>
      </w:divBdr>
    </w:div>
    <w:div w:id="777061018">
      <w:bodyDiv w:val="1"/>
      <w:marLeft w:val="0"/>
      <w:marRight w:val="0"/>
      <w:marTop w:val="0"/>
      <w:marBottom w:val="0"/>
      <w:divBdr>
        <w:top w:val="none" w:sz="0" w:space="0" w:color="auto"/>
        <w:left w:val="none" w:sz="0" w:space="0" w:color="auto"/>
        <w:bottom w:val="none" w:sz="0" w:space="0" w:color="auto"/>
        <w:right w:val="none" w:sz="0" w:space="0" w:color="auto"/>
      </w:divBdr>
    </w:div>
    <w:div w:id="815489747">
      <w:bodyDiv w:val="1"/>
      <w:marLeft w:val="0"/>
      <w:marRight w:val="0"/>
      <w:marTop w:val="0"/>
      <w:marBottom w:val="0"/>
      <w:divBdr>
        <w:top w:val="none" w:sz="0" w:space="0" w:color="auto"/>
        <w:left w:val="none" w:sz="0" w:space="0" w:color="auto"/>
        <w:bottom w:val="none" w:sz="0" w:space="0" w:color="auto"/>
        <w:right w:val="none" w:sz="0" w:space="0" w:color="auto"/>
      </w:divBdr>
    </w:div>
    <w:div w:id="834732757">
      <w:bodyDiv w:val="1"/>
      <w:marLeft w:val="0"/>
      <w:marRight w:val="0"/>
      <w:marTop w:val="0"/>
      <w:marBottom w:val="0"/>
      <w:divBdr>
        <w:top w:val="none" w:sz="0" w:space="0" w:color="auto"/>
        <w:left w:val="none" w:sz="0" w:space="0" w:color="auto"/>
        <w:bottom w:val="none" w:sz="0" w:space="0" w:color="auto"/>
        <w:right w:val="none" w:sz="0" w:space="0" w:color="auto"/>
      </w:divBdr>
    </w:div>
    <w:div w:id="835606346">
      <w:bodyDiv w:val="1"/>
      <w:marLeft w:val="0"/>
      <w:marRight w:val="0"/>
      <w:marTop w:val="0"/>
      <w:marBottom w:val="0"/>
      <w:divBdr>
        <w:top w:val="none" w:sz="0" w:space="0" w:color="auto"/>
        <w:left w:val="none" w:sz="0" w:space="0" w:color="auto"/>
        <w:bottom w:val="none" w:sz="0" w:space="0" w:color="auto"/>
        <w:right w:val="none" w:sz="0" w:space="0" w:color="auto"/>
      </w:divBdr>
    </w:div>
    <w:div w:id="837769940">
      <w:bodyDiv w:val="1"/>
      <w:marLeft w:val="0"/>
      <w:marRight w:val="0"/>
      <w:marTop w:val="0"/>
      <w:marBottom w:val="0"/>
      <w:divBdr>
        <w:top w:val="none" w:sz="0" w:space="0" w:color="auto"/>
        <w:left w:val="none" w:sz="0" w:space="0" w:color="auto"/>
        <w:bottom w:val="none" w:sz="0" w:space="0" w:color="auto"/>
        <w:right w:val="none" w:sz="0" w:space="0" w:color="auto"/>
      </w:divBdr>
    </w:div>
    <w:div w:id="864749397">
      <w:bodyDiv w:val="1"/>
      <w:marLeft w:val="0"/>
      <w:marRight w:val="0"/>
      <w:marTop w:val="0"/>
      <w:marBottom w:val="0"/>
      <w:divBdr>
        <w:top w:val="none" w:sz="0" w:space="0" w:color="auto"/>
        <w:left w:val="none" w:sz="0" w:space="0" w:color="auto"/>
        <w:bottom w:val="none" w:sz="0" w:space="0" w:color="auto"/>
        <w:right w:val="none" w:sz="0" w:space="0" w:color="auto"/>
      </w:divBdr>
      <w:divsChild>
        <w:div w:id="103770327">
          <w:marLeft w:val="0"/>
          <w:marRight w:val="0"/>
          <w:marTop w:val="0"/>
          <w:marBottom w:val="0"/>
          <w:divBdr>
            <w:top w:val="none" w:sz="0" w:space="0" w:color="auto"/>
            <w:left w:val="none" w:sz="0" w:space="0" w:color="auto"/>
            <w:bottom w:val="none" w:sz="0" w:space="0" w:color="auto"/>
            <w:right w:val="none" w:sz="0" w:space="0" w:color="auto"/>
          </w:divBdr>
          <w:divsChild>
            <w:div w:id="11724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4803">
      <w:bodyDiv w:val="1"/>
      <w:marLeft w:val="0"/>
      <w:marRight w:val="0"/>
      <w:marTop w:val="0"/>
      <w:marBottom w:val="0"/>
      <w:divBdr>
        <w:top w:val="none" w:sz="0" w:space="0" w:color="auto"/>
        <w:left w:val="none" w:sz="0" w:space="0" w:color="auto"/>
        <w:bottom w:val="none" w:sz="0" w:space="0" w:color="auto"/>
        <w:right w:val="none" w:sz="0" w:space="0" w:color="auto"/>
      </w:divBdr>
    </w:div>
    <w:div w:id="905190172">
      <w:bodyDiv w:val="1"/>
      <w:marLeft w:val="0"/>
      <w:marRight w:val="0"/>
      <w:marTop w:val="0"/>
      <w:marBottom w:val="0"/>
      <w:divBdr>
        <w:top w:val="none" w:sz="0" w:space="0" w:color="auto"/>
        <w:left w:val="none" w:sz="0" w:space="0" w:color="auto"/>
        <w:bottom w:val="none" w:sz="0" w:space="0" w:color="auto"/>
        <w:right w:val="none" w:sz="0" w:space="0" w:color="auto"/>
      </w:divBdr>
    </w:div>
    <w:div w:id="974605622">
      <w:bodyDiv w:val="1"/>
      <w:marLeft w:val="0"/>
      <w:marRight w:val="0"/>
      <w:marTop w:val="0"/>
      <w:marBottom w:val="0"/>
      <w:divBdr>
        <w:top w:val="none" w:sz="0" w:space="0" w:color="auto"/>
        <w:left w:val="none" w:sz="0" w:space="0" w:color="auto"/>
        <w:bottom w:val="none" w:sz="0" w:space="0" w:color="auto"/>
        <w:right w:val="none" w:sz="0" w:space="0" w:color="auto"/>
      </w:divBdr>
    </w:div>
    <w:div w:id="977959182">
      <w:bodyDiv w:val="1"/>
      <w:marLeft w:val="0"/>
      <w:marRight w:val="0"/>
      <w:marTop w:val="0"/>
      <w:marBottom w:val="0"/>
      <w:divBdr>
        <w:top w:val="none" w:sz="0" w:space="0" w:color="auto"/>
        <w:left w:val="none" w:sz="0" w:space="0" w:color="auto"/>
        <w:bottom w:val="none" w:sz="0" w:space="0" w:color="auto"/>
        <w:right w:val="none" w:sz="0" w:space="0" w:color="auto"/>
      </w:divBdr>
    </w:div>
    <w:div w:id="1006175709">
      <w:bodyDiv w:val="1"/>
      <w:marLeft w:val="0"/>
      <w:marRight w:val="0"/>
      <w:marTop w:val="0"/>
      <w:marBottom w:val="0"/>
      <w:divBdr>
        <w:top w:val="none" w:sz="0" w:space="0" w:color="auto"/>
        <w:left w:val="none" w:sz="0" w:space="0" w:color="auto"/>
        <w:bottom w:val="none" w:sz="0" w:space="0" w:color="auto"/>
        <w:right w:val="none" w:sz="0" w:space="0" w:color="auto"/>
      </w:divBdr>
    </w:div>
    <w:div w:id="1015687552">
      <w:bodyDiv w:val="1"/>
      <w:marLeft w:val="0"/>
      <w:marRight w:val="0"/>
      <w:marTop w:val="0"/>
      <w:marBottom w:val="0"/>
      <w:divBdr>
        <w:top w:val="none" w:sz="0" w:space="0" w:color="auto"/>
        <w:left w:val="none" w:sz="0" w:space="0" w:color="auto"/>
        <w:bottom w:val="none" w:sz="0" w:space="0" w:color="auto"/>
        <w:right w:val="none" w:sz="0" w:space="0" w:color="auto"/>
      </w:divBdr>
    </w:div>
    <w:div w:id="1016807215">
      <w:bodyDiv w:val="1"/>
      <w:marLeft w:val="0"/>
      <w:marRight w:val="0"/>
      <w:marTop w:val="0"/>
      <w:marBottom w:val="0"/>
      <w:divBdr>
        <w:top w:val="none" w:sz="0" w:space="0" w:color="auto"/>
        <w:left w:val="none" w:sz="0" w:space="0" w:color="auto"/>
        <w:bottom w:val="none" w:sz="0" w:space="0" w:color="auto"/>
        <w:right w:val="none" w:sz="0" w:space="0" w:color="auto"/>
      </w:divBdr>
      <w:divsChild>
        <w:div w:id="944078666">
          <w:marLeft w:val="0"/>
          <w:marRight w:val="0"/>
          <w:marTop w:val="0"/>
          <w:marBottom w:val="0"/>
          <w:divBdr>
            <w:top w:val="none" w:sz="0" w:space="0" w:color="auto"/>
            <w:left w:val="none" w:sz="0" w:space="0" w:color="auto"/>
            <w:bottom w:val="none" w:sz="0" w:space="0" w:color="auto"/>
            <w:right w:val="none" w:sz="0" w:space="0" w:color="auto"/>
          </w:divBdr>
        </w:div>
        <w:div w:id="59988132">
          <w:marLeft w:val="0"/>
          <w:marRight w:val="0"/>
          <w:marTop w:val="0"/>
          <w:marBottom w:val="0"/>
          <w:divBdr>
            <w:top w:val="none" w:sz="0" w:space="0" w:color="auto"/>
            <w:left w:val="none" w:sz="0" w:space="0" w:color="auto"/>
            <w:bottom w:val="none" w:sz="0" w:space="0" w:color="auto"/>
            <w:right w:val="none" w:sz="0" w:space="0" w:color="auto"/>
          </w:divBdr>
          <w:divsChild>
            <w:div w:id="1307510171">
              <w:marLeft w:val="0"/>
              <w:marRight w:val="0"/>
              <w:marTop w:val="0"/>
              <w:marBottom w:val="0"/>
              <w:divBdr>
                <w:top w:val="none" w:sz="0" w:space="0" w:color="auto"/>
                <w:left w:val="none" w:sz="0" w:space="0" w:color="auto"/>
                <w:bottom w:val="none" w:sz="0" w:space="0" w:color="auto"/>
                <w:right w:val="none" w:sz="0" w:space="0" w:color="auto"/>
              </w:divBdr>
              <w:divsChild>
                <w:div w:id="833957610">
                  <w:marLeft w:val="0"/>
                  <w:marRight w:val="0"/>
                  <w:marTop w:val="0"/>
                  <w:marBottom w:val="0"/>
                  <w:divBdr>
                    <w:top w:val="none" w:sz="0" w:space="0" w:color="auto"/>
                    <w:left w:val="none" w:sz="0" w:space="0" w:color="auto"/>
                    <w:bottom w:val="none" w:sz="0" w:space="0" w:color="auto"/>
                    <w:right w:val="none" w:sz="0" w:space="0" w:color="auto"/>
                  </w:divBdr>
                  <w:divsChild>
                    <w:div w:id="19590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3967">
      <w:bodyDiv w:val="1"/>
      <w:marLeft w:val="0"/>
      <w:marRight w:val="0"/>
      <w:marTop w:val="0"/>
      <w:marBottom w:val="0"/>
      <w:divBdr>
        <w:top w:val="none" w:sz="0" w:space="0" w:color="auto"/>
        <w:left w:val="none" w:sz="0" w:space="0" w:color="auto"/>
        <w:bottom w:val="none" w:sz="0" w:space="0" w:color="auto"/>
        <w:right w:val="none" w:sz="0" w:space="0" w:color="auto"/>
      </w:divBdr>
    </w:div>
    <w:div w:id="1076367971">
      <w:bodyDiv w:val="1"/>
      <w:marLeft w:val="0"/>
      <w:marRight w:val="0"/>
      <w:marTop w:val="0"/>
      <w:marBottom w:val="0"/>
      <w:divBdr>
        <w:top w:val="none" w:sz="0" w:space="0" w:color="auto"/>
        <w:left w:val="none" w:sz="0" w:space="0" w:color="auto"/>
        <w:bottom w:val="none" w:sz="0" w:space="0" w:color="auto"/>
        <w:right w:val="none" w:sz="0" w:space="0" w:color="auto"/>
      </w:divBdr>
    </w:div>
    <w:div w:id="1100687385">
      <w:bodyDiv w:val="1"/>
      <w:marLeft w:val="0"/>
      <w:marRight w:val="0"/>
      <w:marTop w:val="0"/>
      <w:marBottom w:val="0"/>
      <w:divBdr>
        <w:top w:val="none" w:sz="0" w:space="0" w:color="auto"/>
        <w:left w:val="none" w:sz="0" w:space="0" w:color="auto"/>
        <w:bottom w:val="none" w:sz="0" w:space="0" w:color="auto"/>
        <w:right w:val="none" w:sz="0" w:space="0" w:color="auto"/>
      </w:divBdr>
    </w:div>
    <w:div w:id="1116947569">
      <w:bodyDiv w:val="1"/>
      <w:marLeft w:val="0"/>
      <w:marRight w:val="0"/>
      <w:marTop w:val="0"/>
      <w:marBottom w:val="0"/>
      <w:divBdr>
        <w:top w:val="none" w:sz="0" w:space="0" w:color="auto"/>
        <w:left w:val="none" w:sz="0" w:space="0" w:color="auto"/>
        <w:bottom w:val="none" w:sz="0" w:space="0" w:color="auto"/>
        <w:right w:val="none" w:sz="0" w:space="0" w:color="auto"/>
      </w:divBdr>
    </w:div>
    <w:div w:id="1153064284">
      <w:bodyDiv w:val="1"/>
      <w:marLeft w:val="0"/>
      <w:marRight w:val="0"/>
      <w:marTop w:val="0"/>
      <w:marBottom w:val="0"/>
      <w:divBdr>
        <w:top w:val="none" w:sz="0" w:space="0" w:color="auto"/>
        <w:left w:val="none" w:sz="0" w:space="0" w:color="auto"/>
        <w:bottom w:val="none" w:sz="0" w:space="0" w:color="auto"/>
        <w:right w:val="none" w:sz="0" w:space="0" w:color="auto"/>
      </w:divBdr>
    </w:div>
    <w:div w:id="1165242309">
      <w:bodyDiv w:val="1"/>
      <w:marLeft w:val="0"/>
      <w:marRight w:val="0"/>
      <w:marTop w:val="0"/>
      <w:marBottom w:val="0"/>
      <w:divBdr>
        <w:top w:val="none" w:sz="0" w:space="0" w:color="auto"/>
        <w:left w:val="none" w:sz="0" w:space="0" w:color="auto"/>
        <w:bottom w:val="none" w:sz="0" w:space="0" w:color="auto"/>
        <w:right w:val="none" w:sz="0" w:space="0" w:color="auto"/>
      </w:divBdr>
    </w:div>
    <w:div w:id="1171333201">
      <w:bodyDiv w:val="1"/>
      <w:marLeft w:val="0"/>
      <w:marRight w:val="0"/>
      <w:marTop w:val="0"/>
      <w:marBottom w:val="0"/>
      <w:divBdr>
        <w:top w:val="none" w:sz="0" w:space="0" w:color="auto"/>
        <w:left w:val="none" w:sz="0" w:space="0" w:color="auto"/>
        <w:bottom w:val="none" w:sz="0" w:space="0" w:color="auto"/>
        <w:right w:val="none" w:sz="0" w:space="0" w:color="auto"/>
      </w:divBdr>
    </w:div>
    <w:div w:id="1172261818">
      <w:bodyDiv w:val="1"/>
      <w:marLeft w:val="0"/>
      <w:marRight w:val="0"/>
      <w:marTop w:val="0"/>
      <w:marBottom w:val="0"/>
      <w:divBdr>
        <w:top w:val="none" w:sz="0" w:space="0" w:color="auto"/>
        <w:left w:val="none" w:sz="0" w:space="0" w:color="auto"/>
        <w:bottom w:val="none" w:sz="0" w:space="0" w:color="auto"/>
        <w:right w:val="none" w:sz="0" w:space="0" w:color="auto"/>
      </w:divBdr>
    </w:div>
    <w:div w:id="1182671725">
      <w:bodyDiv w:val="1"/>
      <w:marLeft w:val="0"/>
      <w:marRight w:val="0"/>
      <w:marTop w:val="0"/>
      <w:marBottom w:val="0"/>
      <w:divBdr>
        <w:top w:val="none" w:sz="0" w:space="0" w:color="auto"/>
        <w:left w:val="none" w:sz="0" w:space="0" w:color="auto"/>
        <w:bottom w:val="none" w:sz="0" w:space="0" w:color="auto"/>
        <w:right w:val="none" w:sz="0" w:space="0" w:color="auto"/>
      </w:divBdr>
    </w:div>
    <w:div w:id="1190483593">
      <w:bodyDiv w:val="1"/>
      <w:marLeft w:val="0"/>
      <w:marRight w:val="0"/>
      <w:marTop w:val="0"/>
      <w:marBottom w:val="0"/>
      <w:divBdr>
        <w:top w:val="none" w:sz="0" w:space="0" w:color="auto"/>
        <w:left w:val="none" w:sz="0" w:space="0" w:color="auto"/>
        <w:bottom w:val="none" w:sz="0" w:space="0" w:color="auto"/>
        <w:right w:val="none" w:sz="0" w:space="0" w:color="auto"/>
      </w:divBdr>
    </w:div>
    <w:div w:id="1215969478">
      <w:bodyDiv w:val="1"/>
      <w:marLeft w:val="0"/>
      <w:marRight w:val="0"/>
      <w:marTop w:val="0"/>
      <w:marBottom w:val="0"/>
      <w:divBdr>
        <w:top w:val="none" w:sz="0" w:space="0" w:color="auto"/>
        <w:left w:val="none" w:sz="0" w:space="0" w:color="auto"/>
        <w:bottom w:val="none" w:sz="0" w:space="0" w:color="auto"/>
        <w:right w:val="none" w:sz="0" w:space="0" w:color="auto"/>
      </w:divBdr>
    </w:div>
    <w:div w:id="1283070985">
      <w:bodyDiv w:val="1"/>
      <w:marLeft w:val="0"/>
      <w:marRight w:val="0"/>
      <w:marTop w:val="0"/>
      <w:marBottom w:val="0"/>
      <w:divBdr>
        <w:top w:val="none" w:sz="0" w:space="0" w:color="auto"/>
        <w:left w:val="none" w:sz="0" w:space="0" w:color="auto"/>
        <w:bottom w:val="none" w:sz="0" w:space="0" w:color="auto"/>
        <w:right w:val="none" w:sz="0" w:space="0" w:color="auto"/>
      </w:divBdr>
    </w:div>
    <w:div w:id="1283655141">
      <w:bodyDiv w:val="1"/>
      <w:marLeft w:val="0"/>
      <w:marRight w:val="0"/>
      <w:marTop w:val="0"/>
      <w:marBottom w:val="0"/>
      <w:divBdr>
        <w:top w:val="none" w:sz="0" w:space="0" w:color="auto"/>
        <w:left w:val="none" w:sz="0" w:space="0" w:color="auto"/>
        <w:bottom w:val="none" w:sz="0" w:space="0" w:color="auto"/>
        <w:right w:val="none" w:sz="0" w:space="0" w:color="auto"/>
      </w:divBdr>
    </w:div>
    <w:div w:id="1319919509">
      <w:bodyDiv w:val="1"/>
      <w:marLeft w:val="0"/>
      <w:marRight w:val="0"/>
      <w:marTop w:val="0"/>
      <w:marBottom w:val="0"/>
      <w:divBdr>
        <w:top w:val="none" w:sz="0" w:space="0" w:color="auto"/>
        <w:left w:val="none" w:sz="0" w:space="0" w:color="auto"/>
        <w:bottom w:val="none" w:sz="0" w:space="0" w:color="auto"/>
        <w:right w:val="none" w:sz="0" w:space="0" w:color="auto"/>
      </w:divBdr>
    </w:div>
    <w:div w:id="1326592559">
      <w:bodyDiv w:val="1"/>
      <w:marLeft w:val="0"/>
      <w:marRight w:val="0"/>
      <w:marTop w:val="0"/>
      <w:marBottom w:val="0"/>
      <w:divBdr>
        <w:top w:val="none" w:sz="0" w:space="0" w:color="auto"/>
        <w:left w:val="none" w:sz="0" w:space="0" w:color="auto"/>
        <w:bottom w:val="none" w:sz="0" w:space="0" w:color="auto"/>
        <w:right w:val="none" w:sz="0" w:space="0" w:color="auto"/>
      </w:divBdr>
    </w:div>
    <w:div w:id="1336179121">
      <w:bodyDiv w:val="1"/>
      <w:marLeft w:val="0"/>
      <w:marRight w:val="0"/>
      <w:marTop w:val="0"/>
      <w:marBottom w:val="0"/>
      <w:divBdr>
        <w:top w:val="none" w:sz="0" w:space="0" w:color="auto"/>
        <w:left w:val="none" w:sz="0" w:space="0" w:color="auto"/>
        <w:bottom w:val="none" w:sz="0" w:space="0" w:color="auto"/>
        <w:right w:val="none" w:sz="0" w:space="0" w:color="auto"/>
      </w:divBdr>
    </w:div>
    <w:div w:id="1358123785">
      <w:bodyDiv w:val="1"/>
      <w:marLeft w:val="0"/>
      <w:marRight w:val="0"/>
      <w:marTop w:val="0"/>
      <w:marBottom w:val="0"/>
      <w:divBdr>
        <w:top w:val="none" w:sz="0" w:space="0" w:color="auto"/>
        <w:left w:val="none" w:sz="0" w:space="0" w:color="auto"/>
        <w:bottom w:val="none" w:sz="0" w:space="0" w:color="auto"/>
        <w:right w:val="none" w:sz="0" w:space="0" w:color="auto"/>
      </w:divBdr>
    </w:div>
    <w:div w:id="1364137603">
      <w:bodyDiv w:val="1"/>
      <w:marLeft w:val="0"/>
      <w:marRight w:val="0"/>
      <w:marTop w:val="0"/>
      <w:marBottom w:val="0"/>
      <w:divBdr>
        <w:top w:val="none" w:sz="0" w:space="0" w:color="auto"/>
        <w:left w:val="none" w:sz="0" w:space="0" w:color="auto"/>
        <w:bottom w:val="none" w:sz="0" w:space="0" w:color="auto"/>
        <w:right w:val="none" w:sz="0" w:space="0" w:color="auto"/>
      </w:divBdr>
    </w:div>
    <w:div w:id="1392195604">
      <w:bodyDiv w:val="1"/>
      <w:marLeft w:val="0"/>
      <w:marRight w:val="0"/>
      <w:marTop w:val="0"/>
      <w:marBottom w:val="0"/>
      <w:divBdr>
        <w:top w:val="none" w:sz="0" w:space="0" w:color="auto"/>
        <w:left w:val="none" w:sz="0" w:space="0" w:color="auto"/>
        <w:bottom w:val="none" w:sz="0" w:space="0" w:color="auto"/>
        <w:right w:val="none" w:sz="0" w:space="0" w:color="auto"/>
      </w:divBdr>
    </w:div>
    <w:div w:id="1392801356">
      <w:bodyDiv w:val="1"/>
      <w:marLeft w:val="0"/>
      <w:marRight w:val="0"/>
      <w:marTop w:val="0"/>
      <w:marBottom w:val="0"/>
      <w:divBdr>
        <w:top w:val="none" w:sz="0" w:space="0" w:color="auto"/>
        <w:left w:val="none" w:sz="0" w:space="0" w:color="auto"/>
        <w:bottom w:val="none" w:sz="0" w:space="0" w:color="auto"/>
        <w:right w:val="none" w:sz="0" w:space="0" w:color="auto"/>
      </w:divBdr>
    </w:div>
    <w:div w:id="1417239558">
      <w:bodyDiv w:val="1"/>
      <w:marLeft w:val="0"/>
      <w:marRight w:val="0"/>
      <w:marTop w:val="0"/>
      <w:marBottom w:val="0"/>
      <w:divBdr>
        <w:top w:val="none" w:sz="0" w:space="0" w:color="auto"/>
        <w:left w:val="none" w:sz="0" w:space="0" w:color="auto"/>
        <w:bottom w:val="none" w:sz="0" w:space="0" w:color="auto"/>
        <w:right w:val="none" w:sz="0" w:space="0" w:color="auto"/>
      </w:divBdr>
    </w:div>
    <w:div w:id="1418483573">
      <w:bodyDiv w:val="1"/>
      <w:marLeft w:val="0"/>
      <w:marRight w:val="0"/>
      <w:marTop w:val="0"/>
      <w:marBottom w:val="0"/>
      <w:divBdr>
        <w:top w:val="none" w:sz="0" w:space="0" w:color="auto"/>
        <w:left w:val="none" w:sz="0" w:space="0" w:color="auto"/>
        <w:bottom w:val="none" w:sz="0" w:space="0" w:color="auto"/>
        <w:right w:val="none" w:sz="0" w:space="0" w:color="auto"/>
      </w:divBdr>
    </w:div>
    <w:div w:id="1470170704">
      <w:bodyDiv w:val="1"/>
      <w:marLeft w:val="0"/>
      <w:marRight w:val="0"/>
      <w:marTop w:val="0"/>
      <w:marBottom w:val="0"/>
      <w:divBdr>
        <w:top w:val="none" w:sz="0" w:space="0" w:color="auto"/>
        <w:left w:val="none" w:sz="0" w:space="0" w:color="auto"/>
        <w:bottom w:val="none" w:sz="0" w:space="0" w:color="auto"/>
        <w:right w:val="none" w:sz="0" w:space="0" w:color="auto"/>
      </w:divBdr>
    </w:div>
    <w:div w:id="1475610031">
      <w:bodyDiv w:val="1"/>
      <w:marLeft w:val="0"/>
      <w:marRight w:val="0"/>
      <w:marTop w:val="0"/>
      <w:marBottom w:val="0"/>
      <w:divBdr>
        <w:top w:val="none" w:sz="0" w:space="0" w:color="auto"/>
        <w:left w:val="none" w:sz="0" w:space="0" w:color="auto"/>
        <w:bottom w:val="none" w:sz="0" w:space="0" w:color="auto"/>
        <w:right w:val="none" w:sz="0" w:space="0" w:color="auto"/>
      </w:divBdr>
    </w:div>
    <w:div w:id="1483236143">
      <w:bodyDiv w:val="1"/>
      <w:marLeft w:val="0"/>
      <w:marRight w:val="0"/>
      <w:marTop w:val="0"/>
      <w:marBottom w:val="0"/>
      <w:divBdr>
        <w:top w:val="none" w:sz="0" w:space="0" w:color="auto"/>
        <w:left w:val="none" w:sz="0" w:space="0" w:color="auto"/>
        <w:bottom w:val="none" w:sz="0" w:space="0" w:color="auto"/>
        <w:right w:val="none" w:sz="0" w:space="0" w:color="auto"/>
      </w:divBdr>
    </w:div>
    <w:div w:id="1490362324">
      <w:bodyDiv w:val="1"/>
      <w:marLeft w:val="0"/>
      <w:marRight w:val="0"/>
      <w:marTop w:val="0"/>
      <w:marBottom w:val="0"/>
      <w:divBdr>
        <w:top w:val="none" w:sz="0" w:space="0" w:color="auto"/>
        <w:left w:val="none" w:sz="0" w:space="0" w:color="auto"/>
        <w:bottom w:val="none" w:sz="0" w:space="0" w:color="auto"/>
        <w:right w:val="none" w:sz="0" w:space="0" w:color="auto"/>
      </w:divBdr>
    </w:div>
    <w:div w:id="1491364393">
      <w:bodyDiv w:val="1"/>
      <w:marLeft w:val="0"/>
      <w:marRight w:val="0"/>
      <w:marTop w:val="0"/>
      <w:marBottom w:val="0"/>
      <w:divBdr>
        <w:top w:val="none" w:sz="0" w:space="0" w:color="auto"/>
        <w:left w:val="none" w:sz="0" w:space="0" w:color="auto"/>
        <w:bottom w:val="none" w:sz="0" w:space="0" w:color="auto"/>
        <w:right w:val="none" w:sz="0" w:space="0" w:color="auto"/>
      </w:divBdr>
    </w:div>
    <w:div w:id="1496918826">
      <w:bodyDiv w:val="1"/>
      <w:marLeft w:val="0"/>
      <w:marRight w:val="0"/>
      <w:marTop w:val="0"/>
      <w:marBottom w:val="0"/>
      <w:divBdr>
        <w:top w:val="none" w:sz="0" w:space="0" w:color="auto"/>
        <w:left w:val="none" w:sz="0" w:space="0" w:color="auto"/>
        <w:bottom w:val="none" w:sz="0" w:space="0" w:color="auto"/>
        <w:right w:val="none" w:sz="0" w:space="0" w:color="auto"/>
      </w:divBdr>
    </w:div>
    <w:div w:id="1555659865">
      <w:bodyDiv w:val="1"/>
      <w:marLeft w:val="0"/>
      <w:marRight w:val="0"/>
      <w:marTop w:val="0"/>
      <w:marBottom w:val="0"/>
      <w:divBdr>
        <w:top w:val="none" w:sz="0" w:space="0" w:color="auto"/>
        <w:left w:val="none" w:sz="0" w:space="0" w:color="auto"/>
        <w:bottom w:val="none" w:sz="0" w:space="0" w:color="auto"/>
        <w:right w:val="none" w:sz="0" w:space="0" w:color="auto"/>
      </w:divBdr>
    </w:div>
    <w:div w:id="1560554850">
      <w:bodyDiv w:val="1"/>
      <w:marLeft w:val="0"/>
      <w:marRight w:val="0"/>
      <w:marTop w:val="0"/>
      <w:marBottom w:val="0"/>
      <w:divBdr>
        <w:top w:val="none" w:sz="0" w:space="0" w:color="auto"/>
        <w:left w:val="none" w:sz="0" w:space="0" w:color="auto"/>
        <w:bottom w:val="none" w:sz="0" w:space="0" w:color="auto"/>
        <w:right w:val="none" w:sz="0" w:space="0" w:color="auto"/>
      </w:divBdr>
    </w:div>
    <w:div w:id="1572160664">
      <w:bodyDiv w:val="1"/>
      <w:marLeft w:val="0"/>
      <w:marRight w:val="0"/>
      <w:marTop w:val="0"/>
      <w:marBottom w:val="0"/>
      <w:divBdr>
        <w:top w:val="none" w:sz="0" w:space="0" w:color="auto"/>
        <w:left w:val="none" w:sz="0" w:space="0" w:color="auto"/>
        <w:bottom w:val="none" w:sz="0" w:space="0" w:color="auto"/>
        <w:right w:val="none" w:sz="0" w:space="0" w:color="auto"/>
      </w:divBdr>
      <w:divsChild>
        <w:div w:id="1976448919">
          <w:marLeft w:val="0"/>
          <w:marRight w:val="0"/>
          <w:marTop w:val="0"/>
          <w:marBottom w:val="0"/>
          <w:divBdr>
            <w:top w:val="none" w:sz="0" w:space="0" w:color="auto"/>
            <w:left w:val="none" w:sz="0" w:space="0" w:color="auto"/>
            <w:bottom w:val="none" w:sz="0" w:space="0" w:color="auto"/>
            <w:right w:val="none" w:sz="0" w:space="0" w:color="auto"/>
          </w:divBdr>
        </w:div>
        <w:div w:id="1194660427">
          <w:marLeft w:val="0"/>
          <w:marRight w:val="0"/>
          <w:marTop w:val="0"/>
          <w:marBottom w:val="0"/>
          <w:divBdr>
            <w:top w:val="none" w:sz="0" w:space="0" w:color="auto"/>
            <w:left w:val="none" w:sz="0" w:space="0" w:color="auto"/>
            <w:bottom w:val="none" w:sz="0" w:space="0" w:color="auto"/>
            <w:right w:val="none" w:sz="0" w:space="0" w:color="auto"/>
          </w:divBdr>
        </w:div>
      </w:divsChild>
    </w:div>
    <w:div w:id="1600287611">
      <w:bodyDiv w:val="1"/>
      <w:marLeft w:val="0"/>
      <w:marRight w:val="0"/>
      <w:marTop w:val="0"/>
      <w:marBottom w:val="0"/>
      <w:divBdr>
        <w:top w:val="none" w:sz="0" w:space="0" w:color="auto"/>
        <w:left w:val="none" w:sz="0" w:space="0" w:color="auto"/>
        <w:bottom w:val="none" w:sz="0" w:space="0" w:color="auto"/>
        <w:right w:val="none" w:sz="0" w:space="0" w:color="auto"/>
      </w:divBdr>
    </w:div>
    <w:div w:id="1602569260">
      <w:bodyDiv w:val="1"/>
      <w:marLeft w:val="0"/>
      <w:marRight w:val="0"/>
      <w:marTop w:val="0"/>
      <w:marBottom w:val="0"/>
      <w:divBdr>
        <w:top w:val="none" w:sz="0" w:space="0" w:color="auto"/>
        <w:left w:val="none" w:sz="0" w:space="0" w:color="auto"/>
        <w:bottom w:val="none" w:sz="0" w:space="0" w:color="auto"/>
        <w:right w:val="none" w:sz="0" w:space="0" w:color="auto"/>
      </w:divBdr>
    </w:div>
    <w:div w:id="1614744202">
      <w:bodyDiv w:val="1"/>
      <w:marLeft w:val="0"/>
      <w:marRight w:val="0"/>
      <w:marTop w:val="0"/>
      <w:marBottom w:val="0"/>
      <w:divBdr>
        <w:top w:val="none" w:sz="0" w:space="0" w:color="auto"/>
        <w:left w:val="none" w:sz="0" w:space="0" w:color="auto"/>
        <w:bottom w:val="none" w:sz="0" w:space="0" w:color="auto"/>
        <w:right w:val="none" w:sz="0" w:space="0" w:color="auto"/>
      </w:divBdr>
    </w:div>
    <w:div w:id="1620142931">
      <w:bodyDiv w:val="1"/>
      <w:marLeft w:val="0"/>
      <w:marRight w:val="0"/>
      <w:marTop w:val="0"/>
      <w:marBottom w:val="0"/>
      <w:divBdr>
        <w:top w:val="none" w:sz="0" w:space="0" w:color="auto"/>
        <w:left w:val="none" w:sz="0" w:space="0" w:color="auto"/>
        <w:bottom w:val="none" w:sz="0" w:space="0" w:color="auto"/>
        <w:right w:val="none" w:sz="0" w:space="0" w:color="auto"/>
      </w:divBdr>
    </w:div>
    <w:div w:id="1628732184">
      <w:bodyDiv w:val="1"/>
      <w:marLeft w:val="0"/>
      <w:marRight w:val="0"/>
      <w:marTop w:val="0"/>
      <w:marBottom w:val="0"/>
      <w:divBdr>
        <w:top w:val="none" w:sz="0" w:space="0" w:color="auto"/>
        <w:left w:val="none" w:sz="0" w:space="0" w:color="auto"/>
        <w:bottom w:val="none" w:sz="0" w:space="0" w:color="auto"/>
        <w:right w:val="none" w:sz="0" w:space="0" w:color="auto"/>
      </w:divBdr>
    </w:div>
    <w:div w:id="1661693474">
      <w:bodyDiv w:val="1"/>
      <w:marLeft w:val="0"/>
      <w:marRight w:val="0"/>
      <w:marTop w:val="0"/>
      <w:marBottom w:val="0"/>
      <w:divBdr>
        <w:top w:val="none" w:sz="0" w:space="0" w:color="auto"/>
        <w:left w:val="none" w:sz="0" w:space="0" w:color="auto"/>
        <w:bottom w:val="none" w:sz="0" w:space="0" w:color="auto"/>
        <w:right w:val="none" w:sz="0" w:space="0" w:color="auto"/>
      </w:divBdr>
    </w:div>
    <w:div w:id="1713074685">
      <w:bodyDiv w:val="1"/>
      <w:marLeft w:val="0"/>
      <w:marRight w:val="0"/>
      <w:marTop w:val="0"/>
      <w:marBottom w:val="0"/>
      <w:divBdr>
        <w:top w:val="none" w:sz="0" w:space="0" w:color="auto"/>
        <w:left w:val="none" w:sz="0" w:space="0" w:color="auto"/>
        <w:bottom w:val="none" w:sz="0" w:space="0" w:color="auto"/>
        <w:right w:val="none" w:sz="0" w:space="0" w:color="auto"/>
      </w:divBdr>
    </w:div>
    <w:div w:id="1718236575">
      <w:bodyDiv w:val="1"/>
      <w:marLeft w:val="0"/>
      <w:marRight w:val="0"/>
      <w:marTop w:val="0"/>
      <w:marBottom w:val="0"/>
      <w:divBdr>
        <w:top w:val="none" w:sz="0" w:space="0" w:color="auto"/>
        <w:left w:val="none" w:sz="0" w:space="0" w:color="auto"/>
        <w:bottom w:val="none" w:sz="0" w:space="0" w:color="auto"/>
        <w:right w:val="none" w:sz="0" w:space="0" w:color="auto"/>
      </w:divBdr>
    </w:div>
    <w:div w:id="1778523004">
      <w:bodyDiv w:val="1"/>
      <w:marLeft w:val="0"/>
      <w:marRight w:val="0"/>
      <w:marTop w:val="0"/>
      <w:marBottom w:val="0"/>
      <w:divBdr>
        <w:top w:val="none" w:sz="0" w:space="0" w:color="auto"/>
        <w:left w:val="none" w:sz="0" w:space="0" w:color="auto"/>
        <w:bottom w:val="none" w:sz="0" w:space="0" w:color="auto"/>
        <w:right w:val="none" w:sz="0" w:space="0" w:color="auto"/>
      </w:divBdr>
    </w:div>
    <w:div w:id="1803768210">
      <w:bodyDiv w:val="1"/>
      <w:marLeft w:val="0"/>
      <w:marRight w:val="0"/>
      <w:marTop w:val="0"/>
      <w:marBottom w:val="0"/>
      <w:divBdr>
        <w:top w:val="none" w:sz="0" w:space="0" w:color="auto"/>
        <w:left w:val="none" w:sz="0" w:space="0" w:color="auto"/>
        <w:bottom w:val="none" w:sz="0" w:space="0" w:color="auto"/>
        <w:right w:val="none" w:sz="0" w:space="0" w:color="auto"/>
      </w:divBdr>
    </w:div>
    <w:div w:id="1915507114">
      <w:bodyDiv w:val="1"/>
      <w:marLeft w:val="0"/>
      <w:marRight w:val="0"/>
      <w:marTop w:val="0"/>
      <w:marBottom w:val="0"/>
      <w:divBdr>
        <w:top w:val="none" w:sz="0" w:space="0" w:color="auto"/>
        <w:left w:val="none" w:sz="0" w:space="0" w:color="auto"/>
        <w:bottom w:val="none" w:sz="0" w:space="0" w:color="auto"/>
        <w:right w:val="none" w:sz="0" w:space="0" w:color="auto"/>
      </w:divBdr>
    </w:div>
    <w:div w:id="1941138749">
      <w:bodyDiv w:val="1"/>
      <w:marLeft w:val="0"/>
      <w:marRight w:val="0"/>
      <w:marTop w:val="0"/>
      <w:marBottom w:val="0"/>
      <w:divBdr>
        <w:top w:val="none" w:sz="0" w:space="0" w:color="auto"/>
        <w:left w:val="none" w:sz="0" w:space="0" w:color="auto"/>
        <w:bottom w:val="none" w:sz="0" w:space="0" w:color="auto"/>
        <w:right w:val="none" w:sz="0" w:space="0" w:color="auto"/>
      </w:divBdr>
    </w:div>
    <w:div w:id="1944149287">
      <w:bodyDiv w:val="1"/>
      <w:marLeft w:val="0"/>
      <w:marRight w:val="0"/>
      <w:marTop w:val="0"/>
      <w:marBottom w:val="0"/>
      <w:divBdr>
        <w:top w:val="none" w:sz="0" w:space="0" w:color="auto"/>
        <w:left w:val="none" w:sz="0" w:space="0" w:color="auto"/>
        <w:bottom w:val="none" w:sz="0" w:space="0" w:color="auto"/>
        <w:right w:val="none" w:sz="0" w:space="0" w:color="auto"/>
      </w:divBdr>
    </w:div>
    <w:div w:id="1951817629">
      <w:bodyDiv w:val="1"/>
      <w:marLeft w:val="0"/>
      <w:marRight w:val="0"/>
      <w:marTop w:val="0"/>
      <w:marBottom w:val="0"/>
      <w:divBdr>
        <w:top w:val="none" w:sz="0" w:space="0" w:color="auto"/>
        <w:left w:val="none" w:sz="0" w:space="0" w:color="auto"/>
        <w:bottom w:val="none" w:sz="0" w:space="0" w:color="auto"/>
        <w:right w:val="none" w:sz="0" w:space="0" w:color="auto"/>
      </w:divBdr>
    </w:div>
    <w:div w:id="1973096142">
      <w:bodyDiv w:val="1"/>
      <w:marLeft w:val="0"/>
      <w:marRight w:val="0"/>
      <w:marTop w:val="0"/>
      <w:marBottom w:val="0"/>
      <w:divBdr>
        <w:top w:val="none" w:sz="0" w:space="0" w:color="auto"/>
        <w:left w:val="none" w:sz="0" w:space="0" w:color="auto"/>
        <w:bottom w:val="none" w:sz="0" w:space="0" w:color="auto"/>
        <w:right w:val="none" w:sz="0" w:space="0" w:color="auto"/>
      </w:divBdr>
    </w:div>
    <w:div w:id="1973292668">
      <w:bodyDiv w:val="1"/>
      <w:marLeft w:val="0"/>
      <w:marRight w:val="0"/>
      <w:marTop w:val="0"/>
      <w:marBottom w:val="0"/>
      <w:divBdr>
        <w:top w:val="none" w:sz="0" w:space="0" w:color="auto"/>
        <w:left w:val="none" w:sz="0" w:space="0" w:color="auto"/>
        <w:bottom w:val="none" w:sz="0" w:space="0" w:color="auto"/>
        <w:right w:val="none" w:sz="0" w:space="0" w:color="auto"/>
      </w:divBdr>
    </w:div>
    <w:div w:id="1976714702">
      <w:bodyDiv w:val="1"/>
      <w:marLeft w:val="0"/>
      <w:marRight w:val="0"/>
      <w:marTop w:val="0"/>
      <w:marBottom w:val="0"/>
      <w:divBdr>
        <w:top w:val="none" w:sz="0" w:space="0" w:color="auto"/>
        <w:left w:val="none" w:sz="0" w:space="0" w:color="auto"/>
        <w:bottom w:val="none" w:sz="0" w:space="0" w:color="auto"/>
        <w:right w:val="none" w:sz="0" w:space="0" w:color="auto"/>
      </w:divBdr>
    </w:div>
    <w:div w:id="2013025233">
      <w:bodyDiv w:val="1"/>
      <w:marLeft w:val="0"/>
      <w:marRight w:val="0"/>
      <w:marTop w:val="0"/>
      <w:marBottom w:val="0"/>
      <w:divBdr>
        <w:top w:val="none" w:sz="0" w:space="0" w:color="auto"/>
        <w:left w:val="none" w:sz="0" w:space="0" w:color="auto"/>
        <w:bottom w:val="none" w:sz="0" w:space="0" w:color="auto"/>
        <w:right w:val="none" w:sz="0" w:space="0" w:color="auto"/>
      </w:divBdr>
    </w:div>
    <w:div w:id="2053386523">
      <w:bodyDiv w:val="1"/>
      <w:marLeft w:val="0"/>
      <w:marRight w:val="0"/>
      <w:marTop w:val="0"/>
      <w:marBottom w:val="0"/>
      <w:divBdr>
        <w:top w:val="none" w:sz="0" w:space="0" w:color="auto"/>
        <w:left w:val="none" w:sz="0" w:space="0" w:color="auto"/>
        <w:bottom w:val="none" w:sz="0" w:space="0" w:color="auto"/>
        <w:right w:val="none" w:sz="0" w:space="0" w:color="auto"/>
      </w:divBdr>
    </w:div>
    <w:div w:id="2086994646">
      <w:bodyDiv w:val="1"/>
      <w:marLeft w:val="0"/>
      <w:marRight w:val="0"/>
      <w:marTop w:val="0"/>
      <w:marBottom w:val="0"/>
      <w:divBdr>
        <w:top w:val="none" w:sz="0" w:space="0" w:color="auto"/>
        <w:left w:val="none" w:sz="0" w:space="0" w:color="auto"/>
        <w:bottom w:val="none" w:sz="0" w:space="0" w:color="auto"/>
        <w:right w:val="none" w:sz="0" w:space="0" w:color="auto"/>
      </w:divBdr>
    </w:div>
    <w:div w:id="20998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file:///C:\Users\kFlouris\Desktop\2021\www.kh.hu" TargetMode="External"/><Relationship Id="rId26" Type="http://schemas.openxmlformats.org/officeDocument/2006/relationships/chart" Target="charts/chart7.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kFlouris\Desktop\2021\www.unicreditbank.hu" TargetMode="External"/><Relationship Id="rId34"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file:///C:\Users\kFlouris\Desktop\2021\www.raifeisen.hu" TargetMode="External"/><Relationship Id="rId25" Type="http://schemas.openxmlformats.org/officeDocument/2006/relationships/chart" Target="charts/chart6.xml"/><Relationship Id="rId33" Type="http://schemas.openxmlformats.org/officeDocument/2006/relationships/chart" Target="charts/chart13.xml"/><Relationship Id="rId38" Type="http://schemas.openxmlformats.org/officeDocument/2006/relationships/hyperlink" Target="http://ted.europa.eu" TargetMode="External"/><Relationship Id="rId2" Type="http://schemas.openxmlformats.org/officeDocument/2006/relationships/numbering" Target="numbering.xml"/><Relationship Id="rId16" Type="http://schemas.openxmlformats.org/officeDocument/2006/relationships/hyperlink" Target="http://www.mbhbank.hu" TargetMode="External"/><Relationship Id="rId20" Type="http://schemas.openxmlformats.org/officeDocument/2006/relationships/hyperlink" Target="file:///C:\Users\kFlouris\Desktop\2021\www.cib.hu" TargetMode="External"/><Relationship Id="rId29" Type="http://schemas.openxmlformats.org/officeDocument/2006/relationships/chart" Target="charts/chart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5.xml"/><Relationship Id="rId32" Type="http://schemas.openxmlformats.org/officeDocument/2006/relationships/chart" Target="charts/chart12.xml"/><Relationship Id="rId37" Type="http://schemas.openxmlformats.org/officeDocument/2006/relationships/hyperlink" Target="http://www.kozbeszerzes.h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kFlouris\Desktop\2021\www.otpbamk.hu" TargetMode="External"/><Relationship Id="rId23" Type="http://schemas.openxmlformats.org/officeDocument/2006/relationships/chart" Target="charts/chart4.xml"/><Relationship Id="rId28" Type="http://schemas.openxmlformats.org/officeDocument/2006/relationships/image" Target="media/image4.jpeg"/><Relationship Id="rId36" Type="http://schemas.openxmlformats.org/officeDocument/2006/relationships/chart" Target="charts/chart16.xml"/><Relationship Id="rId10" Type="http://schemas.openxmlformats.org/officeDocument/2006/relationships/image" Target="media/image3.png"/><Relationship Id="rId19" Type="http://schemas.openxmlformats.org/officeDocument/2006/relationships/hyperlink" Target="file:///C:\Users\kFlouris\Desktop\2021\www.erstebank.hu" TargetMode="External"/><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kFlouris\Desktop\2021\www.bankszovetseg.hu" TargetMode="External"/><Relationship Id="rId22" Type="http://schemas.openxmlformats.org/officeDocument/2006/relationships/hyperlink" Target="http://www.hu-go.hu" TargetMode="External"/><Relationship Id="rId27" Type="http://schemas.openxmlformats.org/officeDocument/2006/relationships/chart" Target="charts/chart8.xml"/><Relationship Id="rId30" Type="http://schemas.openxmlformats.org/officeDocument/2006/relationships/chart" Target="charts/chart10.xml"/><Relationship Id="rId35"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6;&#951;&#956;&#972;&#963;&#953;&#959;%20&#935;&#961;&#941;&#959;&#962;%20&#927;&#965;&#947;&#947;&#945;&#961;&#943;&#945;&#96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8;&#969;&#964;%20&#917;&#956;&#960;&#972;&#961;&#953;&#959;%20&#927;&#965;&#947;&#947;-&#917;&#955;&#955;&#940;&#948;&#945;&#962;%202008-202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5;&#955;&#951;&#957;&#953;&#954;&#941;&#962;%20&#917;&#958;&#945;&#947;&#969;&#947;&#941;&#962;%20&#917;&#955;&#945;&#953;&#959;&#955;&#940;&#948;&#959;&#965;%20&#954;&#945;&#953;%20&#949;&#955;&#945;&#943;&#969;&#957;%20&#963;&#964;&#951;&#957;%20&#927;&#965;&#947;&#947;&#945;&#961;&#943;&#945;%20(2012-2021).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3;&#963;&#945;&#947;&#969;&#947;&#941;&#962;%20&#927;&#965;&#947;&#947;&#945;&#961;&#943;&#945;&#962;%20-%20&#917;&#955;&#953;&#941;&#962;%20(2008-2021).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3;&#963;&#945;&#947;&#969;&#947;&#941;&#962;%20&#927;&#965;&#947;&#947;&#945;&#961;&#943;&#945;&#962;%20-%20&#917;&#955;&#953;&#941;&#962;%20(2008-2021).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8;&#969;&#964;%20&#917;&#956;&#960;%20&#927;&#965;&#947;&#947;-&#917;&#955;&#955;%20-%20&#934;&#945;&#961;&#956;%20&#928;&#961;&#959;&#970;&#959;&#957;&#964;&#945;%202008-2020.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5;&#955;&#951;&#957;%20&#917;&#958;&#945;&#947;&#969;&#947;&#941;&#962;%20&#960;&#961;&#959;&#953;&#972;&#957;&#964;&#969;&#957;%20&#945;&#955;&#959;&#965;&#956;&#953;&#957;&#943;&#959;&#965;%20&#963;&#949;%20&#927;&#965;&#947;&#947;%202008-2021.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5;&#955;&#951;&#957;%20&#917;&#958;&#945;&#947;&#969;&#947;&#941;&#962;%20&#931;.&#927;.85%202008-20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6;&#951;&#956;&#972;&#963;&#953;&#959;%20&#904;&#955;&#955;&#949;&#953;&#956;&#956;&#94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24;&#949;&#964;&#945;&#946;&#959;&#955;&#942;%20&#913;&#917;&#928;%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31;&#973;&#957;&#952;&#949;&#963;&#951;%20&#913;&#917;&#928;%202021%20&#945;&#957;&#945;%20&#964;&#959;&#956;&#941;&#945;%20&#959;&#953;&#954;&#959;&#957;&#959;&#956;&#943;&#945;&#96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31;&#973;&#957;&#952;&#949;&#963;&#951;%20&#914;&#953;&#959;&#956;&#951;&#967;&#945;&#957;&#953;&#954;&#959;&#973;%20&#932;&#959;&#956;&#941;&#945;%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8;&#945;&#947;&#969;&#947;&#941;&#962;-&#917;&#953;&#963;&#945;&#947;&#969;&#947;&#941;&#962;%20&#927;&#965;&#947;&#947;&#945;&#961;&#943;&#945;&#962;%20-&#954;&#945;&#964;&#945;&#957;&#959;&#956;&#942;%20&#945;&#957;&#940;%20&#959;&#956;&#940;&#948;&#949;&#962;%20&#960;&#961;&#959;&#970;&#972;&#957;&#964;&#969;&#957;%20202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8;&#945;&#947;&#969;&#947;&#941;&#962;-&#917;&#953;&#963;&#945;&#947;&#969;&#947;&#941;&#962;%20&#927;&#965;&#947;&#947;&#945;&#961;&#943;&#945;&#962;%20-&#954;&#945;&#964;&#945;&#957;&#959;&#956;&#942;%20&#945;&#957;&#940;%20&#959;&#956;&#940;&#948;&#949;&#962;%20&#960;&#961;&#959;&#970;&#972;&#957;&#964;&#969;&#957;%20202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8;&#969;&#964;&#949;&#961;&#953;&#954;&#972;%20&#917;&#956;&#960;&#972;&#961;&#953;&#959;%20&#927;&#965;&#947;&#947;&#945;&#961;&#943;&#945;&#962;%20&#945;&#957;&#945;%20&#959;&#956;&#940;&#948;&#949;&#962;%20&#967;&#969;&#961;&#974;&#957;%20202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0.0.0.12\Ecocom\&#913;&#929;&#935;&#917;&#921;&#927;%20&#915;&#929;&#913;&#934;&#917;&#921;&#927;&#933;\&#917;&#932;&#927;&#931;%202022\&#917;&#932;&#919;&#931;&#921;&#913;%20&#917;&#922;&#920;&#917;&#931;&#919;%20&#915;&#929;&#913;&#934;&#917;&#921;&#927;&#933;%20&#917;&#932;&#927;&#933;&#931;%202021\&#917;&#958;&#969;&#964;&#949;&#961;&#953;&#954;&#972;%20&#917;&#956;&#960;&#972;&#961;&#953;&#959;%20&#927;&#965;&#947;&#947;&#945;&#961;&#943;&#945;&#962;%202012-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1" i="0">
                <a:solidFill>
                  <a:srgbClr val="000000"/>
                </a:solidFill>
                <a:latin typeface="Arial Narrow"/>
              </a:defRPr>
            </a:pPr>
            <a:r>
              <a:rPr lang="el-GR" sz="900" b="1" i="0">
                <a:solidFill>
                  <a:srgbClr val="000000"/>
                </a:solidFill>
                <a:latin typeface="Arial Narrow"/>
              </a:rPr>
              <a:t>Δημόσιο</a:t>
            </a:r>
            <a:r>
              <a:rPr lang="el-GR" sz="900" b="1" i="0" baseline="0">
                <a:solidFill>
                  <a:srgbClr val="000000"/>
                </a:solidFill>
                <a:latin typeface="Arial Narrow"/>
              </a:rPr>
              <a:t> Χρέος</a:t>
            </a:r>
            <a:endParaRPr lang="en-GB" sz="900" b="1" i="0">
              <a:solidFill>
                <a:srgbClr val="000000"/>
              </a:solidFill>
              <a:latin typeface="Arial Narrow"/>
            </a:endParaRPr>
          </a:p>
        </c:rich>
      </c:tx>
    </c:title>
    <c:plotArea>
      <c:layout>
        <c:manualLayout>
          <c:layoutTarget val="inner"/>
          <c:xMode val="edge"/>
          <c:yMode val="edge"/>
          <c:x val="2.5462962962962975E-2"/>
          <c:y val="9.5643099399947848E-2"/>
          <c:w val="0.96438192621755614"/>
          <c:h val="0.81254008393745958"/>
        </c:manualLayout>
      </c:layout>
      <c:lineChart>
        <c:grouping val="standard"/>
        <c:ser>
          <c:idx val="0"/>
          <c:order val="0"/>
          <c:spPr>
            <a:ln w="19050" cap="rnd" cmpd="sng" algn="ctr">
              <a:solidFill>
                <a:srgbClr val="037BC1"/>
              </a:solidFill>
              <a:prstDash val="solid"/>
              <a:round/>
            </a:ln>
            <a:effectLst/>
          </c:spPr>
          <c:marker>
            <c:symbol val="none"/>
          </c:marker>
          <c:dLbls>
            <c:dLbl>
              <c:idx val="3"/>
              <c:layout>
                <c:manualLayout>
                  <c:x val="0"/>
                  <c:y val="1.783723522853958E-2"/>
                </c:manualLayout>
              </c:layout>
              <c:showVal val="1"/>
            </c:dLbl>
            <c:dLbl>
              <c:idx val="4"/>
              <c:layout>
                <c:manualLayout>
                  <c:x val="9.8911968348170311E-3"/>
                  <c:y val="1.783723522853958E-2"/>
                </c:manualLayout>
              </c:layout>
              <c:showVal val="1"/>
            </c:dLbl>
            <c:dLbl>
              <c:idx val="5"/>
              <c:layout>
                <c:manualLayout>
                  <c:x val="9.8911968348170311E-3"/>
                  <c:y val="4.4593088071349816E-3"/>
                </c:manualLayout>
              </c:layout>
              <c:showVal val="1"/>
            </c:dLbl>
            <c:dLbl>
              <c:idx val="6"/>
              <c:layout>
                <c:manualLayout>
                  <c:x val="5.934718100890253E-3"/>
                  <c:y val="4.0133779264214048E-2"/>
                </c:manualLayout>
              </c:layout>
              <c:showVal val="1"/>
            </c:dLbl>
            <c:dLbl>
              <c:idx val="7"/>
              <c:layout>
                <c:manualLayout>
                  <c:x val="-1.9782393669634055E-3"/>
                  <c:y val="-1.3377926421404668E-2"/>
                </c:manualLayout>
              </c:layout>
              <c:showVal val="1"/>
            </c:dLbl>
            <c:dLbl>
              <c:idx val="10"/>
              <c:layout>
                <c:manualLayout>
                  <c:x val="-1.7804154302670641E-2"/>
                  <c:y val="-4.0133779264214089E-2"/>
                </c:manualLayout>
              </c:layout>
              <c:showVal val="1"/>
            </c:dLbl>
            <c:dLbl>
              <c:idx val="11"/>
              <c:layout>
                <c:manualLayout>
                  <c:x val="-9.8911968348170311E-3"/>
                  <c:y val="-4.0133779264214006E-2"/>
                </c:manualLayout>
              </c:layout>
              <c:showVal val="1"/>
            </c:dLbl>
            <c:dLbl>
              <c:idx val="12"/>
              <c:layout>
                <c:manualLayout>
                  <c:x val="-1.3847675568743759E-2"/>
                  <c:y val="-2.6755852842809399E-2"/>
                </c:manualLayout>
              </c:layout>
              <c:showVal val="1"/>
            </c:dLbl>
            <c:dLbl>
              <c:idx val="13"/>
              <c:layout>
                <c:manualLayout>
                  <c:x val="0"/>
                  <c:y val="-4.0133779264214048E-2"/>
                </c:manualLayout>
              </c:layout>
              <c:showVal val="1"/>
            </c:dLbl>
            <c:dLbl>
              <c:idx val="14"/>
              <c:layout>
                <c:manualLayout>
                  <c:x val="1.9782393669634055E-3"/>
                  <c:y val="-4.9052396878483909E-2"/>
                </c:manualLayout>
              </c:layout>
              <c:showVal val="1"/>
            </c:dLbl>
            <c:dLbl>
              <c:idx val="15"/>
              <c:layout>
                <c:manualLayout>
                  <c:x val="3.956478733926805E-3"/>
                  <c:y val="-3.5674470457079221E-2"/>
                </c:manualLayout>
              </c:layout>
              <c:showVal val="1"/>
            </c:dLbl>
            <c:dLbl>
              <c:idx val="16"/>
              <c:layout>
                <c:manualLayout>
                  <c:x val="7.9129574678536204E-3"/>
                  <c:y val="-3.1215161649944295E-2"/>
                </c:manualLayout>
              </c:layout>
              <c:showVal val="1"/>
            </c:dLbl>
            <c:dLbl>
              <c:idx val="17"/>
              <c:layout>
                <c:manualLayout>
                  <c:x val="9.8911968348170311E-3"/>
                  <c:y val="-8.9186176142698071E-3"/>
                </c:manualLayout>
              </c:layout>
              <c:showVal val="1"/>
            </c:dLbl>
            <c:dLbl>
              <c:idx val="18"/>
              <c:layout>
                <c:manualLayout>
                  <c:x val="-9.8911968348170311E-3"/>
                  <c:y val="0"/>
                </c:manualLayout>
              </c:layout>
              <c:showVal val="1"/>
            </c:dLbl>
            <c:dLbl>
              <c:idx val="19"/>
              <c:layout>
                <c:manualLayout>
                  <c:x val="-3.1651829871414482E-2"/>
                  <c:y val="4.9052396878483985E-2"/>
                </c:manualLayout>
              </c:layout>
              <c:showVal val="1"/>
            </c:dLbl>
            <c:dLbl>
              <c:idx val="20"/>
              <c:layout>
                <c:manualLayout>
                  <c:x val="-3.1651829871414482E-2"/>
                  <c:y val="-4.4593088071349006E-2"/>
                </c:manualLayout>
              </c:layout>
              <c:showVal val="1"/>
            </c:dLbl>
            <c:dLbl>
              <c:idx val="21"/>
              <c:layout>
                <c:manualLayout>
                  <c:x val="-2.9673590504451078E-2"/>
                  <c:y val="4.0133779264214048E-2"/>
                </c:manualLayout>
              </c:layout>
              <c:showVal val="1"/>
            </c:dLbl>
            <c:showVal val="1"/>
          </c:dLbls>
          <c:cat>
            <c:numRef>
              <c:f>Fig4_E!$E$48:$E$70</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Fig4_E!$F$48:$F$70</c:f>
              <c:numCache>
                <c:formatCode>0.0</c:formatCode>
                <c:ptCount val="23"/>
                <c:pt idx="0">
                  <c:v>54.91282020280677</c:v>
                </c:pt>
                <c:pt idx="1">
                  <c:v>51.361691542866822</c:v>
                </c:pt>
                <c:pt idx="2">
                  <c:v>54.592633979799267</c:v>
                </c:pt>
                <c:pt idx="3">
                  <c:v>57.257265487360478</c:v>
                </c:pt>
                <c:pt idx="4">
                  <c:v>58.452537952092705</c:v>
                </c:pt>
                <c:pt idx="5">
                  <c:v>60.372863088139056</c:v>
                </c:pt>
                <c:pt idx="6">
                  <c:v>64.231437655934215</c:v>
                </c:pt>
                <c:pt idx="7">
                  <c:v>65.131516273652878</c:v>
                </c:pt>
                <c:pt idx="8">
                  <c:v>71.468477997689916</c:v>
                </c:pt>
                <c:pt idx="9">
                  <c:v>77.547029463490986</c:v>
                </c:pt>
                <c:pt idx="10">
                  <c:v>80.223197402915886</c:v>
                </c:pt>
                <c:pt idx="11">
                  <c:v>80.383804497156348</c:v>
                </c:pt>
                <c:pt idx="12">
                  <c:v>77.978428962626865</c:v>
                </c:pt>
                <c:pt idx="13">
                  <c:v>76.195999679845499</c:v>
                </c:pt>
                <c:pt idx="14">
                  <c:v>75.724938044176312</c:v>
                </c:pt>
                <c:pt idx="15">
                  <c:v>75.073405330239439</c:v>
                </c:pt>
                <c:pt idx="16">
                  <c:v>73.900000000000006</c:v>
                </c:pt>
                <c:pt idx="17">
                  <c:v>73.3</c:v>
                </c:pt>
                <c:pt idx="18">
                  <c:v>70.2</c:v>
                </c:pt>
                <c:pt idx="19">
                  <c:v>66.3</c:v>
                </c:pt>
                <c:pt idx="20">
                  <c:v>80</c:v>
                </c:pt>
                <c:pt idx="21">
                  <c:v>76.8</c:v>
                </c:pt>
                <c:pt idx="22">
                  <c:v>76.400000000000006</c:v>
                </c:pt>
              </c:numCache>
            </c:numRef>
          </c:val>
        </c:ser>
        <c:dLbls>
          <c:showVal val="1"/>
        </c:dLbls>
        <c:marker val="1"/>
        <c:axId val="120738176"/>
        <c:axId val="120739712"/>
      </c:lineChart>
      <c:catAx>
        <c:axId val="120738176"/>
        <c:scaling>
          <c:orientation val="minMax"/>
        </c:scaling>
        <c:axPos val="b"/>
        <c:numFmt formatCode="General" sourceLinked="0"/>
        <c:majorTickMark val="none"/>
        <c:tickLblPos val="low"/>
        <c:spPr>
          <a:noFill/>
          <a:ln w="9525">
            <a:solidFill>
              <a:srgbClr val="000000"/>
            </a:solidFill>
            <a:prstDash val="solid"/>
          </a:ln>
          <a:extLst>
            <a:ext uri="{909E8E84-426E-40DD-AFC4-6F175D3DCCD1}">
              <a14:hiddenFill xmlns:r="http://schemas.openxmlformats.org/officeDocument/2006/relationships" xmlns="" xmlns:a14="http://schemas.microsoft.com/office/drawing/2010/main">
                <a:noFill/>
              </a14:hiddenFill>
            </a:ext>
          </a:extLst>
        </c:spPr>
        <c:txPr>
          <a:bodyPr rot="-60000000" vert="horz"/>
          <a:lstStyle/>
          <a:p>
            <a:pPr>
              <a:defRPr sz="800" b="0" i="0">
                <a:solidFill>
                  <a:srgbClr val="000000"/>
                </a:solidFill>
                <a:latin typeface="Arial Narrow"/>
                <a:ea typeface="Arial Narrow"/>
                <a:cs typeface="Arial Narrow"/>
              </a:defRPr>
            </a:pPr>
            <a:endParaRPr lang="en-US"/>
          </a:p>
        </c:txPr>
        <c:crossAx val="120739712"/>
        <c:crosses val="autoZero"/>
        <c:auto val="1"/>
        <c:lblAlgn val="ctr"/>
        <c:lblOffset val="0"/>
        <c:tickLblSkip val="1"/>
      </c:catAx>
      <c:valAx>
        <c:axId val="120739712"/>
        <c:scaling>
          <c:orientation val="minMax"/>
          <c:max val="90"/>
          <c:min val="50"/>
        </c:scaling>
        <c:delete val="1"/>
        <c:axPos val="l"/>
        <c:numFmt formatCode="General" sourceLinked="0"/>
        <c:majorTickMark val="none"/>
        <c:tickLblPos val="none"/>
        <c:crossAx val="120738176"/>
        <c:crosses val="autoZero"/>
        <c:crossBetween val="between"/>
        <c:majorUnit val="10"/>
      </c:valAx>
      <c:spPr>
        <a:solidFill>
          <a:srgbClr val="FFFFFF"/>
        </a:solidFill>
        <a:ln w="25400">
          <a:noFill/>
        </a:ln>
      </c:spPr>
    </c:plotArea>
    <c:plotVisOnly val="1"/>
    <c:dispBlanksAs val="gap"/>
    <c:showDLblsOverMax val="1"/>
  </c:chart>
  <c:spPr>
    <a:noFill/>
    <a:ln w="9525">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Calibri"/>
                <a:ea typeface="Calibri"/>
                <a:cs typeface="Calibri"/>
              </a:defRPr>
            </a:pPr>
            <a:r>
              <a:rPr lang="el-GR"/>
              <a:t>Εξωτερικό Εμπόριο Ελλάδος-Ουγγαρίας 20</a:t>
            </a:r>
            <a:r>
              <a:rPr lang="hu-HU"/>
              <a:t>10</a:t>
            </a:r>
            <a:r>
              <a:rPr lang="el-GR"/>
              <a:t>-202</a:t>
            </a:r>
            <a:r>
              <a:rPr lang="hu-HU"/>
              <a:t>2</a:t>
            </a:r>
            <a:endParaRPr lang="el-GR"/>
          </a:p>
        </c:rich>
      </c:tx>
    </c:title>
    <c:plotArea>
      <c:layout>
        <c:manualLayout>
          <c:layoutTarget val="inner"/>
          <c:xMode val="edge"/>
          <c:yMode val="edge"/>
          <c:x val="0.11380152005708052"/>
          <c:y val="0.17777787422844737"/>
          <c:w val="0.61743377903309615"/>
          <c:h val="0.74444484833162361"/>
        </c:manualLayout>
      </c:layout>
      <c:barChart>
        <c:barDir val="col"/>
        <c:grouping val="clustered"/>
        <c:ser>
          <c:idx val="2"/>
          <c:order val="0"/>
          <c:tx>
            <c:strRef>
              <c:f>KA0110!$B$10</c:f>
              <c:strCache>
                <c:ptCount val="1"/>
                <c:pt idx="0">
                  <c:v>Εξαγωγές στην Ουγγαρία</c:v>
                </c:pt>
              </c:strCache>
            </c:strRef>
          </c:tx>
          <c:cat>
            <c:numRef>
              <c:f>KA0110!$D$9:$P$9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KA0110!$D$10:$P$10</c:f>
              <c:numCache>
                <c:formatCode>General</c:formatCode>
                <c:ptCount val="13"/>
                <c:pt idx="0">
                  <c:v>80114039</c:v>
                </c:pt>
                <c:pt idx="1">
                  <c:v>91574063</c:v>
                </c:pt>
                <c:pt idx="2">
                  <c:v>68041548</c:v>
                </c:pt>
                <c:pt idx="3">
                  <c:v>69324432</c:v>
                </c:pt>
                <c:pt idx="4">
                  <c:v>76954234</c:v>
                </c:pt>
                <c:pt idx="5">
                  <c:v>84058053</c:v>
                </c:pt>
                <c:pt idx="6">
                  <c:v>92562230</c:v>
                </c:pt>
                <c:pt idx="7">
                  <c:v>109087341</c:v>
                </c:pt>
                <c:pt idx="8" formatCode="#,##0">
                  <c:v>116286424</c:v>
                </c:pt>
                <c:pt idx="9" formatCode="#,##0">
                  <c:v>119343421</c:v>
                </c:pt>
                <c:pt idx="10">
                  <c:v>142640785</c:v>
                </c:pt>
                <c:pt idx="11">
                  <c:v>185616901</c:v>
                </c:pt>
                <c:pt idx="12">
                  <c:v>215767830</c:v>
                </c:pt>
              </c:numCache>
            </c:numRef>
          </c:val>
        </c:ser>
        <c:ser>
          <c:idx val="3"/>
          <c:order val="1"/>
          <c:tx>
            <c:strRef>
              <c:f>KA0110!$B$11</c:f>
              <c:strCache>
                <c:ptCount val="1"/>
                <c:pt idx="0">
                  <c:v>Εισαγωγές από Ουγγαρία</c:v>
                </c:pt>
              </c:strCache>
            </c:strRef>
          </c:tx>
          <c:cat>
            <c:numRef>
              <c:f>KA0110!$D$12:$P$12</c:f>
              <c:numCache>
                <c:formatCode>General</c:formatCode>
                <c:ptCount val="13"/>
                <c:pt idx="0">
                  <c:v>-225092674</c:v>
                </c:pt>
                <c:pt idx="1">
                  <c:v>-197305838</c:v>
                </c:pt>
                <c:pt idx="2">
                  <c:v>-195653636</c:v>
                </c:pt>
                <c:pt idx="3">
                  <c:v>-222001054</c:v>
                </c:pt>
                <c:pt idx="4">
                  <c:v>-228343126</c:v>
                </c:pt>
                <c:pt idx="5">
                  <c:v>-280314060</c:v>
                </c:pt>
                <c:pt idx="6">
                  <c:v>-271636724</c:v>
                </c:pt>
                <c:pt idx="7">
                  <c:v>-273191879</c:v>
                </c:pt>
                <c:pt idx="8" formatCode="#,##0">
                  <c:v>-332495032</c:v>
                </c:pt>
                <c:pt idx="9" formatCode="#,##0">
                  <c:v>-387147561</c:v>
                </c:pt>
                <c:pt idx="10">
                  <c:v>-330197906</c:v>
                </c:pt>
                <c:pt idx="11">
                  <c:v>-508866044</c:v>
                </c:pt>
                <c:pt idx="12" formatCode="#,##0">
                  <c:v>-387147561</c:v>
                </c:pt>
              </c:numCache>
            </c:numRef>
          </c:cat>
          <c:val>
            <c:numRef>
              <c:f>KA0110!$D$11:$P$11</c:f>
              <c:numCache>
                <c:formatCode>General</c:formatCode>
                <c:ptCount val="13"/>
                <c:pt idx="0">
                  <c:v>305206713</c:v>
                </c:pt>
                <c:pt idx="1">
                  <c:v>288879901</c:v>
                </c:pt>
                <c:pt idx="2">
                  <c:v>263695184</c:v>
                </c:pt>
                <c:pt idx="3">
                  <c:v>291325486</c:v>
                </c:pt>
                <c:pt idx="4">
                  <c:v>305297360</c:v>
                </c:pt>
                <c:pt idx="5">
                  <c:v>364372113</c:v>
                </c:pt>
                <c:pt idx="6">
                  <c:v>361222628</c:v>
                </c:pt>
                <c:pt idx="7">
                  <c:v>382279220</c:v>
                </c:pt>
                <c:pt idx="8" formatCode="#,##0">
                  <c:v>448781456</c:v>
                </c:pt>
                <c:pt idx="9" formatCode="#,##0">
                  <c:v>506490982</c:v>
                </c:pt>
                <c:pt idx="10">
                  <c:v>472838691</c:v>
                </c:pt>
                <c:pt idx="11">
                  <c:v>559469997</c:v>
                </c:pt>
                <c:pt idx="12">
                  <c:v>724633874</c:v>
                </c:pt>
              </c:numCache>
            </c:numRef>
          </c:val>
        </c:ser>
        <c:ser>
          <c:idx val="4"/>
          <c:order val="2"/>
          <c:tx>
            <c:strRef>
              <c:f>KA0110!$B$12</c:f>
              <c:strCache>
                <c:ptCount val="1"/>
                <c:pt idx="0">
                  <c:v>Ισοζύγιο</c:v>
                </c:pt>
              </c:strCache>
            </c:strRef>
          </c:tx>
          <c:cat>
            <c:numRef>
              <c:f>KA0110!$C$9:$O$9</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KA0110!$C$12:$O$12</c:f>
              <c:numCache>
                <c:formatCode>General</c:formatCode>
                <c:ptCount val="13"/>
                <c:pt idx="0">
                  <c:v>-268657970</c:v>
                </c:pt>
                <c:pt idx="1">
                  <c:v>-225092674</c:v>
                </c:pt>
                <c:pt idx="2">
                  <c:v>-197305838</c:v>
                </c:pt>
                <c:pt idx="3">
                  <c:v>-195653636</c:v>
                </c:pt>
                <c:pt idx="4">
                  <c:v>-222001054</c:v>
                </c:pt>
                <c:pt idx="5">
                  <c:v>-228343126</c:v>
                </c:pt>
                <c:pt idx="6">
                  <c:v>-280314060</c:v>
                </c:pt>
                <c:pt idx="7">
                  <c:v>-271636724</c:v>
                </c:pt>
                <c:pt idx="8">
                  <c:v>-273191879</c:v>
                </c:pt>
                <c:pt idx="9" formatCode="#,##0">
                  <c:v>-332495032</c:v>
                </c:pt>
                <c:pt idx="10" formatCode="#,##0">
                  <c:v>-387147561</c:v>
                </c:pt>
                <c:pt idx="11">
                  <c:v>-330197906</c:v>
                </c:pt>
                <c:pt idx="12">
                  <c:v>-508866044</c:v>
                </c:pt>
              </c:numCache>
            </c:numRef>
          </c:val>
        </c:ser>
        <c:ser>
          <c:idx val="0"/>
          <c:order val="3"/>
          <c:tx>
            <c:v>Ισοζύγιο</c:v>
          </c:tx>
          <c:val>
            <c:numLit>
              <c:formatCode>General</c:formatCode>
              <c:ptCount val="1"/>
              <c:pt idx="0">
                <c:v>1</c:v>
              </c:pt>
            </c:numLit>
          </c:val>
        </c:ser>
        <c:axId val="121198080"/>
        <c:axId val="121199616"/>
      </c:barChart>
      <c:catAx>
        <c:axId val="121198080"/>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199616"/>
        <c:crosses val="autoZero"/>
        <c:auto val="1"/>
        <c:lblAlgn val="ctr"/>
        <c:lblOffset val="100"/>
      </c:catAx>
      <c:valAx>
        <c:axId val="121199616"/>
        <c:scaling>
          <c:orientation val="minMax"/>
        </c:scaling>
        <c:axPos val="l"/>
        <c:majorGridlines/>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198080"/>
        <c:crosses val="autoZero"/>
        <c:crossBetween val="between"/>
        <c:dispUnits>
          <c:builtInUnit val="millions"/>
          <c:dispUnitsLbl>
            <c:layout>
              <c:manualLayout>
                <c:xMode val="edge"/>
                <c:yMode val="edge"/>
                <c:x val="2.2845275181724068E-2"/>
                <c:y val="0.46648474975110882"/>
              </c:manualLayout>
            </c:layout>
            <c:tx>
              <c:rich>
                <a:bodyPr rot="-5400000" vert="horz"/>
                <a:lstStyle/>
                <a:p>
                  <a:pPr algn="ctr">
                    <a:defRPr sz="1000" b="1" i="0" u="none" strike="noStrike" baseline="0">
                      <a:solidFill>
                        <a:srgbClr val="000000"/>
                      </a:solidFill>
                      <a:latin typeface="Calibri"/>
                      <a:ea typeface="Calibri"/>
                      <a:cs typeface="Calibri"/>
                    </a:defRPr>
                  </a:pPr>
                  <a:r>
                    <a:rPr lang="el-GR"/>
                    <a:t>σε εκ. €</a:t>
                  </a:r>
                </a:p>
              </c:rich>
            </c:tx>
          </c:dispUnitsLbl>
        </c:dispUnits>
      </c:valAx>
    </c:plotArea>
    <c:legend>
      <c:legendPos val="r"/>
      <c:legendEntry>
        <c:idx val="2"/>
        <c:delete val="1"/>
      </c:legendEntry>
      <c:layout>
        <c:manualLayout>
          <c:xMode val="edge"/>
          <c:yMode val="edge"/>
          <c:x val="0.74299179892233103"/>
          <c:y val="0.43804034582132567"/>
          <c:w val="0.25077914326129774"/>
          <c:h val="0.20749279538904924"/>
        </c:manualLayout>
      </c:layout>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Calibri"/>
                <a:ea typeface="Calibri"/>
                <a:cs typeface="Calibri"/>
              </a:defRPr>
            </a:pPr>
            <a:r>
              <a:rPr lang="el-GR" sz="1000"/>
              <a:t>Ελληνικές</a:t>
            </a:r>
            <a:r>
              <a:rPr lang="el-GR" sz="1000" baseline="0"/>
              <a:t> ε</a:t>
            </a:r>
            <a:r>
              <a:rPr lang="el-GR" sz="1000"/>
              <a:t>ξαγωγές ελαιολάδου και φοινικέλαιου</a:t>
            </a:r>
            <a:r>
              <a:rPr lang="el-GR" sz="1000" baseline="0"/>
              <a:t> </a:t>
            </a:r>
            <a:r>
              <a:rPr lang="el-GR" sz="1000"/>
              <a:t>στην Ουγγαρία 2017-2022 (σε €)</a:t>
            </a:r>
          </a:p>
        </c:rich>
      </c:tx>
    </c:title>
    <c:plotArea>
      <c:layout>
        <c:manualLayout>
          <c:layoutTarget val="inner"/>
          <c:xMode val="edge"/>
          <c:yMode val="edge"/>
          <c:x val="0.11106459609215515"/>
          <c:y val="0.12468529669085482"/>
          <c:w val="0.77880050273842882"/>
          <c:h val="0.78513972518141117"/>
        </c:manualLayout>
      </c:layout>
      <c:barChart>
        <c:barDir val="col"/>
        <c:grouping val="clustered"/>
        <c:ser>
          <c:idx val="0"/>
          <c:order val="0"/>
          <c:dLbls>
            <c:dLbl>
              <c:idx val="0"/>
              <c:layout>
                <c:manualLayout>
                  <c:x val="1.5384615384615436E-2"/>
                  <c:y val="-3.384094754653144E-3"/>
                </c:manualLayout>
              </c:layout>
              <c:showVal val="1"/>
            </c:dLbl>
            <c:dLbl>
              <c:idx val="1"/>
              <c:layout>
                <c:manualLayout>
                  <c:x val="3.4188034188034192E-3"/>
                  <c:y val="1.6920473773265748E-2"/>
                </c:manualLayout>
              </c:layout>
              <c:showVal val="1"/>
            </c:dLbl>
            <c:dLbl>
              <c:idx val="3"/>
              <c:layout>
                <c:manualLayout>
                  <c:x val="6.8376068376068393E-3"/>
                  <c:y val="1.3536379018612609E-2"/>
                </c:manualLayout>
              </c:layout>
              <c:spPr/>
              <c:txPr>
                <a:bodyPr/>
                <a:lstStyle/>
                <a:p>
                  <a:pPr>
                    <a:defRPr/>
                  </a:pPr>
                  <a:endParaRPr lang="en-US"/>
                </a:p>
              </c:txPr>
              <c:dLblPos val="outEnd"/>
              <c:showVal val="1"/>
            </c:dLbl>
            <c:dLbl>
              <c:idx val="4"/>
              <c:layout>
                <c:manualLayout>
                  <c:x val="5.4346860488592814E-3"/>
                  <c:y val="1.0152284263959395E-2"/>
                </c:manualLayout>
              </c:layout>
              <c:spPr/>
              <c:txPr>
                <a:bodyPr/>
                <a:lstStyle/>
                <a:p>
                  <a:pPr>
                    <a:defRPr/>
                  </a:pPr>
                  <a:endParaRPr lang="en-US"/>
                </a:p>
              </c:txPr>
              <c:dLblPos val="outEnd"/>
              <c:showVal val="1"/>
            </c:dLbl>
            <c:dLbl>
              <c:idx val="5"/>
              <c:layout>
                <c:manualLayout>
                  <c:x val="-3.0258429234807167E-2"/>
                  <c:y val="-1.0152284263959395E-2"/>
                </c:manualLayout>
              </c:layout>
              <c:spPr/>
              <c:txPr>
                <a:bodyPr/>
                <a:lstStyle/>
                <a:p>
                  <a:pPr>
                    <a:defRPr/>
                  </a:pPr>
                  <a:endParaRPr lang="en-US"/>
                </a:p>
              </c:txPr>
              <c:dLblPos val="outEnd"/>
              <c:showVal val="1"/>
            </c:dLbl>
            <c:showVal val="1"/>
          </c:dLbls>
          <c:cat>
            <c:numRef>
              <c:f>'KA0110'!$K$38:$S$38</c:f>
              <c:numCache>
                <c:formatCode>General</c:formatCode>
                <c:ptCount val="9"/>
                <c:pt idx="0">
                  <c:v>2017</c:v>
                </c:pt>
                <c:pt idx="1">
                  <c:v>2018</c:v>
                </c:pt>
                <c:pt idx="2">
                  <c:v>2019</c:v>
                </c:pt>
                <c:pt idx="3">
                  <c:v>2020</c:v>
                </c:pt>
                <c:pt idx="4">
                  <c:v>2021</c:v>
                </c:pt>
                <c:pt idx="5">
                  <c:v>2022</c:v>
                </c:pt>
              </c:numCache>
            </c:numRef>
          </c:cat>
          <c:val>
            <c:numRef>
              <c:f>'KA0110'!$K$39:$S$39</c:f>
              <c:numCache>
                <c:formatCode>#,##0</c:formatCode>
                <c:ptCount val="9"/>
                <c:pt idx="0">
                  <c:v>175350</c:v>
                </c:pt>
                <c:pt idx="1">
                  <c:v>266839</c:v>
                </c:pt>
                <c:pt idx="2" formatCode="_(* #,##0_);_(* \(#,##0\);_(* &quot;-&quot;??_);_(@_)">
                  <c:v>200206</c:v>
                </c:pt>
                <c:pt idx="3" formatCode="_(* #,##0_);_(* \(#,##0\);_(* &quot;-&quot;??_);_(@_)">
                  <c:v>238830</c:v>
                </c:pt>
                <c:pt idx="4">
                  <c:v>506262</c:v>
                </c:pt>
                <c:pt idx="5">
                  <c:v>970620</c:v>
                </c:pt>
              </c:numCache>
            </c:numRef>
          </c:val>
        </c:ser>
        <c:ser>
          <c:idx val="1"/>
          <c:order val="1"/>
          <c:dLbls>
            <c:dLbl>
              <c:idx val="3"/>
              <c:delete val="1"/>
            </c:dLbl>
            <c:dLbl>
              <c:idx val="4"/>
              <c:delete val="1"/>
            </c:dLbl>
            <c:dLbl>
              <c:idx val="5"/>
              <c:layout>
                <c:manualLayout>
                  <c:x val="-1.7645871189178385E-4"/>
                  <c:y val="1.3536379018612609E-2"/>
                </c:manualLayout>
              </c:layout>
              <c:spPr/>
              <c:txPr>
                <a:bodyPr/>
                <a:lstStyle/>
                <a:p>
                  <a:pPr>
                    <a:defRPr/>
                  </a:pPr>
                  <a:endParaRPr lang="en-US"/>
                </a:p>
              </c:txPr>
              <c:dLblPos val="outEnd"/>
              <c:showVal val="1"/>
            </c:dLbl>
            <c:dLbl>
              <c:idx val="6"/>
              <c:layout>
                <c:manualLayout>
                  <c:x val="2.1739130434782612E-2"/>
                  <c:y val="1.3536379018612609E-2"/>
                </c:manualLayout>
              </c:layout>
              <c:spPr/>
              <c:txPr>
                <a:bodyPr/>
                <a:lstStyle/>
                <a:p>
                  <a:pPr>
                    <a:defRPr/>
                  </a:pPr>
                  <a:endParaRPr lang="en-US"/>
                </a:p>
              </c:txPr>
              <c:dLblPos val="outEnd"/>
              <c:showVal val="1"/>
            </c:dLbl>
            <c:dLbl>
              <c:idx val="7"/>
              <c:layout>
                <c:manualLayout>
                  <c:x val="2.5362318840579802E-2"/>
                  <c:y val="-3.384094754653144E-3"/>
                </c:manualLayout>
              </c:layout>
              <c:spPr/>
              <c:txPr>
                <a:bodyPr/>
                <a:lstStyle/>
                <a:p>
                  <a:pPr>
                    <a:defRPr/>
                  </a:pPr>
                  <a:endParaRPr lang="en-US"/>
                </a:p>
              </c:txPr>
              <c:dLblPos val="outEnd"/>
              <c:showVal val="1"/>
            </c:dLbl>
            <c:dLbl>
              <c:idx val="8"/>
              <c:layout>
                <c:manualLayout>
                  <c:x val="4.1666666666666664E-2"/>
                  <c:y val="0"/>
                </c:manualLayout>
              </c:layout>
              <c:spPr/>
              <c:txPr>
                <a:bodyPr/>
                <a:lstStyle/>
                <a:p>
                  <a:pPr>
                    <a:defRPr/>
                  </a:pPr>
                  <a:endParaRPr lang="en-US"/>
                </a:p>
              </c:txPr>
              <c:dLblPos val="outEnd"/>
              <c:showVal val="1"/>
            </c:dLbl>
            <c:showVal val="1"/>
          </c:dLbls>
          <c:cat>
            <c:numRef>
              <c:f>'KA0110'!$K$38:$S$38</c:f>
              <c:numCache>
                <c:formatCode>General</c:formatCode>
                <c:ptCount val="9"/>
                <c:pt idx="0">
                  <c:v>2017</c:v>
                </c:pt>
                <c:pt idx="1">
                  <c:v>2018</c:v>
                </c:pt>
                <c:pt idx="2">
                  <c:v>2019</c:v>
                </c:pt>
                <c:pt idx="3">
                  <c:v>2020</c:v>
                </c:pt>
                <c:pt idx="4">
                  <c:v>2021</c:v>
                </c:pt>
                <c:pt idx="5">
                  <c:v>2022</c:v>
                </c:pt>
              </c:numCache>
            </c:numRef>
          </c:cat>
          <c:val>
            <c:numRef>
              <c:f>'KA0110'!$K$40:$S$40</c:f>
              <c:numCache>
                <c:formatCode>General</c:formatCode>
                <c:ptCount val="9"/>
                <c:pt idx="3" formatCode="_(* #,##0_);_(* \(#,##0\);_(* &quot;-&quot;??_);_(@_)">
                  <c:v>163791</c:v>
                </c:pt>
                <c:pt idx="4" formatCode="_(* #,##0_);_(* \(#,##0\);_(* &quot;-&quot;??_);_(@_)">
                  <c:v>212436</c:v>
                </c:pt>
                <c:pt idx="5" formatCode="#,##0">
                  <c:v>1863210</c:v>
                </c:pt>
              </c:numCache>
            </c:numRef>
          </c:val>
        </c:ser>
        <c:ser>
          <c:idx val="2"/>
          <c:order val="2"/>
          <c:cat>
            <c:numRef>
              <c:f>'KA0110'!$K$38:$S$38</c:f>
              <c:numCache>
                <c:formatCode>General</c:formatCode>
                <c:ptCount val="9"/>
                <c:pt idx="0">
                  <c:v>2017</c:v>
                </c:pt>
                <c:pt idx="1">
                  <c:v>2018</c:v>
                </c:pt>
                <c:pt idx="2">
                  <c:v>2019</c:v>
                </c:pt>
                <c:pt idx="3">
                  <c:v>2020</c:v>
                </c:pt>
                <c:pt idx="4">
                  <c:v>2021</c:v>
                </c:pt>
                <c:pt idx="5">
                  <c:v>2022</c:v>
                </c:pt>
              </c:numCache>
            </c:numRef>
          </c:cat>
          <c:val>
            <c:numRef>
              <c:f>'KA0110'!$K$41:$S$41</c:f>
              <c:numCache>
                <c:formatCode>General</c:formatCode>
                <c:ptCount val="9"/>
                <c:pt idx="2" formatCode="#,##0">
                  <c:v>10282</c:v>
                </c:pt>
              </c:numCache>
            </c:numRef>
          </c:val>
        </c:ser>
        <c:ser>
          <c:idx val="3"/>
          <c:order val="3"/>
          <c:cat>
            <c:numRef>
              <c:f>'KA0110'!$K$38:$S$38</c:f>
              <c:numCache>
                <c:formatCode>General</c:formatCode>
                <c:ptCount val="9"/>
                <c:pt idx="0">
                  <c:v>2017</c:v>
                </c:pt>
                <c:pt idx="1">
                  <c:v>2018</c:v>
                </c:pt>
                <c:pt idx="2">
                  <c:v>2019</c:v>
                </c:pt>
                <c:pt idx="3">
                  <c:v>2020</c:v>
                </c:pt>
                <c:pt idx="4">
                  <c:v>2021</c:v>
                </c:pt>
                <c:pt idx="5">
                  <c:v>2022</c:v>
                </c:pt>
              </c:numCache>
            </c:numRef>
          </c:cat>
          <c:val>
            <c:numRef>
              <c:f>'KA0110'!$K$42:$S$42</c:f>
              <c:numCache>
                <c:formatCode>General</c:formatCode>
                <c:ptCount val="9"/>
              </c:numCache>
            </c:numRef>
          </c:val>
        </c:ser>
        <c:axId val="121841920"/>
        <c:axId val="121864192"/>
      </c:barChart>
      <c:catAx>
        <c:axId val="121841920"/>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864192"/>
        <c:crosses val="autoZero"/>
        <c:auto val="1"/>
        <c:lblAlgn val="ctr"/>
        <c:lblOffset val="100"/>
      </c:catAx>
      <c:valAx>
        <c:axId val="121864192"/>
        <c:scaling>
          <c:orientation val="minMax"/>
        </c:scaling>
        <c:axPos val="l"/>
        <c:majorGridlines/>
        <c:numFmt formatCode="#,##0"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841920"/>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l-GR" sz="1200"/>
              <a:t>Εξαγωγές</a:t>
            </a:r>
            <a:r>
              <a:rPr lang="el-GR" sz="1200" baseline="0"/>
              <a:t> ελληνικών επιτραπέζιων ελιών στην Ουγγαρία</a:t>
            </a:r>
          </a:p>
          <a:p>
            <a:pPr>
              <a:defRPr/>
            </a:pPr>
            <a:r>
              <a:rPr lang="el-GR" sz="1200" baseline="0"/>
              <a:t>20</a:t>
            </a:r>
            <a:r>
              <a:rPr lang="en-US" sz="1200" baseline="0"/>
              <a:t>10</a:t>
            </a:r>
            <a:r>
              <a:rPr lang="el-GR" sz="1200" baseline="0"/>
              <a:t>-202</a:t>
            </a:r>
            <a:r>
              <a:rPr lang="en-US" sz="1200" baseline="0"/>
              <a:t>2</a:t>
            </a:r>
            <a:endParaRPr lang="en-US" sz="1200"/>
          </a:p>
        </c:rich>
      </c:tx>
    </c:title>
    <c:plotArea>
      <c:layout>
        <c:manualLayout>
          <c:layoutTarget val="inner"/>
          <c:xMode val="edge"/>
          <c:yMode val="edge"/>
          <c:x val="0.16936375064767389"/>
          <c:y val="0.23306271612518414"/>
          <c:w val="0.81175963441463284"/>
          <c:h val="0.59620694822721132"/>
        </c:manualLayout>
      </c:layout>
      <c:lineChart>
        <c:grouping val="standard"/>
        <c:ser>
          <c:idx val="0"/>
          <c:order val="0"/>
          <c:cat>
            <c:numRef>
              <c:f>KA0110!$H$25:$T$25</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KA0110!$H$26:$T$26</c:f>
              <c:numCache>
                <c:formatCode>#,##0</c:formatCode>
                <c:ptCount val="13"/>
                <c:pt idx="0" formatCode="_(* #,##0_);_(* \(#,##0\);_(* &quot;-&quot;??_);_(@_)">
                  <c:v>34857</c:v>
                </c:pt>
                <c:pt idx="1">
                  <c:v>25996</c:v>
                </c:pt>
                <c:pt idx="2">
                  <c:v>29106</c:v>
                </c:pt>
                <c:pt idx="3">
                  <c:v>85719</c:v>
                </c:pt>
                <c:pt idx="4">
                  <c:v>89503</c:v>
                </c:pt>
                <c:pt idx="5">
                  <c:v>92354</c:v>
                </c:pt>
                <c:pt idx="6">
                  <c:v>241953</c:v>
                </c:pt>
                <c:pt idx="7" formatCode="0">
                  <c:v>302562</c:v>
                </c:pt>
                <c:pt idx="8" formatCode="0">
                  <c:v>393112</c:v>
                </c:pt>
                <c:pt idx="9">
                  <c:v>369109</c:v>
                </c:pt>
                <c:pt idx="10">
                  <c:v>367720</c:v>
                </c:pt>
                <c:pt idx="11">
                  <c:v>397330</c:v>
                </c:pt>
                <c:pt idx="12">
                  <c:v>491289</c:v>
                </c:pt>
              </c:numCache>
            </c:numRef>
          </c:val>
        </c:ser>
        <c:marker val="1"/>
        <c:axId val="121189504"/>
        <c:axId val="121191040"/>
      </c:lineChart>
      <c:catAx>
        <c:axId val="121189504"/>
        <c:scaling>
          <c:orientation val="minMax"/>
        </c:scaling>
        <c:axPos val="b"/>
        <c:numFmt formatCode="General" sourceLinked="1"/>
        <c:majorTickMark val="none"/>
        <c:tickLblPos val="nextTo"/>
        <c:crossAx val="121191040"/>
        <c:crosses val="autoZero"/>
        <c:auto val="1"/>
        <c:lblAlgn val="ctr"/>
        <c:lblOffset val="100"/>
      </c:catAx>
      <c:valAx>
        <c:axId val="121191040"/>
        <c:scaling>
          <c:orientation val="minMax"/>
        </c:scaling>
        <c:axPos val="l"/>
        <c:majorGridlines/>
        <c:title>
          <c:tx>
            <c:rich>
              <a:bodyPr/>
              <a:lstStyle/>
              <a:p>
                <a:pPr>
                  <a:defRPr/>
                </a:pPr>
                <a:r>
                  <a:rPr lang="el-GR"/>
                  <a:t>σε</a:t>
                </a:r>
                <a:r>
                  <a:rPr lang="el-GR" baseline="0"/>
                  <a:t>  </a:t>
                </a:r>
                <a:r>
                  <a:rPr lang="el-GR" baseline="0">
                    <a:latin typeface="Calibri"/>
                    <a:cs typeface="Calibri"/>
                  </a:rPr>
                  <a:t>€</a:t>
                </a:r>
                <a:endParaRPr lang="en-US"/>
              </a:p>
            </c:rich>
          </c:tx>
        </c:title>
        <c:numFmt formatCode="_(* #,##0_);_(* \(#,##0\);_(* &quot;-&quot;??_);_(@_)" sourceLinked="1"/>
        <c:majorTickMark val="none"/>
        <c:tickLblPos val="nextTo"/>
        <c:crossAx val="121189504"/>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l-GR" sz="1200"/>
              <a:t>Εισαγωγές</a:t>
            </a:r>
            <a:r>
              <a:rPr lang="el-GR" sz="1200" baseline="0"/>
              <a:t> επιτραπέζιων ελιών στην Ουγγαρία</a:t>
            </a:r>
            <a:r>
              <a:rPr lang="en-US" sz="1200" baseline="0"/>
              <a:t> 2010-2022</a:t>
            </a:r>
            <a:r>
              <a:rPr lang="el-GR" sz="1200" baseline="0"/>
              <a:t> </a:t>
            </a:r>
            <a:endParaRPr lang="en-US" sz="1200"/>
          </a:p>
        </c:rich>
      </c:tx>
    </c:title>
    <c:plotArea>
      <c:layout>
        <c:manualLayout>
          <c:layoutTarget val="inner"/>
          <c:xMode val="edge"/>
          <c:yMode val="edge"/>
          <c:x val="0.14074818369150949"/>
          <c:y val="0.13387238208496249"/>
          <c:w val="0.66485385902457783"/>
          <c:h val="0.73201318942683657"/>
        </c:manualLayout>
      </c:layout>
      <c:lineChart>
        <c:grouping val="standard"/>
        <c:ser>
          <c:idx val="1"/>
          <c:order val="0"/>
          <c:dLbls>
            <c:dLbl>
              <c:idx val="12"/>
              <c:layout>
                <c:manualLayout>
                  <c:x val="-4.2210182003583382E-2"/>
                  <c:y val="-3.9215686274509803E-2"/>
                </c:manualLayout>
              </c:layout>
              <c:spPr/>
              <c:txPr>
                <a:bodyPr/>
                <a:lstStyle/>
                <a:p>
                  <a:pPr>
                    <a:defRPr/>
                  </a:pPr>
                  <a:endParaRPr lang="en-US"/>
                </a:p>
              </c:txPr>
              <c:dLblPos val="r"/>
              <c:showVal val="1"/>
            </c:dLbl>
            <c:delete val="1"/>
          </c:dLbls>
          <c:cat>
            <c:numRef>
              <c:f>KA0110!$H$25:$T$25</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KA0110!$H$26:$T$26</c:f>
              <c:numCache>
                <c:formatCode>#,##0</c:formatCode>
                <c:ptCount val="13"/>
                <c:pt idx="0" formatCode="_(* #,##0_);_(* \(#,##0\);_(* &quot;-&quot;??_);_(@_)">
                  <c:v>34857</c:v>
                </c:pt>
                <c:pt idx="1">
                  <c:v>25996</c:v>
                </c:pt>
                <c:pt idx="2">
                  <c:v>29106</c:v>
                </c:pt>
                <c:pt idx="3">
                  <c:v>85719</c:v>
                </c:pt>
                <c:pt idx="4">
                  <c:v>89503</c:v>
                </c:pt>
                <c:pt idx="5">
                  <c:v>92354</c:v>
                </c:pt>
                <c:pt idx="6">
                  <c:v>241953</c:v>
                </c:pt>
                <c:pt idx="7" formatCode="0">
                  <c:v>302562</c:v>
                </c:pt>
                <c:pt idx="8" formatCode="0">
                  <c:v>393112</c:v>
                </c:pt>
                <c:pt idx="9">
                  <c:v>369109</c:v>
                </c:pt>
                <c:pt idx="10">
                  <c:v>367720</c:v>
                </c:pt>
                <c:pt idx="11">
                  <c:v>397330</c:v>
                </c:pt>
                <c:pt idx="12">
                  <c:v>491289</c:v>
                </c:pt>
              </c:numCache>
            </c:numRef>
          </c:val>
        </c:ser>
        <c:ser>
          <c:idx val="0"/>
          <c:order val="1"/>
          <c:dLbls>
            <c:dLbl>
              <c:idx val="12"/>
              <c:layout>
                <c:manualLayout>
                  <c:x val="-4.0618101545253874E-2"/>
                  <c:y val="-5.8823529411764705E-2"/>
                </c:manualLayout>
              </c:layout>
              <c:tx>
                <c:rich>
                  <a:bodyPr/>
                  <a:lstStyle/>
                  <a:p>
                    <a:pPr>
                      <a:defRPr/>
                    </a:pPr>
                    <a:r>
                      <a:rPr lang="en-US"/>
                      <a:t>5.012.508</a:t>
                    </a:r>
                  </a:p>
                </c:rich>
              </c:tx>
              <c:spPr/>
              <c:dLblPos val="r"/>
            </c:dLbl>
            <c:delete val="1"/>
          </c:dLbls>
          <c:cat>
            <c:numRef>
              <c:f>KA0110!$H$25:$T$25</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KA0110!$H$27:$T$27</c:f>
              <c:numCache>
                <c:formatCode>#,##0</c:formatCode>
                <c:ptCount val="13"/>
                <c:pt idx="0" formatCode="_(* #,##0_);_(* \(#,##0\);_(* &quot;-&quot;??_);_(@_)">
                  <c:v>2219619</c:v>
                </c:pt>
                <c:pt idx="1">
                  <c:v>2242699</c:v>
                </c:pt>
                <c:pt idx="2">
                  <c:v>2694163</c:v>
                </c:pt>
                <c:pt idx="3">
                  <c:v>3026123</c:v>
                </c:pt>
                <c:pt idx="4">
                  <c:v>3229634</c:v>
                </c:pt>
                <c:pt idx="5">
                  <c:v>3442280</c:v>
                </c:pt>
                <c:pt idx="6">
                  <c:v>4017543</c:v>
                </c:pt>
                <c:pt idx="7">
                  <c:v>4009638</c:v>
                </c:pt>
                <c:pt idx="8">
                  <c:v>4312634</c:v>
                </c:pt>
                <c:pt idx="9" formatCode="General">
                  <c:v>4658112</c:v>
                </c:pt>
                <c:pt idx="10" formatCode="General">
                  <c:v>4079114</c:v>
                </c:pt>
                <c:pt idx="11">
                  <c:v>4374425</c:v>
                </c:pt>
                <c:pt idx="12">
                  <c:v>5012508</c:v>
                </c:pt>
              </c:numCache>
            </c:numRef>
          </c:val>
        </c:ser>
        <c:marker val="1"/>
        <c:axId val="121997184"/>
        <c:axId val="121998720"/>
      </c:lineChart>
      <c:catAx>
        <c:axId val="121997184"/>
        <c:scaling>
          <c:orientation val="minMax"/>
        </c:scaling>
        <c:axPos val="b"/>
        <c:numFmt formatCode="General" sourceLinked="1"/>
        <c:majorTickMark val="none"/>
        <c:tickLblPos val="nextTo"/>
        <c:crossAx val="121998720"/>
        <c:crosses val="autoZero"/>
        <c:auto val="1"/>
        <c:lblAlgn val="ctr"/>
        <c:lblOffset val="100"/>
      </c:catAx>
      <c:valAx>
        <c:axId val="121998720"/>
        <c:scaling>
          <c:orientation val="minMax"/>
        </c:scaling>
        <c:axPos val="l"/>
        <c:majorGridlines/>
        <c:title>
          <c:tx>
            <c:rich>
              <a:bodyPr/>
              <a:lstStyle/>
              <a:p>
                <a:pPr>
                  <a:defRPr/>
                </a:pPr>
                <a:r>
                  <a:rPr lang="el-GR"/>
                  <a:t>σε</a:t>
                </a:r>
                <a:r>
                  <a:rPr lang="el-GR" baseline="0"/>
                  <a:t> </a:t>
                </a:r>
                <a:r>
                  <a:rPr lang="el-GR" baseline="0">
                    <a:latin typeface="Calibri"/>
                    <a:cs typeface="Calibri"/>
                  </a:rPr>
                  <a:t>€</a:t>
                </a:r>
                <a:endParaRPr lang="en-US"/>
              </a:p>
            </c:rich>
          </c:tx>
        </c:title>
        <c:numFmt formatCode="_(* #,##0_);_(* \(#,##0\);_(* &quot;-&quot;??_);_(@_)" sourceLinked="1"/>
        <c:majorTickMark val="none"/>
        <c:tickLblPos val="nextTo"/>
        <c:crossAx val="121997184"/>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b="1" i="0" u="none" strike="noStrike" baseline="0">
                <a:solidFill>
                  <a:srgbClr val="000000"/>
                </a:solidFill>
                <a:latin typeface="Calibri"/>
                <a:ea typeface="Calibri"/>
                <a:cs typeface="Calibri"/>
              </a:defRPr>
            </a:pPr>
            <a:r>
              <a:rPr lang="el-GR"/>
              <a:t>Διμερές εμπόριο φαρμακευτικών προϊόντων (Σ.Ο.30),</a:t>
            </a:r>
            <a:r>
              <a:rPr lang="el-GR" baseline="0"/>
              <a:t> 2010-2022</a:t>
            </a:r>
            <a:r>
              <a:rPr lang="el-GR"/>
              <a:t> </a:t>
            </a:r>
          </a:p>
        </c:rich>
      </c:tx>
      <c:layout>
        <c:manualLayout>
          <c:xMode val="edge"/>
          <c:yMode val="edge"/>
          <c:x val="0.20237396325459317"/>
          <c:y val="2.4573473031318238E-2"/>
        </c:manualLayout>
      </c:layout>
    </c:title>
    <c:plotArea>
      <c:layout>
        <c:manualLayout>
          <c:layoutTarget val="inner"/>
          <c:xMode val="edge"/>
          <c:yMode val="edge"/>
          <c:x val="0.1244906464928917"/>
          <c:y val="0.16357105469540653"/>
          <c:w val="0.66386829485874665"/>
          <c:h val="0.69055118110235947"/>
        </c:manualLayout>
      </c:layout>
      <c:lineChart>
        <c:grouping val="standard"/>
        <c:ser>
          <c:idx val="2"/>
          <c:order val="0"/>
          <c:tx>
            <c:strRef>
              <c:f>KA0110!$D$22</c:f>
              <c:strCache>
                <c:ptCount val="1"/>
                <c:pt idx="0">
                  <c:v>Εξαγωγές προς Ελλάδα</c:v>
                </c:pt>
              </c:strCache>
            </c:strRef>
          </c:tx>
          <c:cat>
            <c:numRef>
              <c:f>KA0110!$F$21:$R$21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KA0110!$F$22:$R$22</c:f>
              <c:numCache>
                <c:formatCode>General</c:formatCode>
                <c:ptCount val="13"/>
                <c:pt idx="0">
                  <c:v>13086264</c:v>
                </c:pt>
                <c:pt idx="1">
                  <c:v>23789380</c:v>
                </c:pt>
                <c:pt idx="2">
                  <c:v>21724496</c:v>
                </c:pt>
                <c:pt idx="3">
                  <c:v>25811787</c:v>
                </c:pt>
                <c:pt idx="4">
                  <c:v>25415757</c:v>
                </c:pt>
                <c:pt idx="5">
                  <c:v>33025461</c:v>
                </c:pt>
                <c:pt idx="6">
                  <c:v>35037504</c:v>
                </c:pt>
                <c:pt idx="7">
                  <c:v>33590059</c:v>
                </c:pt>
                <c:pt idx="8">
                  <c:v>38130776</c:v>
                </c:pt>
                <c:pt idx="9">
                  <c:v>31529108</c:v>
                </c:pt>
                <c:pt idx="10">
                  <c:v>30843674</c:v>
                </c:pt>
                <c:pt idx="11">
                  <c:v>42076696</c:v>
                </c:pt>
                <c:pt idx="12">
                  <c:v>60716106</c:v>
                </c:pt>
              </c:numCache>
            </c:numRef>
          </c:val>
        </c:ser>
        <c:ser>
          <c:idx val="0"/>
          <c:order val="1"/>
          <c:tx>
            <c:strRef>
              <c:f>KA0110!$D$23</c:f>
              <c:strCache>
                <c:ptCount val="1"/>
                <c:pt idx="0">
                  <c:v>Εισαγωγές από Ελλάδα</c:v>
                </c:pt>
              </c:strCache>
            </c:strRef>
          </c:tx>
          <c:cat>
            <c:numRef>
              <c:f>KA0110!$F$21:$R$21</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KA0110!$F$23:$R$23</c:f>
              <c:numCache>
                <c:formatCode>General</c:formatCode>
                <c:ptCount val="13"/>
                <c:pt idx="0">
                  <c:v>8883969</c:v>
                </c:pt>
                <c:pt idx="1">
                  <c:v>9916042</c:v>
                </c:pt>
                <c:pt idx="2">
                  <c:v>6338967</c:v>
                </c:pt>
                <c:pt idx="3">
                  <c:v>5413500</c:v>
                </c:pt>
                <c:pt idx="4">
                  <c:v>4994194</c:v>
                </c:pt>
                <c:pt idx="5">
                  <c:v>6217014</c:v>
                </c:pt>
                <c:pt idx="6">
                  <c:v>8317663</c:v>
                </c:pt>
                <c:pt idx="7">
                  <c:v>8353676</c:v>
                </c:pt>
                <c:pt idx="8">
                  <c:v>6659002</c:v>
                </c:pt>
                <c:pt idx="9">
                  <c:v>10003867</c:v>
                </c:pt>
                <c:pt idx="10" formatCode="#,##0">
                  <c:v>11255109</c:v>
                </c:pt>
                <c:pt idx="11">
                  <c:v>13909297</c:v>
                </c:pt>
                <c:pt idx="12">
                  <c:v>10867170</c:v>
                </c:pt>
              </c:numCache>
            </c:numRef>
          </c:val>
        </c:ser>
        <c:marker val="1"/>
        <c:axId val="121909632"/>
        <c:axId val="121911168"/>
      </c:lineChart>
      <c:catAx>
        <c:axId val="121909632"/>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911168"/>
        <c:crosses val="autoZero"/>
        <c:auto val="1"/>
        <c:lblAlgn val="ctr"/>
        <c:lblOffset val="100"/>
      </c:catAx>
      <c:valAx>
        <c:axId val="121911168"/>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el-GR"/>
                  <a:t>σε χιλ. €</a:t>
                </a: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909632"/>
        <c:crosses val="autoZero"/>
        <c:crossBetween val="between"/>
        <c:dispUnits>
          <c:builtInUnit val="thousands"/>
        </c:dispUnits>
      </c:valAx>
    </c:plotArea>
    <c:legend>
      <c:legendPos val="r"/>
      <c:layout>
        <c:manualLayout>
          <c:xMode val="edge"/>
          <c:yMode val="edge"/>
          <c:x val="0.74800097987751535"/>
          <c:y val="0.44444558251356775"/>
          <c:w val="0.24666694663167099"/>
          <c:h val="0.1409216937313735"/>
        </c:manualLayout>
      </c:layout>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Calibri"/>
                <a:ea typeface="Calibri"/>
                <a:cs typeface="Calibri"/>
              </a:defRPr>
            </a:pPr>
            <a:r>
              <a:rPr lang="el-GR" sz="1100" b="1" i="0" u="none" strike="noStrike" baseline="0">
                <a:solidFill>
                  <a:srgbClr val="000000"/>
                </a:solidFill>
                <a:latin typeface="Calibri"/>
                <a:cs typeface="Calibri"/>
              </a:rPr>
              <a:t>Ελληνικές εξαγωγές των κυριότερων προϊόντων αλουμινίου (ΣΟ 7604 και 7606)</a:t>
            </a:r>
          </a:p>
          <a:p>
            <a:pPr>
              <a:defRPr sz="1000" b="0" i="0" u="none" strike="noStrike" baseline="0">
                <a:solidFill>
                  <a:srgbClr val="000000"/>
                </a:solidFill>
                <a:latin typeface="Calibri"/>
                <a:ea typeface="Calibri"/>
                <a:cs typeface="Calibri"/>
              </a:defRPr>
            </a:pPr>
            <a:r>
              <a:rPr lang="el-GR" sz="1100" b="1" i="0" u="none" strike="noStrike" baseline="0">
                <a:solidFill>
                  <a:srgbClr val="000000"/>
                </a:solidFill>
                <a:latin typeface="Calibri"/>
                <a:cs typeface="Calibri"/>
              </a:rPr>
              <a:t>στην Ουγγαρία  2010-2022</a:t>
            </a:r>
          </a:p>
        </c:rich>
      </c:tx>
    </c:title>
    <c:plotArea>
      <c:layout/>
      <c:barChart>
        <c:barDir val="col"/>
        <c:grouping val="clustered"/>
        <c:ser>
          <c:idx val="2"/>
          <c:order val="0"/>
          <c:cat>
            <c:numRef>
              <c:f>KA0110!$C$9:$O$9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KA0110!$C$10:$O$10</c:f>
              <c:numCache>
                <c:formatCode>General</c:formatCode>
                <c:ptCount val="13"/>
                <c:pt idx="0">
                  <c:v>6886115</c:v>
                </c:pt>
                <c:pt idx="1">
                  <c:v>7693928</c:v>
                </c:pt>
                <c:pt idx="2">
                  <c:v>4528547</c:v>
                </c:pt>
                <c:pt idx="3">
                  <c:v>1463381</c:v>
                </c:pt>
                <c:pt idx="4">
                  <c:v>1539351</c:v>
                </c:pt>
                <c:pt idx="5">
                  <c:v>2310212</c:v>
                </c:pt>
                <c:pt idx="6">
                  <c:v>2240936</c:v>
                </c:pt>
                <c:pt idx="7">
                  <c:v>2741562</c:v>
                </c:pt>
                <c:pt idx="8" formatCode="#,##0">
                  <c:v>4824749</c:v>
                </c:pt>
                <c:pt idx="9" formatCode="#,##0">
                  <c:v>7276895</c:v>
                </c:pt>
                <c:pt idx="10">
                  <c:v>6934096</c:v>
                </c:pt>
                <c:pt idx="11">
                  <c:v>10762324</c:v>
                </c:pt>
                <c:pt idx="12">
                  <c:v>15053164</c:v>
                </c:pt>
              </c:numCache>
            </c:numRef>
          </c:val>
        </c:ser>
        <c:ser>
          <c:idx val="3"/>
          <c:order val="1"/>
          <c:cat>
            <c:numRef>
              <c:f>KA0110!$C$9:$O$9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KA0110!$C$11:$O$11</c:f>
              <c:numCache>
                <c:formatCode>General</c:formatCode>
                <c:ptCount val="13"/>
                <c:pt idx="0">
                  <c:v>4376337</c:v>
                </c:pt>
                <c:pt idx="1">
                  <c:v>9572605</c:v>
                </c:pt>
                <c:pt idx="2">
                  <c:v>5515601</c:v>
                </c:pt>
                <c:pt idx="3">
                  <c:v>6488657</c:v>
                </c:pt>
                <c:pt idx="4">
                  <c:v>11138632</c:v>
                </c:pt>
                <c:pt idx="5">
                  <c:v>12527698</c:v>
                </c:pt>
                <c:pt idx="6">
                  <c:v>8938281</c:v>
                </c:pt>
                <c:pt idx="7">
                  <c:v>7609814</c:v>
                </c:pt>
                <c:pt idx="8" formatCode="#,##0">
                  <c:v>8666044</c:v>
                </c:pt>
                <c:pt idx="9" formatCode="#,##0">
                  <c:v>6198293</c:v>
                </c:pt>
                <c:pt idx="10">
                  <c:v>7874542</c:v>
                </c:pt>
                <c:pt idx="11">
                  <c:v>11528775</c:v>
                </c:pt>
                <c:pt idx="12">
                  <c:v>17794905</c:v>
                </c:pt>
              </c:numCache>
            </c:numRef>
          </c:val>
        </c:ser>
        <c:axId val="121961856"/>
        <c:axId val="121992320"/>
      </c:barChart>
      <c:catAx>
        <c:axId val="121961856"/>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992320"/>
        <c:crosses val="autoZero"/>
        <c:auto val="1"/>
        <c:lblAlgn val="ctr"/>
        <c:lblOffset val="100"/>
      </c:catAx>
      <c:valAx>
        <c:axId val="121992320"/>
        <c:scaling>
          <c:orientation val="minMax"/>
        </c:scaling>
        <c:axPos val="l"/>
        <c:majorGridlines/>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961856"/>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Calibri"/>
                <a:ea typeface="Calibri"/>
                <a:cs typeface="Calibri"/>
              </a:defRPr>
            </a:pPr>
            <a:r>
              <a:rPr lang="el-GR"/>
              <a:t>Ελληνικές εξαγωγές προϊόντων Σ.Ο. 85 στην Ουγγαρία</a:t>
            </a:r>
          </a:p>
        </c:rich>
      </c:tx>
      <c:layout>
        <c:manualLayout>
          <c:xMode val="edge"/>
          <c:yMode val="edge"/>
          <c:x val="0.15054148351938051"/>
          <c:y val="1.3888888888888951E-2"/>
        </c:manualLayout>
      </c:layout>
    </c:title>
    <c:plotArea>
      <c:layout>
        <c:manualLayout>
          <c:layoutTarget val="inner"/>
          <c:xMode val="edge"/>
          <c:yMode val="edge"/>
          <c:x val="9.9056869947552612E-2"/>
          <c:y val="0.18230640564235653"/>
          <c:w val="0.84591422272671268"/>
          <c:h val="0.67292511494458362"/>
        </c:manualLayout>
      </c:layout>
      <c:barChart>
        <c:barDir val="col"/>
        <c:grouping val="clustered"/>
        <c:ser>
          <c:idx val="1"/>
          <c:order val="0"/>
          <c:cat>
            <c:numRef>
              <c:f>KA0110!$C$9:$O$9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KA0110!$C$10:$O$10</c:f>
              <c:numCache>
                <c:formatCode>General</c:formatCode>
                <c:ptCount val="13"/>
                <c:pt idx="0">
                  <c:v>11468766</c:v>
                </c:pt>
                <c:pt idx="1">
                  <c:v>11548143</c:v>
                </c:pt>
                <c:pt idx="2">
                  <c:v>4718011</c:v>
                </c:pt>
                <c:pt idx="3">
                  <c:v>6857213</c:v>
                </c:pt>
                <c:pt idx="4">
                  <c:v>7901417</c:v>
                </c:pt>
                <c:pt idx="5">
                  <c:v>5296082</c:v>
                </c:pt>
                <c:pt idx="6">
                  <c:v>7656269</c:v>
                </c:pt>
                <c:pt idx="7">
                  <c:v>10877603</c:v>
                </c:pt>
                <c:pt idx="8" formatCode="#,##0">
                  <c:v>8753272</c:v>
                </c:pt>
                <c:pt idx="9" formatCode="#,##0">
                  <c:v>13771535</c:v>
                </c:pt>
                <c:pt idx="10" formatCode="#,##0">
                  <c:v>20812759</c:v>
                </c:pt>
                <c:pt idx="11">
                  <c:v>34178915</c:v>
                </c:pt>
                <c:pt idx="12">
                  <c:v>11581348</c:v>
                </c:pt>
              </c:numCache>
            </c:numRef>
          </c:val>
        </c:ser>
        <c:axId val="121445760"/>
        <c:axId val="121472128"/>
      </c:barChart>
      <c:catAx>
        <c:axId val="121445760"/>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472128"/>
        <c:crosses val="autoZero"/>
        <c:auto val="1"/>
        <c:lblAlgn val="ctr"/>
        <c:lblOffset val="100"/>
      </c:catAx>
      <c:valAx>
        <c:axId val="121472128"/>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el-GR"/>
                  <a:t>σε εκ. €</a:t>
                </a:r>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21445760"/>
        <c:crosses val="autoZero"/>
        <c:crossBetween val="between"/>
        <c:dispUnits>
          <c:builtInUnit val="millions"/>
        </c:dispUnits>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l-GR"/>
              <a:t>Δημόσιο</a:t>
            </a:r>
            <a:r>
              <a:rPr lang="el-GR" baseline="0"/>
              <a:t> Έλλειμμα </a:t>
            </a:r>
            <a:endParaRPr lang="en-US"/>
          </a:p>
        </c:rich>
      </c:tx>
    </c:title>
    <c:plotArea>
      <c:layout/>
      <c:barChart>
        <c:barDir val="col"/>
        <c:grouping val="clustered"/>
        <c:ser>
          <c:idx val="3"/>
          <c:order val="0"/>
          <c:spPr>
            <a:solidFill>
              <a:srgbClr val="037BC1"/>
            </a:solidFill>
            <a:ln w="3175">
              <a:solidFill>
                <a:srgbClr val="000000"/>
              </a:solidFill>
              <a:prstDash val="solid"/>
            </a:ln>
          </c:spPr>
          <c:cat>
            <c:strRef>
              <c:f>'Fig21'!$A$29:$A$40</c:f>
              <c:strCach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strCache>
            </c:strRef>
          </c:cat>
          <c:val>
            <c:numRef>
              <c:f>'Fig21'!$B$29:$B$40</c:f>
              <c:numCache>
                <c:formatCode>0.0</c:formatCode>
                <c:ptCount val="12"/>
                <c:pt idx="0">
                  <c:v>-5.4141295063073507</c:v>
                </c:pt>
                <c:pt idx="1">
                  <c:v>-2.3994700126444237</c:v>
                </c:pt>
                <c:pt idx="2">
                  <c:v>-2.6136483665906427</c:v>
                </c:pt>
                <c:pt idx="3">
                  <c:v>-2.6064073253934268</c:v>
                </c:pt>
                <c:pt idx="4">
                  <c:v>-1.9018486619900741</c:v>
                </c:pt>
                <c:pt idx="5">
                  <c:v>-1.647449021099455</c:v>
                </c:pt>
                <c:pt idx="6">
                  <c:v>-2.2140165603983553</c:v>
                </c:pt>
                <c:pt idx="7">
                  <c:v>-2.2000000000000002</c:v>
                </c:pt>
                <c:pt idx="8">
                  <c:v>-2.1</c:v>
                </c:pt>
                <c:pt idx="9">
                  <c:v>-8.1</c:v>
                </c:pt>
                <c:pt idx="10">
                  <c:v>-6.8</c:v>
                </c:pt>
                <c:pt idx="11">
                  <c:v>-6.2</c:v>
                </c:pt>
              </c:numCache>
            </c:numRef>
          </c:val>
          <c:extLst xmlns:c16r2="http://schemas.microsoft.com/office/drawing/2015/06/chart">
            <c:ext xmlns:c16="http://schemas.microsoft.com/office/drawing/2014/chart" uri="{C3380CC4-5D6E-409C-BE32-E72D297353CC}">
              <c16:uniqueId val="{00000004-E8FC-4FF8-A10C-7711E4A9C295}"/>
            </c:ext>
          </c:extLst>
        </c:ser>
        <c:gapWidth val="75"/>
        <c:overlap val="-25"/>
        <c:axId val="120824576"/>
        <c:axId val="120826112"/>
      </c:barChart>
      <c:catAx>
        <c:axId val="120824576"/>
        <c:scaling>
          <c:orientation val="minMax"/>
        </c:scaling>
        <c:axPos val="b"/>
        <c:numFmt formatCode="@" sourceLinked="0"/>
        <c:majorTickMark val="none"/>
        <c:tickLblPos val="low"/>
        <c:spPr>
          <a:extLst>
            <a:ext uri="{909E8E84-426E-40DD-AFC4-6F175D3DCCD1}">
              <a14:hiddenFill xmlns:a14="http://schemas.microsoft.com/office/drawing/2010/main" xmlns:c16r2="http://schemas.microsoft.com/office/drawing/2015/06/chart" xmlns:r="http://schemas.openxmlformats.org/officeDocument/2006/relationships" xmlns="">
                <a:noFill/>
              </a14:hiddenFill>
            </a:ext>
          </a:extLst>
        </c:spPr>
        <c:txPr>
          <a:bodyPr rot="-60000000" vert="horz"/>
          <a:lstStyle/>
          <a:p>
            <a:pPr>
              <a:defRPr/>
            </a:pPr>
            <a:endParaRPr lang="en-US"/>
          </a:p>
        </c:txPr>
        <c:crossAx val="120826112"/>
        <c:crosses val="autoZero"/>
        <c:auto val="1"/>
        <c:lblAlgn val="ctr"/>
        <c:lblOffset val="0"/>
        <c:tickLblSkip val="1"/>
        <c:tickMarkSkip val="1"/>
      </c:catAx>
      <c:valAx>
        <c:axId val="120826112"/>
        <c:scaling>
          <c:orientation val="minMax"/>
          <c:max val="5"/>
        </c:scaling>
        <c:axPos val="l"/>
        <c:majorGridlines>
          <c:spPr>
            <a:ln w="9525" cmpd="sng">
              <a:solidFill>
                <a:srgbClr val="C8C8C8"/>
              </a:solidFill>
              <a:prstDash val="solid"/>
            </a:ln>
          </c:spPr>
        </c:majorGridlines>
        <c:numFmt formatCode="General" sourceLinked="0"/>
        <c:majorTickMark val="none"/>
        <c:tickLblPos val="nextTo"/>
        <c:spPr>
          <a:ln w="6350">
            <a:noFill/>
          </a:ln>
        </c:spPr>
        <c:txPr>
          <a:bodyPr rot="-60000000" vert="horz"/>
          <a:lstStyle/>
          <a:p>
            <a:pPr>
              <a:defRPr sz="800" b="0" i="0">
                <a:solidFill>
                  <a:srgbClr val="000000"/>
                </a:solidFill>
                <a:latin typeface="Arial Narrow"/>
                <a:ea typeface="Arial Narrow"/>
                <a:cs typeface="Arial Narrow"/>
              </a:defRPr>
            </a:pPr>
            <a:endParaRPr lang="en-US"/>
          </a:p>
        </c:txPr>
        <c:crossAx val="120824576"/>
        <c:crosses val="autoZero"/>
        <c:crossBetween val="between"/>
        <c:majorUnit val="1"/>
      </c:valAx>
      <c:spPr>
        <a:solidFill>
          <a:srgbClr val="FFFFFF"/>
        </a:solidFill>
        <a:ln w="25400">
          <a:noFill/>
        </a:ln>
      </c:spPr>
    </c:plotArea>
    <c:plotVisOnly val="1"/>
    <c:dispBlanksAs val="gap"/>
    <c:showDLblsOverMax val="1"/>
  </c:chart>
  <c:spPr>
    <a:noFill/>
    <a:ln w="6350">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l-GR"/>
              <a:t>Μεταβολή ΑΕΠ (%)</a:t>
            </a:r>
          </a:p>
        </c:rich>
      </c:tx>
    </c:title>
    <c:plotArea>
      <c:layout>
        <c:manualLayout>
          <c:layoutTarget val="inner"/>
          <c:xMode val="edge"/>
          <c:yMode val="edge"/>
          <c:x val="0.16520100502512591"/>
          <c:y val="0.16539921012231998"/>
          <c:w val="0.76905360134003364"/>
          <c:h val="0.64899748675283564"/>
        </c:manualLayout>
      </c:layout>
      <c:lineChart>
        <c:grouping val="standard"/>
        <c:ser>
          <c:idx val="0"/>
          <c:order val="0"/>
          <c:cat>
            <c:numRef>
              <c:f>Sheet1!$F$5:$T$5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Sheet1!$F$6:$T$6</c:f>
              <c:numCache>
                <c:formatCode>General</c:formatCode>
                <c:ptCount val="15"/>
                <c:pt idx="0">
                  <c:v>0.9</c:v>
                </c:pt>
                <c:pt idx="1">
                  <c:v>-6.6</c:v>
                </c:pt>
                <c:pt idx="2">
                  <c:v>0.70000000000000029</c:v>
                </c:pt>
                <c:pt idx="3">
                  <c:v>1.7</c:v>
                </c:pt>
                <c:pt idx="4">
                  <c:v>-1.6</c:v>
                </c:pt>
                <c:pt idx="5">
                  <c:v>2.1</c:v>
                </c:pt>
                <c:pt idx="6">
                  <c:v>4.2</c:v>
                </c:pt>
                <c:pt idx="7">
                  <c:v>3.8</c:v>
                </c:pt>
                <c:pt idx="8">
                  <c:v>2.2000000000000002</c:v>
                </c:pt>
                <c:pt idx="9">
                  <c:v>4.3</c:v>
                </c:pt>
                <c:pt idx="10">
                  <c:v>5.0999999999999996</c:v>
                </c:pt>
                <c:pt idx="11">
                  <c:v>4.9000000000000004</c:v>
                </c:pt>
                <c:pt idx="12">
                  <c:v>-5</c:v>
                </c:pt>
                <c:pt idx="13">
                  <c:v>7.1</c:v>
                </c:pt>
                <c:pt idx="14">
                  <c:v>4.5999999999999996</c:v>
                </c:pt>
              </c:numCache>
            </c:numRef>
          </c:val>
        </c:ser>
        <c:hiLowLines/>
        <c:marker val="1"/>
        <c:axId val="35771136"/>
        <c:axId val="35772672"/>
      </c:lineChart>
      <c:catAx>
        <c:axId val="35771136"/>
        <c:scaling>
          <c:orientation val="minMax"/>
        </c:scaling>
        <c:axPos val="b"/>
        <c:numFmt formatCode="General" sourceLinked="1"/>
        <c:tickLblPos val="nextTo"/>
        <c:crossAx val="35772672"/>
        <c:crosses val="autoZero"/>
        <c:auto val="1"/>
        <c:lblAlgn val="ctr"/>
        <c:lblOffset val="100"/>
      </c:catAx>
      <c:valAx>
        <c:axId val="35772672"/>
        <c:scaling>
          <c:orientation val="minMax"/>
        </c:scaling>
        <c:axPos val="l"/>
        <c:majorGridlines/>
        <c:numFmt formatCode="General" sourceLinked="1"/>
        <c:tickLblPos val="nextTo"/>
        <c:spPr>
          <a:ln w="25400"/>
        </c:spPr>
        <c:crossAx val="35771136"/>
        <c:crosses val="autoZero"/>
        <c:crossBetween val="between"/>
      </c:valAx>
      <c:dTable>
        <c:showHorzBorder val="1"/>
        <c:showVertBorder val="1"/>
        <c:showOutline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l-GR" sz="1400"/>
              <a:t>Σύνθεση ΑΕΠ 2022</a:t>
            </a:r>
          </a:p>
        </c:rich>
      </c:tx>
    </c:title>
    <c:view3D>
      <c:rotX val="30"/>
      <c:rotY val="40"/>
      <c:perspective val="30"/>
    </c:view3D>
    <c:plotArea>
      <c:layout>
        <c:manualLayout>
          <c:layoutTarget val="inner"/>
          <c:xMode val="edge"/>
          <c:yMode val="edge"/>
          <c:x val="5.4166666666666835E-2"/>
          <c:y val="0.27758967629046527"/>
          <c:w val="0.81388888888889055"/>
          <c:h val="0.66745953630796162"/>
        </c:manualLayout>
      </c:layout>
      <c:pie3DChart>
        <c:varyColors val="1"/>
        <c:ser>
          <c:idx val="0"/>
          <c:order val="0"/>
          <c:explosion val="4"/>
          <c:dLbls>
            <c:dLbl>
              <c:idx val="0"/>
              <c:layout>
                <c:manualLayout>
                  <c:x val="3.4354330708661417E-2"/>
                  <c:y val="-7.4646762904637023E-2"/>
                </c:manualLayout>
              </c:layout>
              <c:tx>
                <c:rich>
                  <a:bodyPr/>
                  <a:lstStyle/>
                  <a:p>
                    <a:r>
                      <a:rPr lang="el-GR"/>
                      <a:t>Αγροτικός Τομέας </a:t>
                    </a:r>
                  </a:p>
                  <a:p>
                    <a:r>
                      <a:rPr lang="el-GR"/>
                      <a:t>3,61%</a:t>
                    </a:r>
                  </a:p>
                </c:rich>
              </c:tx>
              <c:showCatName val="1"/>
            </c:dLbl>
            <c:dLbl>
              <c:idx val="1"/>
              <c:layout>
                <c:manualLayout>
                  <c:x val="-2.1146106736657918E-3"/>
                  <c:y val="-0.19247338874307379"/>
                </c:manualLayout>
              </c:layout>
              <c:tx>
                <c:rich>
                  <a:bodyPr/>
                  <a:lstStyle/>
                  <a:p>
                    <a:r>
                      <a:rPr lang="el-GR"/>
                      <a:t>Βιομηχανικός Τομέας </a:t>
                    </a:r>
                  </a:p>
                  <a:p>
                    <a:r>
                      <a:rPr lang="el-GR"/>
                      <a:t>23,20%</a:t>
                    </a:r>
                  </a:p>
                </c:rich>
              </c:tx>
              <c:showCatName val="1"/>
            </c:dLbl>
            <c:dLbl>
              <c:idx val="2"/>
              <c:layout>
                <c:manualLayout>
                  <c:x val="9.1685258092738406E-2"/>
                  <c:y val="-0.24039515893846641"/>
                </c:manualLayout>
              </c:layout>
              <c:tx>
                <c:rich>
                  <a:bodyPr/>
                  <a:lstStyle/>
                  <a:p>
                    <a:r>
                      <a:rPr lang="el-GR"/>
                      <a:t>Υπηρεσίες 73</a:t>
                    </a:r>
                    <a:r>
                      <a:rPr lang="hu-HU"/>
                      <a:t>,</a:t>
                    </a:r>
                    <a:r>
                      <a:rPr lang="el-GR"/>
                      <a:t>19%</a:t>
                    </a:r>
                  </a:p>
                </c:rich>
              </c:tx>
              <c:showCatName val="1"/>
            </c:dLbl>
            <c:showCatName val="1"/>
            <c:showLeaderLines val="1"/>
          </c:dLbls>
          <c:cat>
            <c:strRef>
              <c:f>Sheet1!$B$5:$B$7</c:f>
              <c:strCache>
                <c:ptCount val="3"/>
                <c:pt idx="0">
                  <c:v>Αγροτικός Τομέας 3,52%</c:v>
                </c:pt>
                <c:pt idx="1">
                  <c:v>Βιομηχανικός Τομέας 25,34%</c:v>
                </c:pt>
                <c:pt idx="2">
                  <c:v>Υπηρεσίες 71,14%</c:v>
                </c:pt>
              </c:strCache>
            </c:strRef>
          </c:cat>
          <c:val>
            <c:numRef>
              <c:f>Sheet1!$E$5:$E$7</c:f>
              <c:numCache>
                <c:formatCode>General</c:formatCode>
                <c:ptCount val="3"/>
                <c:pt idx="0">
                  <c:v>3.52</c:v>
                </c:pt>
                <c:pt idx="1">
                  <c:v>25.34</c:v>
                </c:pt>
                <c:pt idx="2">
                  <c:v>71.14</c:v>
                </c:pt>
              </c:numCache>
            </c:numRef>
          </c:val>
        </c:ser>
        <c:dLbls>
          <c:showCatName val="1"/>
        </c:dLbls>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l-GR" sz="1400"/>
              <a:t>Σύνθεση Βιομηχανικού Τομέα - Δεκέμβριος</a:t>
            </a:r>
            <a:r>
              <a:rPr lang="el-GR" sz="1400" baseline="0"/>
              <a:t> </a:t>
            </a:r>
            <a:r>
              <a:rPr lang="el-GR" sz="1400"/>
              <a:t>20</a:t>
            </a:r>
            <a:r>
              <a:rPr lang="en-US" sz="1400"/>
              <a:t>2</a:t>
            </a:r>
            <a:r>
              <a:rPr lang="el-GR" sz="1400"/>
              <a:t>2</a:t>
            </a:r>
            <a:endParaRPr lang="en-US" sz="1400"/>
          </a:p>
        </c:rich>
      </c:tx>
    </c:title>
    <c:view3D>
      <c:rotX val="30"/>
      <c:perspective val="30"/>
    </c:view3D>
    <c:plotArea>
      <c:layout>
        <c:manualLayout>
          <c:layoutTarget val="inner"/>
          <c:xMode val="edge"/>
          <c:yMode val="edge"/>
          <c:x val="0.11049868766404188"/>
          <c:y val="0.25084566596194613"/>
          <c:w val="0.76046984663194761"/>
          <c:h val="0.65462924428315783"/>
        </c:manualLayout>
      </c:layout>
      <c:pie3DChart>
        <c:varyColors val="1"/>
        <c:ser>
          <c:idx val="0"/>
          <c:order val="0"/>
          <c:explosion val="13"/>
          <c:dPt>
            <c:idx val="1"/>
            <c:explosion val="4"/>
          </c:dPt>
          <c:dPt>
            <c:idx val="2"/>
            <c:explosion val="5"/>
          </c:dPt>
          <c:dPt>
            <c:idx val="3"/>
            <c:explosion val="7"/>
          </c:dPt>
          <c:dPt>
            <c:idx val="4"/>
            <c:explosion val="4"/>
          </c:dPt>
          <c:dPt>
            <c:idx val="5"/>
            <c:explosion val="8"/>
          </c:dPt>
          <c:dLbls>
            <c:dLbl>
              <c:idx val="0"/>
              <c:layout>
                <c:manualLayout>
                  <c:x val="-8.3116893637453768E-2"/>
                  <c:y val="-3.4319200032881796E-2"/>
                </c:manualLayout>
              </c:layout>
              <c:tx>
                <c:rich>
                  <a:bodyPr/>
                  <a:lstStyle/>
                  <a:p>
                    <a:r>
                      <a:rPr lang="el-GR"/>
                      <a:t>Τρόφιμα &amp; προϊόντα καπνού: 12,24%</a:t>
                    </a:r>
                  </a:p>
                </c:rich>
              </c:tx>
              <c:showCatName val="1"/>
            </c:dLbl>
            <c:dLbl>
              <c:idx val="1"/>
              <c:layout>
                <c:manualLayout>
                  <c:x val="-1.6002545136403458E-2"/>
                  <c:y val="-4.9690265226913832E-2"/>
                </c:manualLayout>
              </c:layout>
              <c:tx>
                <c:rich>
                  <a:bodyPr/>
                  <a:lstStyle/>
                  <a:p>
                    <a:r>
                      <a:rPr lang="el-GR"/>
                      <a:t>Άλλα: 16,16%</a:t>
                    </a:r>
                  </a:p>
                </c:rich>
              </c:tx>
              <c:showCatName val="1"/>
            </c:dLbl>
            <c:dLbl>
              <c:idx val="2"/>
              <c:layout>
                <c:manualLayout>
                  <c:x val="5.6909426725699687E-2"/>
                  <c:y val="-0.15318953419413231"/>
                </c:manualLayout>
              </c:layout>
              <c:tx>
                <c:rich>
                  <a:bodyPr/>
                  <a:lstStyle/>
                  <a:p>
                    <a:r>
                      <a:rPr lang="el-GR"/>
                      <a:t>Χημικά, Πλαστικά &amp; Πετροχημικά: 15,27%</a:t>
                    </a:r>
                  </a:p>
                </c:rich>
              </c:tx>
              <c:showCatName val="1"/>
            </c:dLbl>
            <c:dLbl>
              <c:idx val="3"/>
              <c:layout>
                <c:manualLayout>
                  <c:x val="-1.0224584721522607E-2"/>
                  <c:y val="2.8519086120946287E-3"/>
                </c:manualLayout>
              </c:layout>
              <c:tx>
                <c:rich>
                  <a:bodyPr/>
                  <a:lstStyle/>
                  <a:p>
                    <a:r>
                      <a:rPr lang="el-GR"/>
                      <a:t>Μέταλλα, Μηχανολογικός εξοπλισμός: 15,11%</a:t>
                    </a:r>
                  </a:p>
                </c:rich>
              </c:tx>
              <c:showCatName val="1"/>
            </c:dLbl>
            <c:dLbl>
              <c:idx val="4"/>
              <c:layout>
                <c:manualLayout>
                  <c:x val="-4.691218101104392E-2"/>
                  <c:y val="-3.3856506191759592E-3"/>
                </c:manualLayout>
              </c:layout>
              <c:tx>
                <c:rich>
                  <a:bodyPr/>
                  <a:lstStyle/>
                  <a:p>
                    <a:r>
                      <a:rPr lang="el-GR"/>
                      <a:t>Ηλεκτρονικός &amp; Ηλεκτρικός εξοπλισμός: 16,82%</a:t>
                    </a:r>
                  </a:p>
                </c:rich>
              </c:tx>
              <c:showCatName val="1"/>
            </c:dLbl>
            <c:dLbl>
              <c:idx val="5"/>
              <c:layout>
                <c:manualLayout>
                  <c:x val="1.002500950007512E-2"/>
                  <c:y val="-6.5165260382720622E-2"/>
                </c:manualLayout>
              </c:layout>
              <c:tx>
                <c:rich>
                  <a:bodyPr/>
                  <a:lstStyle/>
                  <a:p>
                    <a:r>
                      <a:rPr lang="el-GR"/>
                      <a:t>Εξοπλισμός Μεταφορών, Αυτοκίνητα: 24,4%</a:t>
                    </a:r>
                  </a:p>
                </c:rich>
              </c:tx>
              <c:showCatName val="1"/>
            </c:dLbl>
            <c:showCatName val="1"/>
            <c:showLeaderLines val="1"/>
          </c:dLbls>
          <c:cat>
            <c:strRef>
              <c:f>Sheet1!$D$25:$D$30</c:f>
              <c:strCache>
                <c:ptCount val="6"/>
                <c:pt idx="0">
                  <c:v>Τρόφιμα &amp; προϊόντα καπνού: 12,32%</c:v>
                </c:pt>
                <c:pt idx="1">
                  <c:v>Άλλα: 11,74%</c:v>
                </c:pt>
                <c:pt idx="2">
                  <c:v>Χημικά, Πλαστικά &amp; Πετροχημικά: 16,13%</c:v>
                </c:pt>
                <c:pt idx="3">
                  <c:v>Μέταλλα, Μηχανολογικός εξοπλισμός: 15,79%</c:v>
                </c:pt>
                <c:pt idx="4">
                  <c:v>Ηλεκτρονικός &amp; Ηλεκτρικός εξοπλισμός: 18,23%</c:v>
                </c:pt>
                <c:pt idx="5">
                  <c:v>Εξοπλισμός Μεταφορών, Αυτοκίνητα: 26,93%</c:v>
                </c:pt>
              </c:strCache>
            </c:strRef>
          </c:cat>
          <c:val>
            <c:numRef>
              <c:f>Sheet1!$F$25:$F$30</c:f>
              <c:numCache>
                <c:formatCode>0.00%</c:formatCode>
                <c:ptCount val="6"/>
                <c:pt idx="0">
                  <c:v>0.1115</c:v>
                </c:pt>
                <c:pt idx="1">
                  <c:v>0.1174</c:v>
                </c:pt>
                <c:pt idx="2">
                  <c:v>0.1613</c:v>
                </c:pt>
                <c:pt idx="3">
                  <c:v>0.15790000000000037</c:v>
                </c:pt>
                <c:pt idx="4">
                  <c:v>0.18230000000000021</c:v>
                </c:pt>
                <c:pt idx="5">
                  <c:v>0.26929999999999998</c:v>
                </c:pt>
              </c:numCache>
            </c:numRef>
          </c:val>
        </c:ser>
        <c:dLbls>
          <c:showCatName val="1"/>
        </c:dLbls>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1" i="0" u="none" strike="noStrike" baseline="0">
                <a:solidFill>
                  <a:srgbClr val="000000"/>
                </a:solidFill>
                <a:latin typeface="Calibri"/>
                <a:ea typeface="Calibri"/>
                <a:cs typeface="Calibri"/>
              </a:defRPr>
            </a:pPr>
            <a:r>
              <a:rPr lang="el-GR"/>
              <a:t>Σύνθεση Εξαγωγών Ουγγαρίας 202</a:t>
            </a:r>
            <a:r>
              <a:rPr lang="en-US"/>
              <a:t>2</a:t>
            </a:r>
            <a:endParaRPr lang="el-GR"/>
          </a:p>
        </c:rich>
      </c:tx>
      <c:layout>
        <c:manualLayout>
          <c:xMode val="edge"/>
          <c:yMode val="edge"/>
          <c:x val="0.24860683607730957"/>
          <c:y val="2.5062571934888499E-2"/>
        </c:manualLayout>
      </c:layout>
    </c:title>
    <c:view3D>
      <c:rotX val="30"/>
      <c:rotY val="70"/>
      <c:perspective val="10"/>
    </c:view3D>
    <c:plotArea>
      <c:layout>
        <c:manualLayout>
          <c:layoutTarget val="inner"/>
          <c:xMode val="edge"/>
          <c:yMode val="edge"/>
          <c:x val="4.1345151995697847E-2"/>
          <c:y val="0.32998002569864759"/>
          <c:w val="0.58289685558804571"/>
          <c:h val="0.54997107380138965"/>
        </c:manualLayout>
      </c:layout>
      <c:pie3DChart>
        <c:varyColors val="1"/>
        <c:ser>
          <c:idx val="0"/>
          <c:order val="0"/>
          <c:tx>
            <c:v>Σύνθεση Εξαγωγών Ουγγαρίας 2019</c:v>
          </c:tx>
          <c:explosion val="6"/>
          <c:dLbls>
            <c:dLbl>
              <c:idx val="0"/>
              <c:layout>
                <c:manualLayout>
                  <c:x val="3.9124111232312478E-2"/>
                  <c:y val="-0.13950892449348704"/>
                </c:manualLayout>
              </c:layout>
              <c:dLblPos val="bestFit"/>
              <c:showCatName val="1"/>
            </c:dLbl>
            <c:dLbl>
              <c:idx val="1"/>
              <c:layout>
                <c:manualLayout>
                  <c:x val="3.8843802195180202E-2"/>
                  <c:y val="-0.10277995992960277"/>
                </c:manualLayout>
              </c:layout>
              <c:dLblPos val="bestFit"/>
              <c:showCatName val="1"/>
            </c:dLbl>
            <c:dLbl>
              <c:idx val="2"/>
              <c:layout>
                <c:manualLayout>
                  <c:x val="7.3568062514912907E-2"/>
                  <c:y val="-6.4347090024420182E-3"/>
                </c:manualLayout>
              </c:layout>
              <c:dLblPos val="bestFit"/>
              <c:showCatName val="1"/>
            </c:dLbl>
            <c:dLbl>
              <c:idx val="3"/>
              <c:layout>
                <c:manualLayout>
                  <c:x val="0.12928365516337689"/>
                  <c:y val="-7.7769884027654524E-3"/>
                </c:manualLayout>
              </c:layout>
              <c:dLblPos val="bestFit"/>
              <c:showCatName val="1"/>
            </c:dLbl>
            <c:dLbl>
              <c:idx val="4"/>
              <c:layout>
                <c:manualLayout>
                  <c:x val="-2.4107313290384156E-2"/>
                  <c:y val="-4.7466369488036834E-2"/>
                </c:manualLayout>
              </c:layout>
              <c:dLblPos val="bestFit"/>
              <c:showCatName val="1"/>
            </c:dLbl>
            <c:txPr>
              <a:bodyPr/>
              <a:lstStyle/>
              <a:p>
                <a:pPr>
                  <a:defRPr sz="1000" b="0" i="0" u="none" strike="noStrike" baseline="0">
                    <a:solidFill>
                      <a:srgbClr val="000000"/>
                    </a:solidFill>
                    <a:latin typeface="Calibri"/>
                    <a:ea typeface="Calibri"/>
                    <a:cs typeface="Calibri"/>
                  </a:defRPr>
                </a:pPr>
                <a:endParaRPr lang="en-US"/>
              </a:p>
            </c:txPr>
            <c:showCatName val="1"/>
            <c:showLeaderLines val="1"/>
          </c:dLbls>
          <c:cat>
            <c:strRef>
              <c:f>KAB030!$A$3:$A$7</c:f>
              <c:strCache>
                <c:ptCount val="5"/>
                <c:pt idx="0">
                  <c:v>Τρόφιμα, Ποτά, Καπνός: 7,0%</c:v>
                </c:pt>
                <c:pt idx="1">
                  <c:v>Πρώτες Ύλες: 2,3%</c:v>
                </c:pt>
                <c:pt idx="2">
                  <c:v>Καύσιμα, Ενέργεια: 2,2%</c:v>
                </c:pt>
                <c:pt idx="3">
                  <c:v>Βιομηχανικά Προϊόντα: 31,0%</c:v>
                </c:pt>
                <c:pt idx="4">
                  <c:v>Μηχανολογικός Εξοπλισμός &amp; Εξοπλισμός Μεταφορών: 57,5%</c:v>
                </c:pt>
              </c:strCache>
            </c:strRef>
          </c:cat>
          <c:val>
            <c:numRef>
              <c:f>KAB030!$B$3:$B$7</c:f>
              <c:numCache>
                <c:formatCode>General</c:formatCode>
                <c:ptCount val="5"/>
                <c:pt idx="0">
                  <c:v>7838</c:v>
                </c:pt>
                <c:pt idx="1">
                  <c:v>2310</c:v>
                </c:pt>
                <c:pt idx="2">
                  <c:v>2159</c:v>
                </c:pt>
                <c:pt idx="3">
                  <c:v>32584</c:v>
                </c:pt>
                <c:pt idx="4">
                  <c:v>59600</c:v>
                </c:pt>
              </c:numCache>
            </c:numRef>
          </c:val>
        </c:ser>
        <c:dLbls>
          <c:showCatName val="1"/>
          <c:showPercent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b="1" i="0" u="none" strike="noStrike" baseline="0">
                <a:solidFill>
                  <a:srgbClr val="000000"/>
                </a:solidFill>
                <a:latin typeface="Calibri"/>
                <a:ea typeface="Calibri"/>
                <a:cs typeface="Calibri"/>
              </a:defRPr>
            </a:pPr>
            <a:r>
              <a:rPr lang="el-GR"/>
              <a:t>Σύνθεση Εισαγωγών Ουγγαρίας 202</a:t>
            </a:r>
            <a:r>
              <a:rPr lang="en-US"/>
              <a:t>2</a:t>
            </a:r>
            <a:endParaRPr lang="el-GR"/>
          </a:p>
        </c:rich>
      </c:tx>
    </c:title>
    <c:view3D>
      <c:rotX val="30"/>
      <c:perspective val="30"/>
    </c:view3D>
    <c:plotArea>
      <c:layout>
        <c:manualLayout>
          <c:layoutTarget val="inner"/>
          <c:xMode val="edge"/>
          <c:yMode val="edge"/>
          <c:x val="0.16998344605264662"/>
          <c:y val="0.29583055010154585"/>
          <c:w val="0.7374756319360497"/>
          <c:h val="0.61438003090230686"/>
        </c:manualLayout>
      </c:layout>
      <c:pie3DChart>
        <c:varyColors val="1"/>
        <c:ser>
          <c:idx val="0"/>
          <c:order val="0"/>
          <c:tx>
            <c:v>Σύνθεση Εισαγωγών Ουγγαρίας 2019</c:v>
          </c:tx>
          <c:dLbls>
            <c:dLbl>
              <c:idx val="0"/>
              <c:layout>
                <c:manualLayout>
                  <c:x val="-0.10231509522848099"/>
                  <c:y val="-4.6159803795017357E-4"/>
                </c:manualLayout>
              </c:layout>
              <c:tx>
                <c:rich>
                  <a:bodyPr/>
                  <a:lstStyle/>
                  <a:p>
                    <a:r>
                      <a:rPr lang="el-GR" sz="1000" b="0" i="0" u="none" strike="noStrike" baseline="0">
                        <a:solidFill>
                          <a:srgbClr val="000000"/>
                        </a:solidFill>
                        <a:latin typeface="Calibri"/>
                        <a:cs typeface="Calibri"/>
                      </a:rPr>
                      <a:t>Τρόφιμα, Ποτά, </a:t>
                    </a:r>
                  </a:p>
                  <a:p>
                    <a:r>
                      <a:rPr lang="el-GR" sz="1000" b="0" i="0" u="none" strike="noStrike" baseline="0">
                        <a:solidFill>
                          <a:srgbClr val="000000"/>
                        </a:solidFill>
                        <a:latin typeface="Calibri"/>
                        <a:cs typeface="Calibri"/>
                      </a:rPr>
                      <a:t>Καπνός: </a:t>
                    </a:r>
                    <a:r>
                      <a:rPr lang="en-US" sz="1000" b="0" i="0" u="none" strike="noStrike" baseline="0">
                        <a:solidFill>
                          <a:srgbClr val="000000"/>
                        </a:solidFill>
                        <a:latin typeface="Calibri"/>
                        <a:cs typeface="Calibri"/>
                      </a:rPr>
                      <a:t>5,4</a:t>
                    </a:r>
                    <a:r>
                      <a:rPr lang="el-GR" sz="1000" b="0" i="0" u="none" strike="noStrike" baseline="0">
                        <a:solidFill>
                          <a:srgbClr val="000000"/>
                        </a:solidFill>
                        <a:latin typeface="Calibri"/>
                        <a:cs typeface="Calibri"/>
                      </a:rPr>
                      <a:t>%</a:t>
                    </a:r>
                  </a:p>
                </c:rich>
              </c:tx>
              <c:dLblPos val="bestFit"/>
            </c:dLbl>
            <c:dLbl>
              <c:idx val="1"/>
              <c:layout>
                <c:manualLayout>
                  <c:x val="-1.8501753090243447E-2"/>
                  <c:y val="-3.1237306776241865E-2"/>
                </c:manualLayout>
              </c:layout>
              <c:dLblPos val="bestFit"/>
              <c:showCatName val="1"/>
            </c:dLbl>
            <c:dLbl>
              <c:idx val="3"/>
              <c:layout>
                <c:manualLayout>
                  <c:x val="-2.2010117494768694E-2"/>
                  <c:y val="0.11457165219386137"/>
                </c:manualLayout>
              </c:layout>
              <c:dLblPos val="bestFit"/>
              <c:showCatName val="1"/>
            </c:dLbl>
            <c:dLbl>
              <c:idx val="4"/>
              <c:layout>
                <c:manualLayout>
                  <c:x val="-2.5619411681423839E-2"/>
                  <c:y val="-7.4461402478931904E-2"/>
                </c:manualLayout>
              </c:layout>
              <c:dLblPos val="bestFit"/>
              <c:showCatName val="1"/>
            </c:dLbl>
            <c:txPr>
              <a:bodyPr/>
              <a:lstStyle/>
              <a:p>
                <a:pPr>
                  <a:defRPr sz="1000" b="0" i="0" u="none" strike="noStrike" baseline="0">
                    <a:solidFill>
                      <a:srgbClr val="000000"/>
                    </a:solidFill>
                    <a:latin typeface="Calibri"/>
                    <a:ea typeface="Calibri"/>
                    <a:cs typeface="Calibri"/>
                  </a:defRPr>
                </a:pPr>
                <a:endParaRPr lang="en-US"/>
              </a:p>
            </c:txPr>
            <c:showCatName val="1"/>
            <c:showLeaderLines val="1"/>
          </c:dLbls>
          <c:cat>
            <c:strRef>
              <c:f>KAB030!$A$10:$A$14</c:f>
              <c:strCache>
                <c:ptCount val="5"/>
                <c:pt idx="0">
                  <c:v>Τρόφιμα, Ποτά, Καπνός: 5,4%</c:v>
                </c:pt>
                <c:pt idx="1">
                  <c:v>Πρώτες Ύλες: 1,2%</c:v>
                </c:pt>
                <c:pt idx="2">
                  <c:v>Καύσιμα, Ενέργεια: 14,7%</c:v>
                </c:pt>
                <c:pt idx="3">
                  <c:v>Βιομηχανικά Προϊόντα: 31,8%</c:v>
                </c:pt>
                <c:pt idx="4">
                  <c:v>Μηχανολογικός Εξοπλισμός &amp; Εξοπλισμός Μεταφορών: 47,9%</c:v>
                </c:pt>
              </c:strCache>
            </c:strRef>
          </c:cat>
          <c:val>
            <c:numRef>
              <c:f>KAB030!$B$10:$B$14</c:f>
              <c:numCache>
                <c:formatCode>General</c:formatCode>
                <c:ptCount val="5"/>
                <c:pt idx="0">
                  <c:v>5621</c:v>
                </c:pt>
                <c:pt idx="1">
                  <c:v>1952</c:v>
                </c:pt>
                <c:pt idx="2">
                  <c:v>5381</c:v>
                </c:pt>
                <c:pt idx="3">
                  <c:v>37941</c:v>
                </c:pt>
                <c:pt idx="4">
                  <c:v>47800</c:v>
                </c:pt>
              </c:numCache>
            </c:numRef>
          </c:val>
        </c:ser>
        <c:dLbls>
          <c:showPercent val="1"/>
        </c:dLbls>
      </c:pie3DChart>
      <c:spPr>
        <a:noFill/>
        <a:ln w="25400">
          <a:noFill/>
        </a:ln>
      </c:spPr>
    </c:plotArea>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l-GR" sz="1400"/>
              <a:t>Εξωτερικό Εμπόριο Ουγγαρίας </a:t>
            </a:r>
          </a:p>
          <a:p>
            <a:pPr>
              <a:defRPr sz="1400"/>
            </a:pPr>
            <a:r>
              <a:rPr lang="el-GR" sz="1400"/>
              <a:t>ανά ομάδες χωρών 2022</a:t>
            </a:r>
          </a:p>
        </c:rich>
      </c:tx>
    </c:title>
    <c:view3D>
      <c:rotX val="30"/>
      <c:perspective val="30"/>
    </c:view3D>
    <c:plotArea>
      <c:layout>
        <c:manualLayout>
          <c:layoutTarget val="inner"/>
          <c:xMode val="edge"/>
          <c:yMode val="edge"/>
          <c:x val="0.18720009818916619"/>
          <c:y val="0.43779262737897801"/>
          <c:w val="0.70233841273438224"/>
          <c:h val="0.53702699998822956"/>
        </c:manualLayout>
      </c:layout>
      <c:pie3DChart>
        <c:varyColors val="1"/>
        <c:ser>
          <c:idx val="0"/>
          <c:order val="0"/>
          <c:dLbls>
            <c:dLbl>
              <c:idx val="0"/>
              <c:layout>
                <c:manualLayout>
                  <c:x val="8.3443607318869323E-2"/>
                  <c:y val="-3.9755638485636006E-2"/>
                </c:manualLayout>
              </c:layout>
              <c:tx>
                <c:rich>
                  <a:bodyPr/>
                  <a:lstStyle/>
                  <a:p>
                    <a:pPr>
                      <a:defRPr/>
                    </a:pPr>
                    <a:r>
                      <a:rPr lang="en-US"/>
                      <a:t>E</a:t>
                    </a:r>
                    <a:r>
                      <a:rPr lang="el-GR"/>
                      <a:t>.Ε.-27  </a:t>
                    </a:r>
                  </a:p>
                  <a:p>
                    <a:pPr>
                      <a:defRPr/>
                    </a:pPr>
                    <a:r>
                      <a:rPr lang="el-GR"/>
                      <a:t>72,57%</a:t>
                    </a:r>
                  </a:p>
                </c:rich>
              </c:tx>
              <c:spPr/>
              <c:dLblPos val="bestFit"/>
            </c:dLbl>
            <c:dLbl>
              <c:idx val="1"/>
              <c:layout>
                <c:manualLayout>
                  <c:x val="-0.10423639041522723"/>
                  <c:y val="0.11200543170317109"/>
                </c:manualLayout>
              </c:layout>
              <c:tx>
                <c:rich>
                  <a:bodyPr/>
                  <a:lstStyle/>
                  <a:p>
                    <a:pPr>
                      <a:defRPr/>
                    </a:pPr>
                    <a:r>
                      <a:rPr lang="el-GR"/>
                      <a:t>Χώρες Ευρώπης (εκτός Ε.Ε. 27)  11,95%</a:t>
                    </a:r>
                  </a:p>
                </c:rich>
              </c:tx>
              <c:spPr/>
              <c:dLblPos val="bestFit"/>
            </c:dLbl>
            <c:dLbl>
              <c:idx val="2"/>
              <c:layout>
                <c:manualLayout>
                  <c:x val="-0.15216894201174494"/>
                  <c:y val="3.2378551936590987E-3"/>
                </c:manualLayout>
              </c:layout>
              <c:tx>
                <c:rich>
                  <a:bodyPr/>
                  <a:lstStyle/>
                  <a:p>
                    <a:pPr>
                      <a:defRPr/>
                    </a:pPr>
                    <a:r>
                      <a:rPr lang="en-US"/>
                      <a:t>A</a:t>
                    </a:r>
                    <a:r>
                      <a:rPr lang="el-GR"/>
                      <a:t>σία </a:t>
                    </a:r>
                  </a:p>
                  <a:p>
                    <a:pPr>
                      <a:defRPr/>
                    </a:pPr>
                    <a:r>
                      <a:rPr lang="el-GR"/>
                      <a:t>11,</a:t>
                    </a:r>
                    <a:r>
                      <a:rPr lang="en-US"/>
                      <a:t>0</a:t>
                    </a:r>
                    <a:r>
                      <a:rPr lang="el-GR"/>
                      <a:t>7%</a:t>
                    </a:r>
                  </a:p>
                </c:rich>
              </c:tx>
              <c:spPr/>
              <c:dLblPos val="bestFit"/>
            </c:dLbl>
            <c:dLbl>
              <c:idx val="3"/>
              <c:layout>
                <c:manualLayout>
                  <c:x val="-0.14935062973243451"/>
                  <c:y val="-6.7156291562209439E-2"/>
                </c:manualLayout>
              </c:layout>
              <c:tx>
                <c:rich>
                  <a:bodyPr/>
                  <a:lstStyle/>
                  <a:p>
                    <a:pPr>
                      <a:defRPr/>
                    </a:pPr>
                    <a:r>
                      <a:rPr lang="en-US"/>
                      <a:t>A</a:t>
                    </a:r>
                    <a:r>
                      <a:rPr lang="el-GR"/>
                      <a:t>φρική </a:t>
                    </a:r>
                  </a:p>
                  <a:p>
                    <a:pPr>
                      <a:defRPr/>
                    </a:pPr>
                    <a:r>
                      <a:rPr lang="el-GR"/>
                      <a:t>0,47%</a:t>
                    </a:r>
                  </a:p>
                </c:rich>
              </c:tx>
              <c:spPr/>
              <c:dLblPos val="bestFit"/>
            </c:dLbl>
            <c:dLbl>
              <c:idx val="4"/>
              <c:layout>
                <c:manualLayout>
                  <c:x val="3.0855567514492459E-2"/>
                  <c:y val="-0.11459723644409919"/>
                </c:manualLayout>
              </c:layout>
              <c:tx>
                <c:rich>
                  <a:bodyPr/>
                  <a:lstStyle/>
                  <a:p>
                    <a:pPr>
                      <a:defRPr/>
                    </a:pPr>
                    <a:r>
                      <a:rPr lang="en-US"/>
                      <a:t>A</a:t>
                    </a:r>
                    <a:r>
                      <a:rPr lang="el-GR"/>
                      <a:t>μερικανική Ήπειρος </a:t>
                    </a:r>
                  </a:p>
                  <a:p>
                    <a:pPr>
                      <a:defRPr/>
                    </a:pPr>
                    <a:r>
                      <a:rPr lang="el-GR"/>
                      <a:t>3,66%</a:t>
                    </a:r>
                  </a:p>
                </c:rich>
              </c:tx>
              <c:spPr/>
              <c:dLblPos val="bestFit"/>
            </c:dLbl>
            <c:dLbl>
              <c:idx val="5"/>
              <c:layout>
                <c:manualLayout>
                  <c:x val="0.18195358673691045"/>
                  <c:y val="-8.2225498158022436E-2"/>
                </c:manualLayout>
              </c:layout>
              <c:tx>
                <c:rich>
                  <a:bodyPr/>
                  <a:lstStyle/>
                  <a:p>
                    <a:pPr>
                      <a:defRPr/>
                    </a:pPr>
                    <a:r>
                      <a:rPr lang="en-US"/>
                      <a:t>A</a:t>
                    </a:r>
                    <a:r>
                      <a:rPr lang="el-GR"/>
                      <a:t>υστραλία &amp; Ωκεανία </a:t>
                    </a:r>
                  </a:p>
                  <a:p>
                    <a:pPr>
                      <a:defRPr/>
                    </a:pPr>
                    <a:r>
                      <a:rPr lang="el-GR"/>
                      <a:t>0,2</a:t>
                    </a:r>
                    <a:r>
                      <a:rPr lang="en-US"/>
                      <a:t>8</a:t>
                    </a:r>
                    <a:r>
                      <a:rPr lang="el-GR"/>
                      <a:t>%</a:t>
                    </a:r>
                  </a:p>
                </c:rich>
              </c:tx>
              <c:spPr/>
              <c:dLblPos val="bestFit"/>
            </c:dLbl>
            <c:dLbl>
              <c:idx val="6"/>
              <c:layout>
                <c:manualLayout>
                  <c:x val="0.24370418625729462"/>
                  <c:y val="3.3035556654072949E-2"/>
                </c:manualLayout>
              </c:layout>
              <c:tx>
                <c:rich>
                  <a:bodyPr/>
                  <a:lstStyle/>
                  <a:p>
                    <a:pPr>
                      <a:defRPr/>
                    </a:pPr>
                    <a:r>
                      <a:rPr lang="el-GR"/>
                      <a:t>Άλλες </a:t>
                    </a:r>
                  </a:p>
                  <a:p>
                    <a:pPr>
                      <a:defRPr/>
                    </a:pPr>
                    <a:r>
                      <a:rPr lang="el-GR"/>
                      <a:t>0,1%</a:t>
                    </a:r>
                  </a:p>
                </c:rich>
              </c:tx>
              <c:spPr/>
              <c:dLblPos val="bestFit"/>
            </c:dLbl>
            <c:showCatName val="1"/>
            <c:showLeaderLines val="1"/>
          </c:dLbls>
          <c:cat>
            <c:strRef>
              <c:f>KAB440!$B$9:$B$14</c:f>
              <c:strCache>
                <c:ptCount val="6"/>
                <c:pt idx="0">
                  <c:v>EΕ-27  74,13%</c:v>
                </c:pt>
                <c:pt idx="1">
                  <c:v>Χώρες Ευρώπης (εκτός ΕΕ-27)  10,34%</c:v>
                </c:pt>
                <c:pt idx="2">
                  <c:v>Aσία 11,42%</c:v>
                </c:pt>
                <c:pt idx="3">
                  <c:v>Aφρική 0,5%</c:v>
                </c:pt>
                <c:pt idx="4">
                  <c:v>Aμερικανική Ήπειρος 3,38%</c:v>
                </c:pt>
                <c:pt idx="5">
                  <c:v>Aυστραλία &amp; Ωκεανία 0,19%</c:v>
                </c:pt>
              </c:strCache>
            </c:strRef>
          </c:cat>
          <c:val>
            <c:numRef>
              <c:f>KAB440!$E$9:$E$14</c:f>
              <c:numCache>
                <c:formatCode>#,##0</c:formatCode>
                <c:ptCount val="6"/>
                <c:pt idx="0">
                  <c:v>80734966473</c:v>
                </c:pt>
                <c:pt idx="1">
                  <c:v>21003897443</c:v>
                </c:pt>
                <c:pt idx="2">
                  <c:v>23199986694</c:v>
                </c:pt>
                <c:pt idx="3">
                  <c:v>1032711882</c:v>
                </c:pt>
                <c:pt idx="4">
                  <c:v>6872041429</c:v>
                </c:pt>
                <c:pt idx="5">
                  <c:v>388059066</c:v>
                </c:pt>
              </c:numCache>
            </c:numRef>
          </c:val>
        </c:ser>
        <c:dLbls>
          <c:showPercent val="1"/>
        </c:dLbls>
      </c:pie3DChart>
      <c:spPr>
        <a:noFill/>
        <a:ln w="25400">
          <a:noFill/>
        </a:ln>
      </c:spPr>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Calibri"/>
                <a:ea typeface="Calibri"/>
                <a:cs typeface="Calibri"/>
              </a:defRPr>
            </a:pPr>
            <a:r>
              <a:rPr lang="el-GR" sz="1200" b="1" i="0" u="none" strike="noStrike" baseline="0">
                <a:solidFill>
                  <a:srgbClr val="000000"/>
                </a:solidFill>
                <a:latin typeface="Calibri"/>
                <a:cs typeface="Calibri"/>
              </a:rPr>
              <a:t>Εξωτερικό Εμπόριο Ουγγαρίας </a:t>
            </a:r>
          </a:p>
          <a:p>
            <a:pPr>
              <a:defRPr sz="1000" b="0" i="0" u="none" strike="noStrike" baseline="0">
                <a:solidFill>
                  <a:srgbClr val="000000"/>
                </a:solidFill>
                <a:latin typeface="Calibri"/>
                <a:ea typeface="Calibri"/>
                <a:cs typeface="Calibri"/>
              </a:defRPr>
            </a:pPr>
            <a:r>
              <a:rPr lang="el-GR" sz="1200" b="1" i="0" u="none" strike="noStrike" baseline="0">
                <a:solidFill>
                  <a:srgbClr val="000000"/>
                </a:solidFill>
                <a:latin typeface="Calibri"/>
                <a:cs typeface="Calibri"/>
              </a:rPr>
              <a:t>2014-2022</a:t>
            </a:r>
          </a:p>
        </c:rich>
      </c:tx>
    </c:title>
    <c:plotArea>
      <c:layout>
        <c:manualLayout>
          <c:layoutTarget val="inner"/>
          <c:xMode val="edge"/>
          <c:yMode val="edge"/>
          <c:x val="0.25996066391960393"/>
          <c:y val="0.23799245406824238"/>
          <c:w val="0.49676453903174894"/>
          <c:h val="0.61394363076616965"/>
        </c:manualLayout>
      </c:layout>
      <c:barChart>
        <c:barDir val="col"/>
        <c:grouping val="clustered"/>
        <c:ser>
          <c:idx val="0"/>
          <c:order val="0"/>
          <c:tx>
            <c:strRef>
              <c:f>'KAB030'!$E$19</c:f>
              <c:strCache>
                <c:ptCount val="1"/>
                <c:pt idx="0">
                  <c:v>Εισαγωγές</c:v>
                </c:pt>
              </c:strCache>
            </c:strRef>
          </c:tx>
          <c:cat>
            <c:numRef>
              <c:f>'KAB030'!$G$18:$O$18</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'KAB030'!$G$19:$O$19</c:f>
              <c:numCache>
                <c:formatCode>_-* #,##0\ [$€-408]_-;\-* #,##0\ [$€-408]_-;_-* "-"??\ [$€-408]_-;_-@_-</c:formatCode>
                <c:ptCount val="9"/>
                <c:pt idx="0">
                  <c:v>78231785764</c:v>
                </c:pt>
                <c:pt idx="1">
                  <c:v>81864894005</c:v>
                </c:pt>
                <c:pt idx="2">
                  <c:v>83111460867</c:v>
                </c:pt>
                <c:pt idx="3" formatCode="#,##0">
                  <c:v>92498540320</c:v>
                </c:pt>
                <c:pt idx="4">
                  <c:v>99327334824</c:v>
                </c:pt>
                <c:pt idx="5" formatCode="#,##0">
                  <c:v>104074445581</c:v>
                </c:pt>
                <c:pt idx="6">
                  <c:v>98694881584</c:v>
                </c:pt>
                <c:pt idx="7" formatCode="#,##0">
                  <c:v>117412550798</c:v>
                </c:pt>
                <c:pt idx="8" formatCode="#,##0">
                  <c:v>150781194309</c:v>
                </c:pt>
              </c:numCache>
            </c:numRef>
          </c:val>
        </c:ser>
        <c:ser>
          <c:idx val="1"/>
          <c:order val="1"/>
          <c:tx>
            <c:strRef>
              <c:f>'KAB030'!$E$20</c:f>
              <c:strCache>
                <c:ptCount val="1"/>
                <c:pt idx="0">
                  <c:v>Εξαγωγές</c:v>
                </c:pt>
              </c:strCache>
            </c:strRef>
          </c:tx>
          <c:spPr>
            <a:ln>
              <a:prstDash val="dash"/>
            </a:ln>
          </c:spPr>
          <c:cat>
            <c:numRef>
              <c:f>'KAB030'!$G$18:$O$18</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'KAB030'!$G$20:$O$20</c:f>
              <c:numCache>
                <c:formatCode>_-* #,##0\ [$€-408]_-;\-* #,##0\ [$€-408]_-;_-* "-"??\ [$€-408]_-;_-@_-</c:formatCode>
                <c:ptCount val="9"/>
                <c:pt idx="0">
                  <c:v>84505983861</c:v>
                </c:pt>
                <c:pt idx="1">
                  <c:v>90460196236</c:v>
                </c:pt>
                <c:pt idx="2">
                  <c:v>93046146832</c:v>
                </c:pt>
                <c:pt idx="3" formatCode="#,##0">
                  <c:v>100580761798</c:v>
                </c:pt>
                <c:pt idx="4">
                  <c:v>104884820307</c:v>
                </c:pt>
                <c:pt idx="5" formatCode="#,##0">
                  <c:v>108929180879</c:v>
                </c:pt>
                <c:pt idx="6">
                  <c:v>104489905876</c:v>
                </c:pt>
                <c:pt idx="7" formatCode="#,##0">
                  <c:v>119309345697</c:v>
                </c:pt>
                <c:pt idx="8" formatCode="#,##0">
                  <c:v>142188696704</c:v>
                </c:pt>
              </c:numCache>
            </c:numRef>
          </c:val>
        </c:ser>
        <c:axId val="74147712"/>
        <c:axId val="74149248"/>
      </c:barChart>
      <c:catAx>
        <c:axId val="74147712"/>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4149248"/>
        <c:crosses val="autoZero"/>
        <c:auto val="1"/>
        <c:lblAlgn val="ctr"/>
        <c:lblOffset val="100"/>
      </c:catAx>
      <c:valAx>
        <c:axId val="74149248"/>
        <c:scaling>
          <c:orientation val="minMax"/>
        </c:scaling>
        <c:axPos val="l"/>
        <c:majorGridlines/>
        <c:numFmt formatCode="_-* #,##0\ [$€-408]_-;\-* #,##0\ [$€-408]_-;_-* &quot;-&quot;??\ [$€-408]_-;_-@_-"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4147712"/>
        <c:crosses val="autoZero"/>
        <c:crossBetween val="between"/>
      </c:valAx>
    </c:plotArea>
    <c:legend>
      <c:legendPos val="r"/>
      <c:layout>
        <c:manualLayout>
          <c:xMode val="edge"/>
          <c:yMode val="edge"/>
          <c:x val="0.78878009060748822"/>
          <c:y val="0.453125"/>
          <c:w val="0.16666701315800869"/>
          <c:h val="0.16250000000000001"/>
        </c:manualLayout>
      </c:layout>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FC41-8AA9-4C54-8C04-BF00261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27688</Words>
  <Characters>157828</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ΕΤΗΣΙΑ ΟΙΚΟΝΟΜΙΚΗ ΕΚΘΕΣΗ 2016</vt:lpstr>
    </vt:vector>
  </TitlesOfParts>
  <Company/>
  <LinksUpToDate>false</LinksUpToDate>
  <CharactersWithSpaces>185146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ΕΤΗΣΙΑ ΟΙΚΟΝΟΜΙΚΗ ΕΚΘΕΣΗ 2016</dc:title>
  <dc:creator>Γεώργιος Τοσούνης</dc:creator>
  <cp:lastModifiedBy>dmarinopoulos</cp:lastModifiedBy>
  <cp:revision>2</cp:revision>
  <cp:lastPrinted>2023-08-21T12:14:00Z</cp:lastPrinted>
  <dcterms:created xsi:type="dcterms:W3CDTF">2023-08-29T13:07:00Z</dcterms:created>
  <dcterms:modified xsi:type="dcterms:W3CDTF">2023-08-29T13:07:00Z</dcterms:modified>
</cp:coreProperties>
</file>