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6030" w:type="dxa"/>
        <w:jc w:val="left"/>
        <w:tblInd w:w="70" w:type="dxa"/>
        <w:tblCellMar>
          <w:top w:w="0" w:type="dxa"/>
          <w:left w:w="70" w:type="dxa"/>
          <w:bottom w:w="0" w:type="dxa"/>
          <w:right w:w="70" w:type="dxa"/>
        </w:tblCellMar>
        <w:tblLook w:val="0000"/>
      </w:tblPr>
      <w:tblGrid>
        <w:gridCol w:w="6030"/>
      </w:tblGrid>
      <w:tr>
        <w:trPr/>
        <w:tc>
          <w:tcPr>
            <w:tcW w:w="6030" w:type="dxa"/>
            <w:tcBorders/>
          </w:tcPr>
          <w:p>
            <w:pPr>
              <w:pStyle w:val="Normal"/>
              <w:spacing w:lineRule="auto" w:line="276"/>
              <w:jc w:val="center"/>
              <w:rPr>
                <w:rFonts w:ascii="Georgia" w:hAnsi="Georgia"/>
                <w:lang w:val="el-GR"/>
              </w:rPr>
            </w:pPr>
            <w:r>
              <w:rPr/>
              <w:drawing>
                <wp:inline distT="0" distB="0" distL="0" distR="0">
                  <wp:extent cx="639445" cy="59055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0" t="0" r="7376" b="4661"/>
                          <a:stretch>
                            <a:fillRect/>
                          </a:stretch>
                        </pic:blipFill>
                        <pic:spPr bwMode="auto">
                          <a:xfrm>
                            <a:off x="0" y="0"/>
                            <a:ext cx="639445" cy="590550"/>
                          </a:xfrm>
                          <a:prstGeom prst="rect">
                            <a:avLst/>
                          </a:prstGeom>
                        </pic:spPr>
                      </pic:pic>
                    </a:graphicData>
                  </a:graphic>
                </wp:inline>
              </w:drawing>
            </w:r>
          </w:p>
        </w:tc>
      </w:tr>
      <w:tr>
        <w:trPr/>
        <w:tc>
          <w:tcPr>
            <w:tcW w:w="6030" w:type="dxa"/>
            <w:tcBorders/>
          </w:tcPr>
          <w:p>
            <w:pPr>
              <w:pStyle w:val="Normal"/>
              <w:spacing w:lineRule="auto" w:line="276"/>
              <w:jc w:val="center"/>
              <w:rPr>
                <w:rFonts w:ascii="Georgia" w:hAnsi="Georgia"/>
                <w:sz w:val="22"/>
                <w:lang w:val="el-GR"/>
              </w:rPr>
            </w:pPr>
            <w:r>
              <w:rPr>
                <w:rFonts w:ascii="Georgia" w:hAnsi="Georgia"/>
                <w:b/>
                <w:sz w:val="22"/>
                <w:szCs w:val="22"/>
                <w:lang w:val="el-GR"/>
              </w:rPr>
              <w:t>ΠΡΕΣΒΕΙΑ THΣ ΕΛΛΑΔOΣ ΣΤΟ ΒΟΥΚΟΥΡΕΣΤΙ</w:t>
            </w:r>
          </w:p>
          <w:p>
            <w:pPr>
              <w:pStyle w:val="Heading1"/>
              <w:spacing w:lineRule="auto" w:line="276" w:before="0" w:after="0"/>
              <w:jc w:val="center"/>
              <w:rPr>
                <w:rFonts w:ascii="Georgia" w:hAnsi="Georgia"/>
                <w:sz w:val="22"/>
                <w:szCs w:val="22"/>
                <w:lang w:val="el-GR"/>
              </w:rPr>
            </w:pPr>
            <w:r>
              <w:rPr>
                <w:rFonts w:cs="Times New Roman" w:ascii="Georgia" w:hAnsi="Georgia"/>
                <w:sz w:val="22"/>
                <w:szCs w:val="22"/>
                <w:lang w:val="el-GR"/>
              </w:rPr>
              <w:t>ΓΡΑΦΕΙΟ ΟΙΚΟΝΟΜΙΚΩΝ &amp; ΕΜΠΟΡΙΚΩΝ ΥΠΟΘΕΣΕΩΝ</w:t>
            </w:r>
          </w:p>
        </w:tc>
      </w:tr>
    </w:tbl>
    <w:p>
      <w:pPr>
        <w:pStyle w:val="Normal"/>
        <w:spacing w:lineRule="auto" w:line="276"/>
        <w:jc w:val="right"/>
        <w:rPr>
          <w:rFonts w:ascii="Georgia" w:hAnsi="Georgia"/>
          <w:sz w:val="22"/>
          <w:szCs w:val="22"/>
        </w:rPr>
      </w:pPr>
      <w:r>
        <w:rPr>
          <w:rFonts w:ascii="Georgia" w:hAnsi="Georgia"/>
          <w:b/>
          <w:sz w:val="22"/>
          <w:szCs w:val="22"/>
          <w:lang w:val="el-GR"/>
        </w:rPr>
        <w:t>ΑΔΙΑΒΑΘΜΗΤΟ</w:t>
      </w:r>
    </w:p>
    <w:p>
      <w:pPr>
        <w:pStyle w:val="Normal"/>
        <w:spacing w:lineRule="auto" w:line="276"/>
        <w:jc w:val="right"/>
        <w:rPr>
          <w:rFonts w:ascii="Georgia" w:hAnsi="Georgia"/>
          <w:sz w:val="22"/>
          <w:szCs w:val="22"/>
        </w:rPr>
      </w:pPr>
      <w:r>
        <w:rPr>
          <w:rFonts w:ascii="Georgia" w:hAnsi="Georgia"/>
          <w:b/>
          <w:sz w:val="22"/>
          <w:szCs w:val="22"/>
          <w:lang w:val="el-GR"/>
        </w:rPr>
        <w:t>ΚΑΝΟΝΙΚΟ</w:t>
      </w:r>
    </w:p>
    <w:tbl>
      <w:tblPr>
        <w:tblW w:w="3392" w:type="dxa"/>
        <w:jc w:val="right"/>
        <w:tblInd w:w="0" w:type="dxa"/>
        <w:tblCellMar>
          <w:top w:w="0" w:type="dxa"/>
          <w:left w:w="108" w:type="dxa"/>
          <w:bottom w:w="0" w:type="dxa"/>
          <w:right w:w="108" w:type="dxa"/>
        </w:tblCellMar>
        <w:tblLook w:val="01e0"/>
      </w:tblPr>
      <w:tblGrid>
        <w:gridCol w:w="3392"/>
      </w:tblGrid>
      <w:tr>
        <w:trPr>
          <w:trHeight w:val="585" w:hRule="atLeast"/>
        </w:trPr>
        <w:tc>
          <w:tcPr>
            <w:tcW w:w="3392" w:type="dxa"/>
            <w:tcBorders/>
          </w:tcPr>
          <w:p>
            <w:pPr>
              <w:pStyle w:val="Normal"/>
              <w:spacing w:lineRule="auto" w:line="276"/>
              <w:rPr>
                <w:rFonts w:ascii="Georgia" w:hAnsi="Georgia"/>
                <w:sz w:val="22"/>
                <w:lang w:val="el-GR"/>
              </w:rPr>
            </w:pPr>
            <w:r>
              <w:rPr>
                <w:rFonts w:ascii="Georgia" w:hAnsi="Georgia"/>
                <w:sz w:val="22"/>
                <w:lang w:val="el-GR"/>
              </w:rPr>
            </w:r>
          </w:p>
          <w:p>
            <w:pPr>
              <w:pStyle w:val="Normal"/>
              <w:spacing w:lineRule="auto" w:line="276"/>
              <w:jc w:val="both"/>
              <w:rPr>
                <w:rFonts w:ascii="Georgia" w:hAnsi="Georgia"/>
                <w:sz w:val="22"/>
              </w:rPr>
            </w:pPr>
            <w:r>
              <w:rPr>
                <w:rFonts w:ascii="Georgia" w:hAnsi="Georgia"/>
                <w:sz w:val="22"/>
                <w:szCs w:val="22"/>
              </w:rPr>
              <w:t>8</w:t>
            </w:r>
            <w:r>
              <w:rPr>
                <w:rFonts w:ascii="Georgia" w:hAnsi="Georgia"/>
                <w:sz w:val="22"/>
                <w:szCs w:val="22"/>
                <w:lang w:val="el-GR"/>
              </w:rPr>
              <w:t xml:space="preserve"> Νοεμβρίου </w:t>
            </w:r>
            <w:r>
              <w:rPr>
                <w:rFonts w:ascii="Georgia" w:hAnsi="Georgia"/>
                <w:sz w:val="22"/>
                <w:szCs w:val="22"/>
              </w:rPr>
              <w:t>20</w:t>
            </w:r>
            <w:r>
              <w:rPr>
                <w:rFonts w:ascii="Georgia" w:hAnsi="Georgia"/>
                <w:sz w:val="22"/>
                <w:szCs w:val="22"/>
                <w:lang w:val="el-GR"/>
              </w:rPr>
              <w:t>22</w:t>
            </w:r>
          </w:p>
          <w:p>
            <w:pPr>
              <w:pStyle w:val="Normal"/>
              <w:spacing w:lineRule="auto" w:line="276"/>
              <w:jc w:val="right"/>
              <w:rPr>
                <w:rFonts w:ascii="Georgia" w:hAnsi="Georgia"/>
                <w:sz w:val="22"/>
                <w:lang w:val="el-GR"/>
              </w:rPr>
            </w:pPr>
            <w:r>
              <w:rPr>
                <w:rFonts w:ascii="Georgia" w:hAnsi="Georgia"/>
                <w:sz w:val="22"/>
                <w:lang w:val="el-GR"/>
              </w:rPr>
            </w:r>
          </w:p>
        </w:tc>
      </w:tr>
    </w:tbl>
    <w:p>
      <w:pPr>
        <w:pStyle w:val="Normal"/>
        <w:spacing w:lineRule="auto" w:line="276"/>
        <w:rPr>
          <w:rFonts w:ascii="Georgia" w:hAnsi="Georgia"/>
          <w:sz w:val="22"/>
          <w:szCs w:val="22"/>
        </w:rPr>
      </w:pPr>
      <w:r>
        <w:rPr>
          <w:rFonts w:ascii="Georgia" w:hAnsi="Georgia"/>
          <w:sz w:val="22"/>
          <w:szCs w:val="22"/>
        </w:rPr>
      </w:r>
    </w:p>
    <w:p>
      <w:pPr>
        <w:pStyle w:val="Normal"/>
        <w:spacing w:lineRule="auto" w:line="276"/>
        <w:rPr>
          <w:rFonts w:ascii="Georgia" w:hAnsi="Georgia"/>
          <w:sz w:val="22"/>
          <w:szCs w:val="22"/>
        </w:rPr>
      </w:pPr>
      <w:r>
        <w:rPr>
          <w:rFonts w:ascii="Georgia" w:hAnsi="Georgia"/>
          <w:sz w:val="22"/>
          <w:szCs w:val="22"/>
        </w:rPr>
      </w:r>
    </w:p>
    <w:tbl>
      <w:tblPr>
        <w:tblW w:w="9495" w:type="dxa"/>
        <w:jc w:val="left"/>
        <w:tblInd w:w="109" w:type="dxa"/>
        <w:tblCellMar>
          <w:top w:w="0" w:type="dxa"/>
          <w:left w:w="108" w:type="dxa"/>
          <w:bottom w:w="0" w:type="dxa"/>
          <w:right w:w="108" w:type="dxa"/>
        </w:tblCellMar>
        <w:tblLook w:val="01e0"/>
      </w:tblPr>
      <w:tblGrid>
        <w:gridCol w:w="1165"/>
        <w:gridCol w:w="8329"/>
      </w:tblGrid>
      <w:tr>
        <w:trPr/>
        <w:tc>
          <w:tcPr>
            <w:tcW w:w="1165" w:type="dxa"/>
            <w:tcBorders/>
          </w:tcPr>
          <w:p>
            <w:pPr>
              <w:pStyle w:val="Normal"/>
              <w:tabs>
                <w:tab w:val="clear" w:pos="720"/>
                <w:tab w:val="left" w:pos="0" w:leader="none"/>
              </w:tabs>
              <w:spacing w:lineRule="auto" w:line="276"/>
              <w:rPr>
                <w:rFonts w:ascii="Georgia" w:hAnsi="Georgia"/>
                <w:sz w:val="22"/>
              </w:rPr>
            </w:pPr>
            <w:r>
              <w:rPr>
                <w:rFonts w:ascii="Georgia" w:hAnsi="Georgia"/>
                <w:b/>
                <w:sz w:val="22"/>
                <w:szCs w:val="22"/>
                <w:lang w:val="el-GR"/>
              </w:rPr>
              <w:t>ΘΕΜΑ:</w:t>
            </w:r>
          </w:p>
        </w:tc>
        <w:tc>
          <w:tcPr>
            <w:tcW w:w="8329" w:type="dxa"/>
            <w:tcBorders/>
          </w:tcPr>
          <w:p>
            <w:pPr>
              <w:pStyle w:val="Normal"/>
              <w:tabs>
                <w:tab w:val="clear" w:pos="720"/>
                <w:tab w:val="left" w:pos="975" w:leader="none"/>
              </w:tabs>
              <w:spacing w:lineRule="auto" w:line="276"/>
              <w:jc w:val="both"/>
              <w:rPr>
                <w:rFonts w:ascii="Georgia" w:hAnsi="Georgia"/>
                <w:sz w:val="22"/>
                <w:lang w:val="el-GR"/>
              </w:rPr>
            </w:pPr>
            <w:r>
              <w:rPr>
                <w:rFonts w:ascii="Georgia" w:hAnsi="Georgia"/>
                <w:b/>
                <w:sz w:val="22"/>
                <w:szCs w:val="22"/>
                <w:lang w:val="el-GR"/>
              </w:rPr>
              <w:t>Σημείωμα για τον ρουμανικό αγροδιατροφικό τομέα και τις πρόσφατες εξελίξεις σε αυτόν.</w:t>
            </w:r>
          </w:p>
        </w:tc>
      </w:tr>
    </w:tbl>
    <w:p>
      <w:pPr>
        <w:pStyle w:val="Normal"/>
        <w:tabs>
          <w:tab w:val="clear" w:pos="720"/>
          <w:tab w:val="left" w:pos="975" w:leader="none"/>
        </w:tabs>
        <w:spacing w:lineRule="auto" w:line="276"/>
        <w:jc w:val="both"/>
        <w:rPr>
          <w:rFonts w:ascii="Georgia" w:hAnsi="Georgia"/>
          <w:sz w:val="22"/>
          <w:szCs w:val="22"/>
          <w:lang w:val="el-GR"/>
        </w:rPr>
      </w:pPr>
      <w:r>
        <w:rPr>
          <w:rFonts w:ascii="Georgia" w:hAnsi="Georgia"/>
          <w:sz w:val="22"/>
          <w:szCs w:val="22"/>
          <w:lang w:val="el-GR"/>
        </w:rPr>
      </w:r>
    </w:p>
    <w:p>
      <w:pPr>
        <w:pStyle w:val="ListParagraph"/>
        <w:numPr>
          <w:ilvl w:val="0"/>
          <w:numId w:val="0"/>
        </w:numPr>
        <w:tabs>
          <w:tab w:val="clear" w:pos="720"/>
          <w:tab w:val="left" w:pos="975" w:leader="none"/>
        </w:tabs>
        <w:spacing w:lineRule="auto" w:line="276"/>
        <w:ind w:hanging="0"/>
        <w:jc w:val="both"/>
        <w:rPr>
          <w:rFonts w:ascii="Georgia" w:hAnsi="Georgia"/>
          <w:b/>
          <w:b/>
          <w:sz w:val="22"/>
          <w:szCs w:val="22"/>
          <w:lang w:val="el-GR"/>
        </w:rPr>
      </w:pPr>
      <w:r>
        <w:rPr>
          <w:rFonts w:ascii="Georgia" w:hAnsi="Georgia"/>
          <w:b/>
          <w:sz w:val="22"/>
          <w:szCs w:val="22"/>
          <w:lang w:val="el-GR"/>
        </w:rPr>
        <w:t xml:space="preserve">1. Εισαγωγικά στοιχεία </w:t>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sz w:val="22"/>
          <w:szCs w:val="22"/>
          <w:lang w:val="el-GR"/>
        </w:rPr>
        <w:t>Ο αγροτικός τομέας διαδραματίζει σημαντικό ρόλο στην ρουμανική οικονομία. Σχεδόν το 20% των Ρουμάνων απασχολούνται με γεωργικές δραστηριότητες, σε σύγκριση με τον μέσο όρο των μελών της Ευρωπαϊκής Ένωσης που είναι μόλις 4%. Οι 2,9 εκατ. ιδιοκτήτες γεωργικών εκτάσεων της Ρουμανίας αντιπροσωπεύουν το ένα τρίτο των γεωργικών εκμεταλλεύσεων της ΕΕ. Δεδομένου ότι το μέσο μέγεθος της εκμετάλλευσης (4,42 εκτάρια ή περίπου 40 στρέμματα) είναι σημαντικά μικρότερο από τον μέσο όρο της ΕΕ, συνεπάγεται ότι πολλές από αυτές τις εκμεταλλεύσεις είναι γεωργικές εκμεταλλεύσεις επιβίωσης και ημι-επιβίωσης που παράγουν για τις οικογενειακές ανάγκες.</w:t>
      </w:r>
    </w:p>
    <w:p>
      <w:pPr>
        <w:pStyle w:val="Normal"/>
        <w:tabs>
          <w:tab w:val="clear" w:pos="720"/>
          <w:tab w:val="left" w:pos="975" w:leader="none"/>
        </w:tabs>
        <w:spacing w:lineRule="auto" w:line="276"/>
        <w:jc w:val="both"/>
        <w:rPr>
          <w:rFonts w:ascii="Georgia" w:hAnsi="Georgia"/>
          <w:sz w:val="16"/>
          <w:szCs w:val="16"/>
          <w:lang w:val="el-GR"/>
        </w:rPr>
      </w:pPr>
      <w:r>
        <w:rPr>
          <w:rFonts w:ascii="Georgia" w:hAnsi="Georgia"/>
          <w:sz w:val="16"/>
          <w:szCs w:val="16"/>
          <w:lang w:val="el-GR"/>
        </w:rPr>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sz w:val="22"/>
          <w:szCs w:val="22"/>
          <w:lang w:val="el-GR"/>
        </w:rPr>
        <w:t xml:space="preserve">Το κλίμα και το ανάγλυφο των εκτεταμένων ρουμανικών πεδιάδων είναι πιο ευνοϊκό για την ανάπτυξη των καλλιεργειών σιτηρών, αν και αυτές βρίσκονται επίσης στα Υποκαρπάθια και στη Λεκάνη της Τρανσυλβανίας, όπου καταλαμβάνουν μεγάλο ποσοστό της συνολικής καλλιεργήσιμης γης. Το σιτάρι και το καλαμπόκι είναι πιο σημαντικά και ακολουθούν το κριθάρι, η σίκαλη και η βρώμη. </w:t>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sz w:val="22"/>
          <w:szCs w:val="22"/>
          <w:lang w:val="el-GR"/>
        </w:rPr>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sz w:val="22"/>
          <w:szCs w:val="22"/>
          <w:lang w:val="el-GR"/>
        </w:rPr>
        <w:t xml:space="preserve">Τα λαχανικά και τα όσπρια —μπιζέλια, φασόλια και φακές— φυτεύονται σε σχετικά μικρά αγροτεμάχια. Τα μπιζέλια είναι η κυρίαρχη καλλιέργεια, ενώ ωριμάζοντας εγκαίρως για μια πρώιμη συγκομιδή, επιτρέπουν μια δεύτερη καλλιέργεια, συνήθως κτηνοτροφικά φυτά, να αναπτυχθούν στο ίδιο έδαφος. </w:t>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sz w:val="22"/>
          <w:szCs w:val="22"/>
          <w:lang w:val="el-GR"/>
        </w:rPr>
        <w:t xml:space="preserve">Η καλλιέργεια λαχανικών είναι ιδιαίτερα έντονη στην ευρύτερη περιοχή της πρωτεύουσας του Βουκουρεστίου, με εξειδίκευση στην παραγωγή πρώιμων πατάτας, ντομάτας, κρεμμυδιών, λάχανων και πράσινων πιπεριών. Παρόμοιες περιοχές κηπευτικών, βρίσκονται επίσης γύρω από την Τιμισοάρα, το Αράντ, την Κραϊόβα, το Γαλάτσι, τη Βραΐλα και άλλες πόλεις. </w:t>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sz w:val="22"/>
          <w:szCs w:val="22"/>
          <w:lang w:val="el-GR"/>
        </w:rPr>
        <w:t>Οι πιο σημαντικές περιοχές καλλιέργειας πατάτας είναι οι περιοχές Brașov, Sibiu, Harghita και Mures, ενώ άλλες σχετικές καλλιέργειες περιλαμβάνουν τα ζαχαρότευτλα και τους ηλιόσπορους κυρίως στις πεδιάδες του Δούναβη, της Tisa και της Jijia, όπου παράγονται λινάρι, σόγια και καπνός.</w:t>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sz w:val="22"/>
          <w:szCs w:val="22"/>
          <w:lang w:val="el-GR"/>
        </w:rPr>
        <w:t xml:space="preserve">Η Ρουμανία συγκαταλέγεται επίσης στις κύριες οινοπαραγωγικές χώρες της Ευρώπης. Ειδικεύεται στην παραγωγή κρασιών υψηλής ποιότητας, χρησιμοποιώντας σύγχρονες μεθόδους. Με την ανάπτυξη του τουριστικού εμπορίου, τα κρασιά της γίνονται γνωστά και εκτιμώνται από ένα ευρύτερο διεθνές κοινό. Μεγάλες ποσότητες εξάγονται ετησίως. Οι πιο γνωστοί αμπελώνες είναι στο Odobești, το Panciu και το Nicorești, με τόσο τα λευκά όσο και τα κόκκινα κρασιά να έχουν κερδίσει διάφορα διεθνή βραβεία, ενώ τέλος σε υψόμετρο μεταξύ 300 και 500 μέτρων, οπωρώνες βρίσκονται σχεδόν σε όλες τις πλαγιές των λόφων στις παρυφές των Καρπαθίων. </w:t>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sz w:val="22"/>
          <w:szCs w:val="22"/>
          <w:lang w:val="el-GR"/>
        </w:rPr>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sz w:val="22"/>
          <w:szCs w:val="22"/>
          <w:lang w:val="el-GR"/>
        </w:rPr>
        <w:t>Όσον αφορά στην κτηνοτροφία έχει πολύ μεγάλη παράδοση στη χώρα. Τα πρόβατα μπορούν να εκτρέφονται οπουδήποτε υπάρχει διαθέσιμο γρασίδι, είτε στους αλπικούς βοσκότοπους είτε στην πεδιάδα και την κοιλάδα του Δούναβη. Περίπου τα μισά βοοειδή εκτρέφονται για βόειο κρέας, το οποίο αποτελεί σημαντική εξαγωγή. Στη δεκαετία του 1990, ο κτηνοτροφικός τομέας γνώρισε πολλές από τις ίδιες μειώσεις που σημείωσαν οι καλλιέργειες, ωστόσο, στις αρχές της δεκαετίας του 2000 η τάση αντιστράφηκε και οι εξαγωγές βοείου κρέατος αυξήθηκαν. Τα γαλακτοκομικά προϊόντα αποτελούν επίσης σημαντικό συστατικό της ρουμανικής γεωργίας, όπως και το μαλλί, τα αυγά και το μέλι.</w:t>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sz w:val="22"/>
          <w:szCs w:val="22"/>
          <w:lang w:val="el-GR"/>
        </w:rPr>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sz w:val="22"/>
          <w:szCs w:val="22"/>
          <w:lang w:val="el-GR"/>
        </w:rPr>
        <w:t>Τα ρουμανικά δάση απέδιδαν παραδοσιακά ξυλεία, αλλά από τη δεκαετία του 1990 η έμφαση δόθηκε στα τελικά προϊόντα. Η ξυλεία της χώρας χρησιμοποιείται κυρίως για οικοδομικά υλικά, ινοσανίδες και κατασκευή επίπλων, ενώ τα καλάμια από το δέλτα του Δούναβη παράγουν κυτταρίνη, η οποία χρησιμοποιείται για την κατασκευή ινοσανίδων.</w:t>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sz w:val="22"/>
          <w:szCs w:val="22"/>
          <w:lang w:val="el-GR"/>
        </w:rPr>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sz w:val="22"/>
          <w:szCs w:val="22"/>
          <w:lang w:val="el-GR"/>
        </w:rPr>
        <w:t xml:space="preserve">Τα ποτάμια της Ρουμανίας, οι λίμνες της —ειδικά η περιοχή γύρω από τη λίμνη Razelm πλησίον της Μαύρης Θάλασσας— και η παράκτια περιοχή της Μαύρης Θάλασσας υποστηρίζουν μια καλά ανεπτυγμένη αλιευτική βιομηχανία. Από τη δεκαετία του 1990, η ζήτηση για ψάρια έχει μειωθεί, κυρίως λόγω της μείωσης του στόλου και των πόρων και της αύξησης της τιμής των ψαριών σε σχέση με άλλα προϊόντα ζωικής πρωτεΐνης. Η μεγαλύτερη ποσότητα ψαριών προέρχεται από τον ποταμό Δούναβη και το μεγαλύτερο μέρος των ετήσιων αλιευμάτων καταναλώνεται φρέσκο. Μεταξύ των ψαριών που βρίσκονται στο δέλτα του Δούναβη είναι ο κυπρίνος και ο λούτσος, μαζί με ψάρια που μεταναστεύουν από τη Μαύρη Θάλασσα, όπως το σκουμπρί του Δούναβη και ο οξύρρυγχος, που παράγει το χαβιάρι, το πιο πολύτιμο προϊόν ψαριών της Ρουμανίας. Εργοστάσια κονσερβοποϊίας βρίσκονται στις Τούλτσεα, Κωνστάντζα και Γαλάτσι. Οι εκτροφές πέστροφας είναι διάσπαρτες σε όλη τη χώρα, αν και η ρύπανση των υδάτων έχει θέσει σε κίνδυνο πολλά από αυτά. </w:t>
      </w:r>
    </w:p>
    <w:p>
      <w:pPr>
        <w:pStyle w:val="Normal"/>
        <w:tabs>
          <w:tab w:val="clear" w:pos="720"/>
          <w:tab w:val="left" w:pos="975" w:leader="none"/>
        </w:tabs>
        <w:spacing w:lineRule="auto" w:line="276"/>
        <w:jc w:val="both"/>
        <w:rPr>
          <w:rFonts w:ascii="Georgia" w:hAnsi="Georgia"/>
          <w:sz w:val="16"/>
          <w:szCs w:val="16"/>
          <w:lang w:val="el-GR"/>
        </w:rPr>
      </w:pPr>
      <w:r>
        <w:rPr>
          <w:rFonts w:ascii="Georgia" w:hAnsi="Georgia"/>
          <w:sz w:val="16"/>
          <w:szCs w:val="16"/>
          <w:lang w:val="el-GR"/>
        </w:rPr>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sz w:val="22"/>
          <w:szCs w:val="22"/>
          <w:lang w:val="el-GR"/>
        </w:rPr>
        <w:t>Η ρουμανική παραγωγή αντιπροσωπεύει περίπου το 10% της παραγωγής σιτηρών και ελαιούχων σπόρων της ΕΕ. Το καλαμπόκι παραμένει η κορυφαία καλλιέργεια σιτηρών της Ρουμανίας όσον αφορά τόσο την έκταση όσο και την παραγωγή, ακολουθούμενο από το σιτάρι και το κριθάρι. Η Ρουμανία παράλληλα είναι ο μεγαλύτερος παραγωγός ηλίανθου της Ευρώπης, καθώς και ο κορυφαίος  παραγωγός καλαμποκιού, σιταριού και σόγιας. Το 2022, η παραγωγή σιτηρών και ελαιούχων σπόρων προβλέπεται να επανέλθει σε κανονικά επίπεδα μετά από ένα ιστορικά υψηλό επίπεδο παραγωγής το προηγούμενο έτος. Η μειωμένη παραγωγή σιτηρών λόγω ξηρασίας, αναμένεται να οδηγήσει σε μείωση των εξαγωγών κατά περίπου 22%, ενώ κατά μέσο όρο, η μισή περίπου συγκομιδή εξάγεται.</w:t>
      </w:r>
    </w:p>
    <w:p>
      <w:pPr>
        <w:pStyle w:val="Normal"/>
        <w:tabs>
          <w:tab w:val="clear" w:pos="720"/>
          <w:tab w:val="left" w:pos="975" w:leader="none"/>
        </w:tabs>
        <w:spacing w:lineRule="auto" w:line="276"/>
        <w:jc w:val="both"/>
        <w:rPr>
          <w:rFonts w:ascii="Georgia" w:hAnsi="Georgia"/>
          <w:sz w:val="16"/>
          <w:szCs w:val="16"/>
          <w:lang w:val="el-GR"/>
        </w:rPr>
      </w:pPr>
      <w:r>
        <w:rPr>
          <w:rFonts w:ascii="Georgia" w:hAnsi="Georgia"/>
          <w:sz w:val="16"/>
          <w:szCs w:val="16"/>
          <w:lang w:val="el-GR"/>
        </w:rPr>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sz w:val="22"/>
          <w:szCs w:val="22"/>
          <w:lang w:val="el-GR"/>
        </w:rPr>
        <w:t>Τα τελευταία χρόνια, οι Ρουμάνοι αγρότες προσπάθησαν με συνέπεια, να μεγιστοποιήσουν την αποδοτικότητα της παραγωγής τους και, ως εκ τούτου, έγιναν ολοένα και πιο ανοιχτοί στις πρακτικές της έξυπνης γεωργίας. Οι πρακτικές διατήρησης της παραγωγικότητας του εδάφους, η χημική χαρτογράφηση και οι μεταβλητές πυκνότητες με βάση τη δομή του εδάφους και τα επίπεδα θρεπτικών συστατικών υιοθετούνται όλο και περισσότερο. Η έντονη ξηρασία του 2020 ανέδειξε την ανάγκη βελτίωσης των υποδομών άρδευσης. Ορισμένα από τα παλιά και μη λειτουργικά αντλιοστάσια έχουν ανακαινιστεί. Οι αγρότες των οποίων οι εκτάσεις ήταν αρκετά κοντά σε αποθέματα νερού είχαν πρόσβαση σε χρηματοδότηση της ΕΕ για τη δημιουργία συστημάτων άρδευσης. Ωστόσο, για πολλούς αγρότες, η πρόσβαση στην άρδευση μπορεί να προέλθει μόνο από υποδομές άρδευσης μεγάλης κλίμακας, συμπεριλαμβανομένων μεγάλων καναλιών και αντλιοστασίων. Αυτό το επίπεδο άρδευσης μεγάλης κλίμακας δεν είναι ακόμη ευρέως διαθέσιμο.</w:t>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color w:val="000000"/>
          <w:sz w:val="22"/>
          <w:szCs w:val="22"/>
          <w:lang w:val="el-GR"/>
        </w:rPr>
        <w:t xml:space="preserve">Η Ρουμανία διαθέτει μεν ένα μεγάλο εθνικό δίκτυο αρδευτικών καναλιών, ωστόσο, επί του παρόντος, λιγότερο από το 20% της υποδομής των καναλιών συνολικού μήκους περίπου 10.000 χλμ χρησιμοποιείται, ποτίζοντας περίπου το 10% των 22 εκατομμυρίων στρεμμάτων καλλιεργήσιμης γης. Το Ρ/Υπουργείο Γεωργίας και Αγροτικής Ανάπτυξης, ξεκίνησε ένα πρόγραμμα 1,4 δισεκατομ. Ευρώ το 2022 για την αποκατάσταση των πρωτογενών δικτύων αρδευτικών καναλιών. Ωστόσο, το ποσό που διατέθηκε ήταν ανεπαρκές για την αναβάθμιση ολόκληρου του συστήματος και στη συνέχεια, η Ρουμανία ζήτησε 0,5 δισ. Ευρώ σε πρόσθετους πόρους από την Ευρωπαϊκή Επιτροπή για την αποκατάσταση δευτερογενών αρδευτικών καναλιών μέσω του </w:t>
      </w:r>
      <w:r>
        <w:rPr>
          <w:rFonts w:cs="Arial" w:ascii="Georgia" w:hAnsi="Georgia"/>
          <w:color w:val="000000"/>
          <w:sz w:val="22"/>
          <w:szCs w:val="22"/>
        </w:rPr>
        <w:t>Multiannual</w:t>
      </w:r>
      <w:r>
        <w:rPr>
          <w:rFonts w:cs="Arial" w:ascii="Georgia" w:hAnsi="Georgia"/>
          <w:color w:val="000000"/>
          <w:sz w:val="22"/>
          <w:szCs w:val="22"/>
          <w:lang w:val="el-GR"/>
        </w:rPr>
        <w:t xml:space="preserve"> </w:t>
      </w:r>
      <w:r>
        <w:rPr>
          <w:rFonts w:cs="Arial" w:ascii="Georgia" w:hAnsi="Georgia"/>
          <w:color w:val="000000"/>
          <w:sz w:val="22"/>
          <w:szCs w:val="22"/>
        </w:rPr>
        <w:t>Financial</w:t>
      </w:r>
      <w:r>
        <w:rPr>
          <w:rFonts w:cs="Arial" w:ascii="Georgia" w:hAnsi="Georgia"/>
          <w:color w:val="000000"/>
          <w:sz w:val="22"/>
          <w:szCs w:val="22"/>
          <w:lang w:val="el-GR"/>
        </w:rPr>
        <w:t xml:space="preserve"> </w:t>
      </w:r>
      <w:r>
        <w:rPr>
          <w:rFonts w:cs="Arial" w:ascii="Georgia" w:hAnsi="Georgia"/>
          <w:color w:val="000000"/>
          <w:sz w:val="22"/>
          <w:szCs w:val="22"/>
        </w:rPr>
        <w:t>Framework</w:t>
      </w:r>
      <w:r>
        <w:rPr>
          <w:rFonts w:cs="Arial" w:ascii="Georgia" w:hAnsi="Georgia"/>
          <w:color w:val="2C2C2C"/>
          <w:sz w:val="22"/>
          <w:szCs w:val="22"/>
          <w:lang w:val="el-GR"/>
        </w:rPr>
        <w:t>/</w:t>
      </w:r>
      <w:r>
        <w:rPr>
          <w:rFonts w:ascii="Georgia" w:hAnsi="Georgia"/>
          <w:color w:val="000000"/>
          <w:sz w:val="22"/>
          <w:szCs w:val="22"/>
          <w:lang w:val="el-GR"/>
        </w:rPr>
        <w:t>Πολυετούς Δημοσιονομικού Πλαισίου 2020-2027 της Κοινής Αγροτικής Πολιτικής της ΕΕ.</w:t>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sz w:val="22"/>
          <w:szCs w:val="22"/>
          <w:lang w:val="el-GR"/>
        </w:rPr>
        <w:t>Παρά την όπως προαναφέρθηκε εξέχουσα θέση της Ρουμανίας στην παραγωγή γεωργικών βασικών προϊόντων, η χώρα παραμένει καθαρός εισαγωγέας τροφίμων, αν και το εμπορικό έλλειμμα συρρικνώθηκε σημαντικά το 2021, καθώς οι αυξημένες τιμές των εμπορευμάτων και η αύξηση της παραγωγής στις μεγάλες καλλιέργειες, οδήγησαν σε αύξηση κατά 41% στις αγροτικές εξαγωγές της Ρουμανίας το 2021. Οι εισαγωγές αυξήθηκαν μόνο κατά 17%, επιτρέποντας στη Ρουμανία να μειώσει το γεωργικό εμπορικό της έλλειμμα στο ένα τέταρτο του προηγούμενου έτους (Πίνακας 1). Οι κύριες εισαγωγές αγροδιατροφικών προϊόντων το 2021, αποτελούνταν κυρίως από: κρέας, κηπευτικά, γαλακτοκομικά, συστατικά ζωοτροφών, ενώ οι εξαγωγές αποτελούνταν από δημητριακά, ελαιούχους σπόρους, ζωντανά ζώα και λίπη.</w:t>
      </w:r>
    </w:p>
    <w:p>
      <w:pPr>
        <w:pStyle w:val="Normal"/>
        <w:tabs>
          <w:tab w:val="clear" w:pos="720"/>
          <w:tab w:val="left" w:pos="975" w:leader="none"/>
        </w:tabs>
        <w:spacing w:lineRule="auto" w:line="276"/>
        <w:jc w:val="both"/>
        <w:rPr>
          <w:rFonts w:ascii="Georgia" w:hAnsi="Georgia"/>
          <w:sz w:val="16"/>
          <w:szCs w:val="16"/>
          <w:lang w:val="el-GR"/>
        </w:rPr>
      </w:pPr>
      <w:r>
        <w:rPr>
          <w:rFonts w:ascii="Georgia" w:hAnsi="Georgia"/>
          <w:sz w:val="16"/>
          <w:szCs w:val="16"/>
          <w:lang w:val="el-GR"/>
        </w:rPr>
      </w:r>
    </w:p>
    <w:p>
      <w:pPr>
        <w:pStyle w:val="Normal"/>
        <w:tabs>
          <w:tab w:val="clear" w:pos="720"/>
          <w:tab w:val="left" w:pos="975" w:leader="none"/>
        </w:tabs>
        <w:spacing w:lineRule="auto" w:line="276"/>
        <w:jc w:val="both"/>
        <w:rPr>
          <w:rFonts w:ascii="Georgia" w:hAnsi="Georgia"/>
          <w:b/>
          <w:b/>
          <w:sz w:val="22"/>
          <w:szCs w:val="22"/>
          <w:lang w:val="el-GR"/>
        </w:rPr>
      </w:pPr>
      <w:r>
        <w:rPr>
          <w:rFonts w:ascii="Georgia" w:hAnsi="Georgia"/>
          <w:b/>
          <w:sz w:val="22"/>
          <w:szCs w:val="22"/>
          <w:lang w:val="el-GR"/>
        </w:rPr>
        <w:t xml:space="preserve">Πίνακας : </w:t>
      </w:r>
      <w:r>
        <w:rPr>
          <w:rFonts w:ascii="Georgia" w:hAnsi="Georgia"/>
          <w:b/>
          <w:color w:val="2C2C2C"/>
          <w:sz w:val="22"/>
          <w:szCs w:val="22"/>
          <w:lang w:val="el-GR"/>
        </w:rPr>
        <w:t xml:space="preserve"> Συνολικό Εμπόριο Γεωργικών Προϊόντων της Ρουμανίας (2017-2021)</w:t>
      </w:r>
      <w:r>
        <w:rPr>
          <w:rFonts w:ascii="Georgia" w:hAnsi="Georgia"/>
          <w:b/>
          <w:sz w:val="22"/>
          <w:szCs w:val="22"/>
          <w:lang w:val="el-GR"/>
        </w:rPr>
        <w:t xml:space="preserve"> </w:t>
      </w:r>
    </w:p>
    <w:p>
      <w:pPr>
        <w:pStyle w:val="Normal"/>
        <w:tabs>
          <w:tab w:val="clear" w:pos="720"/>
          <w:tab w:val="left" w:pos="975" w:leader="none"/>
        </w:tabs>
        <w:spacing w:lineRule="auto" w:line="276"/>
        <w:jc w:val="both"/>
        <w:rPr>
          <w:rFonts w:ascii="Georgia" w:hAnsi="Georgia"/>
          <w:b/>
          <w:b/>
          <w:sz w:val="16"/>
          <w:szCs w:val="16"/>
          <w:lang w:val="el-GR"/>
        </w:rPr>
      </w:pPr>
      <w:r>
        <w:rPr>
          <w:rFonts w:ascii="Georgia" w:hAnsi="Georgia"/>
          <w:b/>
          <w:sz w:val="16"/>
          <w:szCs w:val="16"/>
          <w:lang w:val="el-GR"/>
        </w:rPr>
      </w:r>
    </w:p>
    <w:tbl>
      <w:tblPr>
        <w:tblW w:w="8189" w:type="dxa"/>
        <w:jc w:val="center"/>
        <w:tblInd w:w="0" w:type="dxa"/>
        <w:tblCellMar>
          <w:top w:w="0" w:type="dxa"/>
          <w:left w:w="10" w:type="dxa"/>
          <w:bottom w:w="28" w:type="dxa"/>
          <w:right w:w="18" w:type="dxa"/>
        </w:tblCellMar>
        <w:tblLook w:val="04a0"/>
      </w:tblPr>
      <w:tblGrid>
        <w:gridCol w:w="2872"/>
        <w:gridCol w:w="1268"/>
        <w:gridCol w:w="903"/>
        <w:gridCol w:w="989"/>
        <w:gridCol w:w="1079"/>
        <w:gridCol w:w="1077"/>
      </w:tblGrid>
      <w:tr>
        <w:trPr>
          <w:trHeight w:val="315" w:hRule="atLeast"/>
        </w:trPr>
        <w:tc>
          <w:tcPr>
            <w:tcW w:w="2872" w:type="dxa"/>
            <w:tcBorders>
              <w:top w:val="single" w:sz="8" w:space="0" w:color="BFBFBF"/>
              <w:left w:val="single" w:sz="8" w:space="0" w:color="BFBFBF"/>
              <w:bottom w:val="single" w:sz="8" w:space="0" w:color="BFBFBF"/>
              <w:right w:val="single" w:sz="8" w:space="0" w:color="BFBFBF"/>
            </w:tcBorders>
            <w:shd w:color="auto" w:fill="FFFFFF" w:val="clear"/>
            <w:vAlign w:val="center"/>
          </w:tcPr>
          <w:p>
            <w:pPr>
              <w:pStyle w:val="TableContents"/>
              <w:jc w:val="right"/>
              <w:rPr>
                <w:rFonts w:ascii="Georgia" w:hAnsi="Georgia"/>
                <w:b/>
                <w:b/>
                <w:color w:val="2C2C2C"/>
                <w:sz w:val="22"/>
                <w:lang w:val="el-GR"/>
              </w:rPr>
            </w:pPr>
            <w:r>
              <w:rPr>
                <w:rFonts w:ascii="Georgia" w:hAnsi="Georgia"/>
                <w:b/>
                <w:color w:val="2C2C2C"/>
                <w:sz w:val="22"/>
                <w:szCs w:val="22"/>
                <w:lang w:val="el-GR"/>
              </w:rPr>
              <w:t>Αξία σε εκατ. $</w:t>
            </w:r>
          </w:p>
        </w:tc>
        <w:tc>
          <w:tcPr>
            <w:tcW w:w="1268" w:type="dxa"/>
            <w:tcBorders>
              <w:top w:val="single" w:sz="8" w:space="0" w:color="BFBFBF"/>
              <w:left w:val="single" w:sz="8" w:space="0" w:color="BFBFBF"/>
              <w:bottom w:val="single" w:sz="8" w:space="0" w:color="BFBFBF"/>
              <w:right w:val="single" w:sz="8" w:space="0" w:color="BFBFBF"/>
            </w:tcBorders>
            <w:shd w:color="auto" w:fill="FFFFFF" w:val="clear"/>
            <w:vAlign w:val="center"/>
          </w:tcPr>
          <w:p>
            <w:pPr>
              <w:pStyle w:val="TableContents"/>
              <w:jc w:val="center"/>
              <w:rPr>
                <w:rFonts w:ascii="Georgia" w:hAnsi="Georgia"/>
                <w:b/>
                <w:b/>
                <w:color w:val="2C2C2C"/>
                <w:sz w:val="22"/>
                <w:lang w:val="el-GR"/>
              </w:rPr>
            </w:pPr>
            <w:r>
              <w:rPr>
                <w:rFonts w:ascii="Georgia" w:hAnsi="Georgia"/>
                <w:b/>
                <w:color w:val="2C2C2C"/>
                <w:sz w:val="22"/>
                <w:szCs w:val="22"/>
                <w:lang w:val="el-GR"/>
              </w:rPr>
              <w:t>2017</w:t>
            </w:r>
          </w:p>
        </w:tc>
        <w:tc>
          <w:tcPr>
            <w:tcW w:w="903" w:type="dxa"/>
            <w:tcBorders>
              <w:top w:val="single" w:sz="8" w:space="0" w:color="BFBFBF"/>
              <w:left w:val="single" w:sz="8" w:space="0" w:color="BFBFBF"/>
              <w:bottom w:val="single" w:sz="8" w:space="0" w:color="BFBFBF"/>
              <w:right w:val="single" w:sz="8" w:space="0" w:color="BFBFBF"/>
            </w:tcBorders>
            <w:shd w:color="auto" w:fill="FFFFFF" w:val="clear"/>
            <w:vAlign w:val="center"/>
          </w:tcPr>
          <w:p>
            <w:pPr>
              <w:pStyle w:val="TableContents"/>
              <w:jc w:val="center"/>
              <w:rPr>
                <w:rFonts w:ascii="Georgia" w:hAnsi="Georgia"/>
                <w:b/>
                <w:b/>
                <w:color w:val="2C2C2C"/>
                <w:sz w:val="22"/>
                <w:lang w:val="el-GR"/>
              </w:rPr>
            </w:pPr>
            <w:r>
              <w:rPr>
                <w:rFonts w:ascii="Georgia" w:hAnsi="Georgia"/>
                <w:b/>
                <w:color w:val="2C2C2C"/>
                <w:sz w:val="22"/>
                <w:szCs w:val="22"/>
                <w:lang w:val="el-GR"/>
              </w:rPr>
              <w:t>2018</w:t>
            </w:r>
          </w:p>
        </w:tc>
        <w:tc>
          <w:tcPr>
            <w:tcW w:w="989" w:type="dxa"/>
            <w:tcBorders>
              <w:top w:val="single" w:sz="8" w:space="0" w:color="BFBFBF"/>
              <w:left w:val="single" w:sz="8" w:space="0" w:color="BFBFBF"/>
              <w:bottom w:val="single" w:sz="8" w:space="0" w:color="BFBFBF"/>
              <w:right w:val="single" w:sz="8" w:space="0" w:color="BFBFBF"/>
            </w:tcBorders>
            <w:shd w:color="auto" w:fill="FFFFFF" w:val="clear"/>
            <w:vAlign w:val="center"/>
          </w:tcPr>
          <w:p>
            <w:pPr>
              <w:pStyle w:val="TableContents"/>
              <w:jc w:val="center"/>
              <w:rPr>
                <w:rFonts w:ascii="Georgia" w:hAnsi="Georgia"/>
                <w:b/>
                <w:b/>
                <w:color w:val="2C2C2C"/>
                <w:sz w:val="22"/>
                <w:lang w:val="el-GR"/>
              </w:rPr>
            </w:pPr>
            <w:r>
              <w:rPr>
                <w:rFonts w:ascii="Georgia" w:hAnsi="Georgia"/>
                <w:b/>
                <w:color w:val="2C2C2C"/>
                <w:sz w:val="22"/>
                <w:szCs w:val="22"/>
                <w:lang w:val="el-GR"/>
              </w:rPr>
              <w:t>2019</w:t>
            </w:r>
          </w:p>
        </w:tc>
        <w:tc>
          <w:tcPr>
            <w:tcW w:w="1079" w:type="dxa"/>
            <w:tcBorders>
              <w:top w:val="single" w:sz="8" w:space="0" w:color="BFBFBF"/>
              <w:left w:val="single" w:sz="8" w:space="0" w:color="BFBFBF"/>
              <w:bottom w:val="single" w:sz="8" w:space="0" w:color="BFBFBF"/>
              <w:right w:val="single" w:sz="8" w:space="0" w:color="BFBFBF"/>
            </w:tcBorders>
            <w:shd w:color="auto" w:fill="FFFFFF" w:val="clear"/>
            <w:vAlign w:val="center"/>
          </w:tcPr>
          <w:p>
            <w:pPr>
              <w:pStyle w:val="TableContents"/>
              <w:jc w:val="center"/>
              <w:rPr>
                <w:rFonts w:ascii="Georgia" w:hAnsi="Georgia"/>
                <w:b/>
                <w:b/>
                <w:color w:val="2C2C2C"/>
                <w:sz w:val="22"/>
                <w:lang w:val="el-GR"/>
              </w:rPr>
            </w:pPr>
            <w:r>
              <w:rPr>
                <w:rFonts w:ascii="Georgia" w:hAnsi="Georgia"/>
                <w:b/>
                <w:color w:val="2C2C2C"/>
                <w:sz w:val="22"/>
                <w:szCs w:val="22"/>
                <w:lang w:val="el-GR"/>
              </w:rPr>
              <w:t>2020</w:t>
            </w:r>
          </w:p>
        </w:tc>
        <w:tc>
          <w:tcPr>
            <w:tcW w:w="1077" w:type="dxa"/>
            <w:tcBorders>
              <w:top w:val="single" w:sz="8" w:space="0" w:color="BFBFBF"/>
              <w:left w:val="single" w:sz="8" w:space="0" w:color="BFBFBF"/>
              <w:bottom w:val="single" w:sz="8" w:space="0" w:color="BFBFBF"/>
              <w:right w:val="single" w:sz="8" w:space="0" w:color="BFBFBF"/>
            </w:tcBorders>
            <w:shd w:color="auto" w:fill="FFFFFF" w:val="clear"/>
            <w:vAlign w:val="center"/>
          </w:tcPr>
          <w:p>
            <w:pPr>
              <w:pStyle w:val="TableContents"/>
              <w:jc w:val="center"/>
              <w:rPr>
                <w:rFonts w:ascii="Georgia" w:hAnsi="Georgia"/>
                <w:b/>
                <w:b/>
                <w:color w:val="2C2C2C"/>
                <w:sz w:val="22"/>
                <w:lang w:val="el-GR"/>
              </w:rPr>
            </w:pPr>
            <w:r>
              <w:rPr>
                <w:rFonts w:ascii="Georgia" w:hAnsi="Georgia"/>
                <w:b/>
                <w:color w:val="2C2C2C"/>
                <w:sz w:val="22"/>
                <w:szCs w:val="22"/>
                <w:lang w:val="el-GR"/>
              </w:rPr>
              <w:t>2021</w:t>
            </w:r>
          </w:p>
        </w:tc>
      </w:tr>
      <w:tr>
        <w:trPr>
          <w:trHeight w:val="439" w:hRule="atLeast"/>
        </w:trPr>
        <w:tc>
          <w:tcPr>
            <w:tcW w:w="2872" w:type="dxa"/>
            <w:tcBorders>
              <w:top w:val="single" w:sz="8" w:space="0" w:color="BFBFBF"/>
              <w:left w:val="single" w:sz="8" w:space="0" w:color="BFBFBF"/>
              <w:bottom w:val="single" w:sz="8" w:space="0" w:color="BFBFBF"/>
              <w:right w:val="single" w:sz="8" w:space="0" w:color="BFBFBF"/>
            </w:tcBorders>
            <w:shd w:color="auto" w:fill="FFFFFF" w:val="clear"/>
            <w:tcMar>
              <w:bottom w:w="150" w:type="dxa"/>
            </w:tcMar>
            <w:vAlign w:val="center"/>
          </w:tcPr>
          <w:p>
            <w:pPr>
              <w:pStyle w:val="TableContents"/>
              <w:jc w:val="center"/>
              <w:rPr>
                <w:rFonts w:ascii="Georgia" w:hAnsi="Georgia"/>
                <w:color w:val="2C2C2C"/>
                <w:sz w:val="22"/>
                <w:lang w:val="el-GR"/>
              </w:rPr>
            </w:pPr>
            <w:r>
              <w:rPr>
                <w:rFonts w:ascii="Georgia" w:hAnsi="Georgia"/>
                <w:color w:val="2C2C2C"/>
                <w:sz w:val="22"/>
                <w:szCs w:val="22"/>
                <w:lang w:val="el-GR"/>
              </w:rPr>
              <w:t>Εισαγωγές Γεωργικών Προϊόντων</w:t>
            </w:r>
          </w:p>
        </w:tc>
        <w:tc>
          <w:tcPr>
            <w:tcW w:w="1268" w:type="dxa"/>
            <w:tcBorders>
              <w:top w:val="single" w:sz="8" w:space="0" w:color="BFBFBF"/>
              <w:left w:val="single" w:sz="8" w:space="0" w:color="BFBFBF"/>
              <w:bottom w:val="single" w:sz="8" w:space="0" w:color="BFBFBF"/>
              <w:right w:val="single" w:sz="8" w:space="0" w:color="BFBFBF"/>
            </w:tcBorders>
            <w:shd w:color="auto" w:fill="FFFFFF" w:val="clear"/>
            <w:tcMar>
              <w:bottom w:w="150" w:type="dxa"/>
            </w:tcMar>
            <w:vAlign w:val="center"/>
          </w:tcPr>
          <w:p>
            <w:pPr>
              <w:pStyle w:val="TableContents"/>
              <w:jc w:val="center"/>
              <w:rPr>
                <w:rFonts w:ascii="Georgia" w:hAnsi="Georgia"/>
                <w:color w:val="2C2C2C"/>
                <w:sz w:val="22"/>
                <w:lang w:val="el-GR"/>
              </w:rPr>
            </w:pPr>
            <w:r>
              <w:rPr>
                <w:rFonts w:ascii="Georgia" w:hAnsi="Georgia"/>
                <w:color w:val="2C2C2C"/>
                <w:sz w:val="22"/>
                <w:szCs w:val="22"/>
                <w:lang w:val="el-GR"/>
              </w:rPr>
              <w:t>8,387</w:t>
            </w:r>
          </w:p>
        </w:tc>
        <w:tc>
          <w:tcPr>
            <w:tcW w:w="903" w:type="dxa"/>
            <w:tcBorders>
              <w:top w:val="single" w:sz="8" w:space="0" w:color="BFBFBF"/>
              <w:left w:val="single" w:sz="8" w:space="0" w:color="BFBFBF"/>
              <w:bottom w:val="single" w:sz="8" w:space="0" w:color="BFBFBF"/>
              <w:right w:val="single" w:sz="8" w:space="0" w:color="BFBFBF"/>
            </w:tcBorders>
            <w:shd w:color="auto" w:fill="FFFFFF" w:val="clear"/>
            <w:tcMar>
              <w:bottom w:w="150" w:type="dxa"/>
            </w:tcMar>
            <w:vAlign w:val="center"/>
          </w:tcPr>
          <w:p>
            <w:pPr>
              <w:pStyle w:val="TableContents"/>
              <w:jc w:val="center"/>
              <w:rPr>
                <w:rFonts w:ascii="Georgia" w:hAnsi="Georgia"/>
                <w:color w:val="2C2C2C"/>
                <w:sz w:val="22"/>
                <w:lang w:val="el-GR"/>
              </w:rPr>
            </w:pPr>
            <w:r>
              <w:rPr>
                <w:rFonts w:ascii="Georgia" w:hAnsi="Georgia"/>
                <w:color w:val="2C2C2C"/>
                <w:sz w:val="22"/>
                <w:szCs w:val="22"/>
                <w:lang w:val="el-GR"/>
              </w:rPr>
              <w:t>9,015</w:t>
            </w:r>
          </w:p>
        </w:tc>
        <w:tc>
          <w:tcPr>
            <w:tcW w:w="989" w:type="dxa"/>
            <w:tcBorders>
              <w:top w:val="single" w:sz="8" w:space="0" w:color="BFBFBF"/>
              <w:left w:val="single" w:sz="8" w:space="0" w:color="BFBFBF"/>
              <w:bottom w:val="single" w:sz="8" w:space="0" w:color="BFBFBF"/>
              <w:right w:val="single" w:sz="8" w:space="0" w:color="BFBFBF"/>
            </w:tcBorders>
            <w:shd w:color="auto" w:fill="FFFFFF" w:val="clear"/>
            <w:tcMar>
              <w:bottom w:w="150" w:type="dxa"/>
            </w:tcMar>
            <w:vAlign w:val="center"/>
          </w:tcPr>
          <w:p>
            <w:pPr>
              <w:pStyle w:val="TableContents"/>
              <w:jc w:val="center"/>
              <w:rPr>
                <w:rFonts w:ascii="Georgia" w:hAnsi="Georgia"/>
                <w:color w:val="2C2C2C"/>
                <w:sz w:val="22"/>
                <w:lang w:val="el-GR"/>
              </w:rPr>
            </w:pPr>
            <w:r>
              <w:rPr>
                <w:rFonts w:ascii="Georgia" w:hAnsi="Georgia"/>
                <w:color w:val="2C2C2C"/>
                <w:sz w:val="22"/>
                <w:szCs w:val="22"/>
                <w:lang w:val="el-GR"/>
              </w:rPr>
              <w:t>9,433</w:t>
            </w:r>
          </w:p>
        </w:tc>
        <w:tc>
          <w:tcPr>
            <w:tcW w:w="1079" w:type="dxa"/>
            <w:tcBorders>
              <w:top w:val="single" w:sz="8" w:space="0" w:color="BFBFBF"/>
              <w:left w:val="single" w:sz="8" w:space="0" w:color="BFBFBF"/>
              <w:bottom w:val="single" w:sz="8" w:space="0" w:color="BFBFBF"/>
              <w:right w:val="single" w:sz="8" w:space="0" w:color="BFBFBF"/>
            </w:tcBorders>
            <w:shd w:color="auto" w:fill="FFFFFF" w:val="clear"/>
            <w:tcMar>
              <w:bottom w:w="150" w:type="dxa"/>
            </w:tcMar>
            <w:vAlign w:val="center"/>
          </w:tcPr>
          <w:p>
            <w:pPr>
              <w:pStyle w:val="TableContents"/>
              <w:jc w:val="center"/>
              <w:rPr>
                <w:rFonts w:ascii="Georgia" w:hAnsi="Georgia"/>
                <w:color w:val="2C2C2C"/>
                <w:sz w:val="22"/>
                <w:lang w:val="el-GR"/>
              </w:rPr>
            </w:pPr>
            <w:r>
              <w:rPr>
                <w:rFonts w:ascii="Georgia" w:hAnsi="Georgia"/>
                <w:color w:val="2C2C2C"/>
                <w:sz w:val="22"/>
                <w:szCs w:val="22"/>
                <w:lang w:val="el-GR"/>
              </w:rPr>
              <w:t>10,200</w:t>
            </w:r>
          </w:p>
        </w:tc>
        <w:tc>
          <w:tcPr>
            <w:tcW w:w="1077" w:type="dxa"/>
            <w:tcBorders>
              <w:top w:val="single" w:sz="8" w:space="0" w:color="BFBFBF"/>
              <w:left w:val="single" w:sz="8" w:space="0" w:color="BFBFBF"/>
              <w:bottom w:val="single" w:sz="8" w:space="0" w:color="BFBFBF"/>
              <w:right w:val="single" w:sz="8" w:space="0" w:color="BFBFBF"/>
            </w:tcBorders>
            <w:shd w:color="auto" w:fill="FFFFFF" w:val="clear"/>
            <w:tcMar>
              <w:bottom w:w="150" w:type="dxa"/>
            </w:tcMar>
            <w:vAlign w:val="center"/>
          </w:tcPr>
          <w:p>
            <w:pPr>
              <w:pStyle w:val="TableContents"/>
              <w:jc w:val="center"/>
              <w:rPr>
                <w:rFonts w:ascii="Georgia" w:hAnsi="Georgia"/>
                <w:color w:val="2C2C2C"/>
                <w:sz w:val="22"/>
                <w:lang w:val="el-GR"/>
              </w:rPr>
            </w:pPr>
            <w:r>
              <w:rPr>
                <w:rFonts w:ascii="Georgia" w:hAnsi="Georgia"/>
                <w:color w:val="2C2C2C"/>
                <w:sz w:val="22"/>
                <w:szCs w:val="22"/>
                <w:lang w:val="el-GR"/>
              </w:rPr>
              <w:t>11,964</w:t>
            </w:r>
          </w:p>
        </w:tc>
      </w:tr>
      <w:tr>
        <w:trPr>
          <w:trHeight w:val="124" w:hRule="atLeast"/>
        </w:trPr>
        <w:tc>
          <w:tcPr>
            <w:tcW w:w="2872" w:type="dxa"/>
            <w:tcBorders>
              <w:top w:val="single" w:sz="8" w:space="0" w:color="BFBFBF"/>
              <w:left w:val="single" w:sz="8" w:space="0" w:color="BFBFBF"/>
              <w:bottom w:val="single" w:sz="8" w:space="0" w:color="BFBFBF"/>
              <w:right w:val="single" w:sz="8" w:space="0" w:color="BFBFBF"/>
            </w:tcBorders>
            <w:shd w:color="auto" w:fill="FFFFFF" w:val="clear"/>
            <w:tcMar>
              <w:bottom w:w="150" w:type="dxa"/>
            </w:tcMar>
            <w:vAlign w:val="center"/>
          </w:tcPr>
          <w:p>
            <w:pPr>
              <w:pStyle w:val="TableContents"/>
              <w:jc w:val="center"/>
              <w:rPr>
                <w:rFonts w:ascii="Georgia" w:hAnsi="Georgia"/>
                <w:color w:val="2C2C2C"/>
                <w:sz w:val="22"/>
                <w:lang w:val="el-GR"/>
              </w:rPr>
            </w:pPr>
            <w:r>
              <w:rPr>
                <w:rFonts w:ascii="Georgia" w:hAnsi="Georgia"/>
                <w:color w:val="2C2C2C"/>
                <w:sz w:val="22"/>
                <w:szCs w:val="22"/>
                <w:lang w:val="el-GR"/>
              </w:rPr>
              <w:t>Εξαγωγές Γεωργικών Προϊόντων</w:t>
            </w:r>
          </w:p>
        </w:tc>
        <w:tc>
          <w:tcPr>
            <w:tcW w:w="1268" w:type="dxa"/>
            <w:tcBorders>
              <w:top w:val="single" w:sz="8" w:space="0" w:color="BFBFBF"/>
              <w:left w:val="single" w:sz="8" w:space="0" w:color="BFBFBF"/>
              <w:bottom w:val="single" w:sz="8" w:space="0" w:color="BFBFBF"/>
              <w:right w:val="single" w:sz="8" w:space="0" w:color="BFBFBF"/>
            </w:tcBorders>
            <w:shd w:color="auto" w:fill="FFFFFF" w:val="clear"/>
            <w:tcMar>
              <w:bottom w:w="150" w:type="dxa"/>
            </w:tcMar>
            <w:vAlign w:val="center"/>
          </w:tcPr>
          <w:p>
            <w:pPr>
              <w:pStyle w:val="TableContents"/>
              <w:jc w:val="center"/>
              <w:rPr>
                <w:rFonts w:ascii="Georgia" w:hAnsi="Georgia"/>
                <w:color w:val="2C2C2C"/>
                <w:sz w:val="22"/>
                <w:lang w:val="el-GR"/>
              </w:rPr>
            </w:pPr>
            <w:r>
              <w:rPr>
                <w:rFonts w:ascii="Georgia" w:hAnsi="Georgia"/>
                <w:color w:val="2C2C2C"/>
                <w:sz w:val="22"/>
                <w:szCs w:val="22"/>
                <w:lang w:val="el-GR"/>
              </w:rPr>
              <w:t>7,295</w:t>
            </w:r>
          </w:p>
        </w:tc>
        <w:tc>
          <w:tcPr>
            <w:tcW w:w="903" w:type="dxa"/>
            <w:tcBorders>
              <w:top w:val="single" w:sz="8" w:space="0" w:color="BFBFBF"/>
              <w:left w:val="single" w:sz="8" w:space="0" w:color="BFBFBF"/>
              <w:bottom w:val="single" w:sz="8" w:space="0" w:color="BFBFBF"/>
              <w:right w:val="single" w:sz="8" w:space="0" w:color="BFBFBF"/>
            </w:tcBorders>
            <w:shd w:color="auto" w:fill="FFFFFF" w:val="clear"/>
            <w:tcMar>
              <w:bottom w:w="150" w:type="dxa"/>
            </w:tcMar>
            <w:vAlign w:val="center"/>
          </w:tcPr>
          <w:p>
            <w:pPr>
              <w:pStyle w:val="TableContents"/>
              <w:jc w:val="center"/>
              <w:rPr>
                <w:rFonts w:ascii="Georgia" w:hAnsi="Georgia"/>
                <w:color w:val="2C2C2C"/>
                <w:sz w:val="22"/>
                <w:lang w:val="el-GR"/>
              </w:rPr>
            </w:pPr>
            <w:r>
              <w:rPr>
                <w:rFonts w:ascii="Georgia" w:hAnsi="Georgia"/>
                <w:color w:val="2C2C2C"/>
                <w:sz w:val="22"/>
                <w:szCs w:val="22"/>
                <w:lang w:val="el-GR"/>
              </w:rPr>
              <w:t>7,655</w:t>
            </w:r>
          </w:p>
        </w:tc>
        <w:tc>
          <w:tcPr>
            <w:tcW w:w="989" w:type="dxa"/>
            <w:tcBorders>
              <w:top w:val="single" w:sz="8" w:space="0" w:color="BFBFBF"/>
              <w:left w:val="single" w:sz="8" w:space="0" w:color="BFBFBF"/>
              <w:bottom w:val="single" w:sz="8" w:space="0" w:color="BFBFBF"/>
              <w:right w:val="single" w:sz="8" w:space="0" w:color="BFBFBF"/>
            </w:tcBorders>
            <w:shd w:color="auto" w:fill="FFFFFF" w:val="clear"/>
            <w:tcMar>
              <w:bottom w:w="150" w:type="dxa"/>
            </w:tcMar>
            <w:vAlign w:val="center"/>
          </w:tcPr>
          <w:p>
            <w:pPr>
              <w:pStyle w:val="TableContents"/>
              <w:jc w:val="center"/>
              <w:rPr>
                <w:rFonts w:ascii="Georgia" w:hAnsi="Georgia"/>
                <w:color w:val="2C2C2C"/>
                <w:sz w:val="22"/>
                <w:lang w:val="el-GR"/>
              </w:rPr>
            </w:pPr>
            <w:r>
              <w:rPr>
                <w:rFonts w:ascii="Georgia" w:hAnsi="Georgia"/>
                <w:color w:val="2C2C2C"/>
                <w:sz w:val="22"/>
                <w:szCs w:val="22"/>
                <w:lang w:val="el-GR"/>
              </w:rPr>
              <w:t>8,029</w:t>
            </w:r>
          </w:p>
        </w:tc>
        <w:tc>
          <w:tcPr>
            <w:tcW w:w="1079" w:type="dxa"/>
            <w:tcBorders>
              <w:top w:val="single" w:sz="8" w:space="0" w:color="BFBFBF"/>
              <w:left w:val="single" w:sz="8" w:space="0" w:color="BFBFBF"/>
              <w:bottom w:val="single" w:sz="8" w:space="0" w:color="BFBFBF"/>
              <w:right w:val="single" w:sz="8" w:space="0" w:color="BFBFBF"/>
            </w:tcBorders>
            <w:shd w:color="auto" w:fill="FFFFFF" w:val="clear"/>
            <w:tcMar>
              <w:bottom w:w="150" w:type="dxa"/>
            </w:tcMar>
            <w:vAlign w:val="center"/>
          </w:tcPr>
          <w:p>
            <w:pPr>
              <w:pStyle w:val="TableContents"/>
              <w:jc w:val="center"/>
              <w:rPr>
                <w:rFonts w:ascii="Georgia" w:hAnsi="Georgia"/>
                <w:color w:val="2C2C2C"/>
                <w:sz w:val="22"/>
                <w:lang w:val="el-GR"/>
              </w:rPr>
            </w:pPr>
            <w:r>
              <w:rPr>
                <w:rFonts w:ascii="Georgia" w:hAnsi="Georgia"/>
                <w:color w:val="2C2C2C"/>
                <w:sz w:val="22"/>
                <w:szCs w:val="22"/>
                <w:lang w:val="el-GR"/>
              </w:rPr>
              <w:t>7,982</w:t>
            </w:r>
          </w:p>
        </w:tc>
        <w:tc>
          <w:tcPr>
            <w:tcW w:w="1077" w:type="dxa"/>
            <w:tcBorders>
              <w:top w:val="single" w:sz="8" w:space="0" w:color="BFBFBF"/>
              <w:left w:val="single" w:sz="8" w:space="0" w:color="BFBFBF"/>
              <w:bottom w:val="single" w:sz="8" w:space="0" w:color="BFBFBF"/>
              <w:right w:val="single" w:sz="8" w:space="0" w:color="BFBFBF"/>
            </w:tcBorders>
            <w:shd w:color="auto" w:fill="FFFFFF" w:val="clear"/>
            <w:tcMar>
              <w:bottom w:w="150" w:type="dxa"/>
            </w:tcMar>
            <w:vAlign w:val="center"/>
          </w:tcPr>
          <w:p>
            <w:pPr>
              <w:pStyle w:val="TableContents"/>
              <w:jc w:val="center"/>
              <w:rPr>
                <w:rFonts w:ascii="Georgia" w:hAnsi="Georgia"/>
                <w:color w:val="2C2C2C"/>
                <w:sz w:val="22"/>
                <w:lang w:val="el-GR"/>
              </w:rPr>
            </w:pPr>
            <w:r>
              <w:rPr>
                <w:rFonts w:ascii="Georgia" w:hAnsi="Georgia"/>
                <w:color w:val="2C2C2C"/>
                <w:sz w:val="22"/>
                <w:szCs w:val="22"/>
                <w:lang w:val="el-GR"/>
              </w:rPr>
              <w:t>11,288</w:t>
            </w:r>
          </w:p>
        </w:tc>
      </w:tr>
      <w:tr>
        <w:trPr>
          <w:trHeight w:val="315" w:hRule="atLeast"/>
        </w:trPr>
        <w:tc>
          <w:tcPr>
            <w:tcW w:w="2872" w:type="dxa"/>
            <w:tcBorders>
              <w:top w:val="single" w:sz="8" w:space="0" w:color="BFBFBF"/>
              <w:left w:val="single" w:sz="8" w:space="0" w:color="BFBFBF"/>
              <w:bottom w:val="single" w:sz="8" w:space="0" w:color="BFBFBF"/>
              <w:right w:val="single" w:sz="8" w:space="0" w:color="BFBFBF"/>
            </w:tcBorders>
            <w:shd w:color="auto" w:fill="FFFFFF" w:val="clear"/>
            <w:tcMar>
              <w:bottom w:w="150" w:type="dxa"/>
            </w:tcMar>
            <w:vAlign w:val="center"/>
          </w:tcPr>
          <w:p>
            <w:pPr>
              <w:pStyle w:val="TableContents"/>
              <w:jc w:val="center"/>
              <w:rPr>
                <w:rFonts w:ascii="Georgia" w:hAnsi="Georgia"/>
                <w:color w:val="2C2C2C"/>
                <w:sz w:val="22"/>
                <w:lang w:val="el-GR"/>
              </w:rPr>
            </w:pPr>
            <w:r>
              <w:rPr>
                <w:rFonts w:ascii="Georgia" w:hAnsi="Georgia"/>
                <w:color w:val="2C2C2C"/>
                <w:sz w:val="22"/>
                <w:szCs w:val="22"/>
                <w:lang w:val="el-GR"/>
              </w:rPr>
              <w:t>Εμπορικό Έλλειμμα</w:t>
            </w:r>
          </w:p>
        </w:tc>
        <w:tc>
          <w:tcPr>
            <w:tcW w:w="1268" w:type="dxa"/>
            <w:tcBorders>
              <w:top w:val="single" w:sz="8" w:space="0" w:color="BFBFBF"/>
              <w:left w:val="single" w:sz="8" w:space="0" w:color="BFBFBF"/>
              <w:bottom w:val="single" w:sz="8" w:space="0" w:color="BFBFBF"/>
              <w:right w:val="single" w:sz="8" w:space="0" w:color="BFBFBF"/>
            </w:tcBorders>
            <w:shd w:color="auto" w:fill="FFFFFF" w:val="clear"/>
            <w:tcMar>
              <w:bottom w:w="150" w:type="dxa"/>
            </w:tcMar>
            <w:vAlign w:val="center"/>
          </w:tcPr>
          <w:p>
            <w:pPr>
              <w:pStyle w:val="TableContents"/>
              <w:jc w:val="center"/>
              <w:rPr>
                <w:rFonts w:ascii="Georgia" w:hAnsi="Georgia"/>
                <w:color w:val="2C2C2C"/>
                <w:sz w:val="22"/>
                <w:lang w:val="el-GR"/>
              </w:rPr>
            </w:pPr>
            <w:r>
              <w:rPr>
                <w:rFonts w:ascii="Georgia" w:hAnsi="Georgia"/>
                <w:color w:val="2C2C2C"/>
                <w:sz w:val="22"/>
                <w:szCs w:val="22"/>
                <w:lang w:val="el-GR"/>
              </w:rPr>
              <w:t>-1,092</w:t>
            </w:r>
          </w:p>
        </w:tc>
        <w:tc>
          <w:tcPr>
            <w:tcW w:w="903" w:type="dxa"/>
            <w:tcBorders>
              <w:top w:val="single" w:sz="8" w:space="0" w:color="BFBFBF"/>
              <w:left w:val="single" w:sz="8" w:space="0" w:color="BFBFBF"/>
              <w:bottom w:val="single" w:sz="8" w:space="0" w:color="BFBFBF"/>
              <w:right w:val="single" w:sz="8" w:space="0" w:color="BFBFBF"/>
            </w:tcBorders>
            <w:shd w:color="auto" w:fill="FFFFFF" w:val="clear"/>
            <w:tcMar>
              <w:bottom w:w="150" w:type="dxa"/>
            </w:tcMar>
            <w:vAlign w:val="center"/>
          </w:tcPr>
          <w:p>
            <w:pPr>
              <w:pStyle w:val="TableContents"/>
              <w:jc w:val="center"/>
              <w:rPr>
                <w:rFonts w:ascii="Georgia" w:hAnsi="Georgia"/>
                <w:color w:val="2C2C2C"/>
                <w:sz w:val="22"/>
                <w:lang w:val="el-GR"/>
              </w:rPr>
            </w:pPr>
            <w:r>
              <w:rPr>
                <w:rFonts w:ascii="Georgia" w:hAnsi="Georgia"/>
                <w:color w:val="2C2C2C"/>
                <w:sz w:val="22"/>
                <w:szCs w:val="22"/>
                <w:lang w:val="el-GR"/>
              </w:rPr>
              <w:t>-1,36</w:t>
            </w:r>
          </w:p>
        </w:tc>
        <w:tc>
          <w:tcPr>
            <w:tcW w:w="989" w:type="dxa"/>
            <w:tcBorders>
              <w:top w:val="single" w:sz="8" w:space="0" w:color="BFBFBF"/>
              <w:left w:val="single" w:sz="8" w:space="0" w:color="BFBFBF"/>
              <w:bottom w:val="single" w:sz="8" w:space="0" w:color="BFBFBF"/>
              <w:right w:val="single" w:sz="8" w:space="0" w:color="BFBFBF"/>
            </w:tcBorders>
            <w:shd w:color="auto" w:fill="FFFFFF" w:val="clear"/>
            <w:tcMar>
              <w:bottom w:w="150" w:type="dxa"/>
            </w:tcMar>
            <w:vAlign w:val="center"/>
          </w:tcPr>
          <w:p>
            <w:pPr>
              <w:pStyle w:val="TableContents"/>
              <w:jc w:val="center"/>
              <w:rPr>
                <w:rFonts w:ascii="Georgia" w:hAnsi="Georgia"/>
                <w:color w:val="2C2C2C"/>
                <w:sz w:val="22"/>
                <w:lang w:val="el-GR"/>
              </w:rPr>
            </w:pPr>
            <w:r>
              <w:rPr>
                <w:rFonts w:ascii="Georgia" w:hAnsi="Georgia"/>
                <w:color w:val="2C2C2C"/>
                <w:sz w:val="22"/>
                <w:szCs w:val="22"/>
                <w:lang w:val="el-GR"/>
              </w:rPr>
              <w:t>-1,404</w:t>
            </w:r>
          </w:p>
        </w:tc>
        <w:tc>
          <w:tcPr>
            <w:tcW w:w="1079" w:type="dxa"/>
            <w:tcBorders>
              <w:top w:val="single" w:sz="8" w:space="0" w:color="BFBFBF"/>
              <w:left w:val="single" w:sz="8" w:space="0" w:color="BFBFBF"/>
              <w:bottom w:val="single" w:sz="8" w:space="0" w:color="BFBFBF"/>
              <w:right w:val="single" w:sz="8" w:space="0" w:color="BFBFBF"/>
            </w:tcBorders>
            <w:shd w:color="auto" w:fill="FFFFFF" w:val="clear"/>
            <w:tcMar>
              <w:bottom w:w="150" w:type="dxa"/>
            </w:tcMar>
            <w:vAlign w:val="center"/>
          </w:tcPr>
          <w:p>
            <w:pPr>
              <w:pStyle w:val="TableContents"/>
              <w:jc w:val="center"/>
              <w:rPr>
                <w:rFonts w:ascii="Georgia" w:hAnsi="Georgia"/>
                <w:color w:val="2C2C2C"/>
                <w:sz w:val="22"/>
                <w:lang w:val="el-GR"/>
              </w:rPr>
            </w:pPr>
            <w:r>
              <w:rPr>
                <w:rFonts w:ascii="Georgia" w:hAnsi="Georgia"/>
                <w:color w:val="2C2C2C"/>
                <w:sz w:val="22"/>
                <w:szCs w:val="22"/>
                <w:lang w:val="el-GR"/>
              </w:rPr>
              <w:t>-2,218</w:t>
            </w:r>
          </w:p>
        </w:tc>
        <w:tc>
          <w:tcPr>
            <w:tcW w:w="1077" w:type="dxa"/>
            <w:tcBorders>
              <w:top w:val="single" w:sz="8" w:space="0" w:color="BFBFBF"/>
              <w:left w:val="single" w:sz="8" w:space="0" w:color="BFBFBF"/>
              <w:bottom w:val="single" w:sz="8" w:space="0" w:color="BFBFBF"/>
              <w:right w:val="single" w:sz="8" w:space="0" w:color="BFBFBF"/>
            </w:tcBorders>
            <w:shd w:color="auto" w:fill="FFFFFF" w:val="clear"/>
            <w:tcMar>
              <w:bottom w:w="150" w:type="dxa"/>
            </w:tcMar>
            <w:vAlign w:val="center"/>
          </w:tcPr>
          <w:p>
            <w:pPr>
              <w:pStyle w:val="TableContents"/>
              <w:jc w:val="center"/>
              <w:rPr>
                <w:rFonts w:ascii="Georgia" w:hAnsi="Georgia"/>
                <w:color w:val="2C2C2C"/>
                <w:sz w:val="22"/>
                <w:lang w:val="el-GR"/>
              </w:rPr>
            </w:pPr>
            <w:r>
              <w:rPr>
                <w:rFonts w:ascii="Georgia" w:hAnsi="Georgia"/>
                <w:color w:val="2C2C2C"/>
                <w:sz w:val="22"/>
                <w:szCs w:val="22"/>
                <w:lang w:val="el-GR"/>
              </w:rPr>
              <w:t>-676</w:t>
            </w:r>
          </w:p>
        </w:tc>
      </w:tr>
    </w:tbl>
    <w:p>
      <w:pPr>
        <w:pStyle w:val="TextBody"/>
        <w:rPr>
          <w:rFonts w:ascii="Georgia" w:hAnsi="Georgia"/>
          <w:sz w:val="20"/>
          <w:szCs w:val="20"/>
        </w:rPr>
      </w:pPr>
      <w:r>
        <w:rPr>
          <w:rFonts w:ascii="Georgia" w:hAnsi="Georgia"/>
          <w:color w:val="2C2C2C"/>
          <w:sz w:val="20"/>
          <w:szCs w:val="20"/>
        </w:rPr>
        <w:t xml:space="preserve">              </w:t>
      </w:r>
      <w:r>
        <w:rPr>
          <w:rFonts w:ascii="Georgia" w:hAnsi="Georgia"/>
          <w:color w:val="000000"/>
          <w:sz w:val="20"/>
          <w:szCs w:val="20"/>
        </w:rPr>
        <w:t>Πηγή: Trade Data Monitor (TDM)</w:t>
      </w:r>
    </w:p>
    <w:p>
      <w:pPr>
        <w:pStyle w:val="TextBody"/>
        <w:rPr>
          <w:rFonts w:ascii="Georgia" w:hAnsi="Georgia"/>
          <w:sz w:val="20"/>
          <w:szCs w:val="20"/>
        </w:rPr>
      </w:pPr>
      <w:r>
        <w:rPr/>
      </w:r>
    </w:p>
    <w:p>
      <w:pPr>
        <w:pStyle w:val="TextBody"/>
        <w:rPr>
          <w:rFonts w:ascii="Georgia" w:hAnsi="Georgia"/>
          <w:sz w:val="20"/>
          <w:szCs w:val="20"/>
        </w:rPr>
      </w:pPr>
      <w:r>
        <w:rPr>
          <w:rFonts w:ascii="Georgia" w:hAnsi="Georgia"/>
          <w:b/>
          <w:color w:val="2C2C2C"/>
          <w:sz w:val="20"/>
          <w:szCs w:val="20"/>
          <w:lang w:val="el-GR"/>
        </w:rPr>
        <w:t xml:space="preserve">2. </w:t>
      </w:r>
      <w:r>
        <w:rPr>
          <w:rFonts w:ascii="Georgia" w:hAnsi="Georgia"/>
          <w:b/>
          <w:sz w:val="22"/>
          <w:szCs w:val="22"/>
          <w:lang w:val="el-GR"/>
        </w:rPr>
        <w:t>Χρηματοδοτικό κενό για τον αγροδιατροφικό τομέα στη Ρουμανία.</w:t>
      </w:r>
    </w:p>
    <w:p>
      <w:pPr>
        <w:pStyle w:val="TextBody"/>
        <w:jc w:val="both"/>
        <w:rPr>
          <w:rFonts w:ascii="Georgia" w:hAnsi="Georgia"/>
          <w:lang w:val="el-GR"/>
        </w:rPr>
      </w:pPr>
      <w:r>
        <w:rPr>
          <w:rFonts w:ascii="Georgia" w:hAnsi="Georgia"/>
          <w:sz w:val="22"/>
          <w:szCs w:val="22"/>
          <w:lang w:val="el-GR"/>
        </w:rPr>
        <w:t xml:space="preserve">Σύμφωνα με σχετικά πρόσφατη έρευνα της ΕΕ του 2020, για τον ρουμανικό αγροδιατροφικό τομέα (σχετικό </w:t>
      </w:r>
      <w:r>
        <w:rPr>
          <w:rFonts w:ascii="Georgia" w:hAnsi="Georgia"/>
          <w:sz w:val="22"/>
          <w:szCs w:val="22"/>
        </w:rPr>
        <w:t>link</w:t>
      </w:r>
      <w:r>
        <w:rPr>
          <w:rFonts w:ascii="Georgia" w:hAnsi="Georgia"/>
          <w:sz w:val="22"/>
          <w:szCs w:val="22"/>
          <w:lang w:val="el-GR"/>
        </w:rPr>
        <w:t xml:space="preserve"> : </w:t>
      </w:r>
      <w:hyperlink r:id="rId3">
        <w:r>
          <w:rPr>
            <w:rStyle w:val="InternetLink"/>
            <w:rFonts w:ascii="Georgia" w:hAnsi="Georgia"/>
            <w:sz w:val="22"/>
            <w:szCs w:val="22"/>
          </w:rPr>
          <w:t>https</w:t>
        </w:r>
        <w:r>
          <w:rPr>
            <w:rStyle w:val="InternetLink"/>
            <w:rFonts w:ascii="Georgia" w:hAnsi="Georgia"/>
            <w:sz w:val="22"/>
            <w:szCs w:val="22"/>
            <w:lang w:val="el-GR"/>
          </w:rPr>
          <w:t>://</w:t>
        </w:r>
        <w:r>
          <w:rPr>
            <w:rStyle w:val="InternetLink"/>
            <w:rFonts w:ascii="Georgia" w:hAnsi="Georgia"/>
            <w:sz w:val="22"/>
            <w:szCs w:val="22"/>
          </w:rPr>
          <w:t>www</w:t>
        </w:r>
        <w:r>
          <w:rPr>
            <w:rStyle w:val="InternetLink"/>
            <w:rFonts w:ascii="Georgia" w:hAnsi="Georgia"/>
            <w:sz w:val="22"/>
            <w:szCs w:val="22"/>
            <w:lang w:val="el-GR"/>
          </w:rPr>
          <w:t>.</w:t>
        </w:r>
        <w:r>
          <w:rPr>
            <w:rStyle w:val="InternetLink"/>
            <w:rFonts w:ascii="Georgia" w:hAnsi="Georgia"/>
            <w:sz w:val="22"/>
            <w:szCs w:val="22"/>
          </w:rPr>
          <w:t>fi</w:t>
        </w:r>
        <w:r>
          <w:rPr>
            <w:rStyle w:val="InternetLink"/>
            <w:rFonts w:ascii="Georgia" w:hAnsi="Georgia"/>
            <w:sz w:val="22"/>
            <w:szCs w:val="22"/>
            <w:lang w:val="el-GR"/>
          </w:rPr>
          <w:t>-</w:t>
        </w:r>
        <w:r>
          <w:rPr>
            <w:rStyle w:val="InternetLink"/>
            <w:rFonts w:ascii="Georgia" w:hAnsi="Georgia"/>
            <w:sz w:val="22"/>
            <w:szCs w:val="22"/>
          </w:rPr>
          <w:t>compass</w:t>
        </w:r>
        <w:r>
          <w:rPr>
            <w:rStyle w:val="InternetLink"/>
            <w:rFonts w:ascii="Georgia" w:hAnsi="Georgia"/>
            <w:sz w:val="22"/>
            <w:szCs w:val="22"/>
            <w:lang w:val="el-GR"/>
          </w:rPr>
          <w:t>.</w:t>
        </w:r>
        <w:r>
          <w:rPr>
            <w:rStyle w:val="InternetLink"/>
            <w:rFonts w:ascii="Georgia" w:hAnsi="Georgia"/>
            <w:sz w:val="22"/>
            <w:szCs w:val="22"/>
          </w:rPr>
          <w:t>eu</w:t>
        </w:r>
        <w:r>
          <w:rPr>
            <w:rStyle w:val="InternetLink"/>
            <w:rFonts w:ascii="Georgia" w:hAnsi="Georgia"/>
            <w:sz w:val="22"/>
            <w:szCs w:val="22"/>
            <w:lang w:val="el-GR"/>
          </w:rPr>
          <w:t>/</w:t>
        </w:r>
        <w:r>
          <w:rPr>
            <w:rStyle w:val="InternetLink"/>
            <w:rFonts w:ascii="Georgia" w:hAnsi="Georgia"/>
            <w:sz w:val="22"/>
            <w:szCs w:val="22"/>
          </w:rPr>
          <w:t>sites</w:t>
        </w:r>
        <w:r>
          <w:rPr>
            <w:rStyle w:val="InternetLink"/>
            <w:rFonts w:ascii="Georgia" w:hAnsi="Georgia"/>
            <w:sz w:val="22"/>
            <w:szCs w:val="22"/>
            <w:lang w:val="el-GR"/>
          </w:rPr>
          <w:t>/</w:t>
        </w:r>
        <w:r>
          <w:rPr>
            <w:rStyle w:val="InternetLink"/>
            <w:rFonts w:ascii="Georgia" w:hAnsi="Georgia"/>
            <w:sz w:val="22"/>
            <w:szCs w:val="22"/>
          </w:rPr>
          <w:t>default</w:t>
        </w:r>
        <w:r>
          <w:rPr>
            <w:rStyle w:val="InternetLink"/>
            <w:rFonts w:ascii="Georgia" w:hAnsi="Georgia"/>
            <w:sz w:val="22"/>
            <w:szCs w:val="22"/>
            <w:lang w:val="el-GR"/>
          </w:rPr>
          <w:t>/</w:t>
        </w:r>
        <w:r>
          <w:rPr>
            <w:rStyle w:val="InternetLink"/>
            <w:rFonts w:ascii="Georgia" w:hAnsi="Georgia"/>
            <w:sz w:val="22"/>
            <w:szCs w:val="22"/>
          </w:rPr>
          <w:t>files</w:t>
        </w:r>
        <w:r>
          <w:rPr>
            <w:rStyle w:val="InternetLink"/>
            <w:rFonts w:ascii="Georgia" w:hAnsi="Georgia"/>
            <w:sz w:val="22"/>
            <w:szCs w:val="22"/>
            <w:lang w:val="el-GR"/>
          </w:rPr>
          <w:t>/</w:t>
        </w:r>
        <w:r>
          <w:rPr>
            <w:rStyle w:val="InternetLink"/>
            <w:rFonts w:ascii="Georgia" w:hAnsi="Georgia"/>
            <w:sz w:val="22"/>
            <w:szCs w:val="22"/>
          </w:rPr>
          <w:t>publications</w:t>
        </w:r>
        <w:r>
          <w:rPr>
            <w:rStyle w:val="InternetLink"/>
            <w:rFonts w:ascii="Georgia" w:hAnsi="Georgia"/>
            <w:sz w:val="22"/>
            <w:szCs w:val="22"/>
            <w:lang w:val="el-GR"/>
          </w:rPr>
          <w:t>/</w:t>
        </w:r>
        <w:r>
          <w:rPr>
            <w:rStyle w:val="InternetLink"/>
            <w:rFonts w:ascii="Georgia" w:hAnsi="Georgia"/>
            <w:sz w:val="22"/>
            <w:szCs w:val="22"/>
          </w:rPr>
          <w:t>financial</w:t>
        </w:r>
        <w:r>
          <w:rPr>
            <w:rStyle w:val="InternetLink"/>
            <w:rFonts w:ascii="Georgia" w:hAnsi="Georgia"/>
            <w:sz w:val="22"/>
            <w:szCs w:val="22"/>
            <w:lang w:val="el-GR"/>
          </w:rPr>
          <w:t>_</w:t>
        </w:r>
        <w:r>
          <w:rPr>
            <w:rStyle w:val="InternetLink"/>
            <w:rFonts w:ascii="Georgia" w:hAnsi="Georgia"/>
            <w:sz w:val="22"/>
            <w:szCs w:val="22"/>
          </w:rPr>
          <w:t>needs</w:t>
        </w:r>
        <w:r>
          <w:rPr>
            <w:rStyle w:val="InternetLink"/>
            <w:rFonts w:ascii="Georgia" w:hAnsi="Georgia"/>
            <w:sz w:val="22"/>
            <w:szCs w:val="22"/>
            <w:lang w:val="el-GR"/>
          </w:rPr>
          <w:t>_</w:t>
        </w:r>
        <w:r>
          <w:rPr>
            <w:rStyle w:val="InternetLink"/>
            <w:rFonts w:ascii="Georgia" w:hAnsi="Georgia"/>
            <w:sz w:val="22"/>
            <w:szCs w:val="22"/>
          </w:rPr>
          <w:t>agriculture</w:t>
        </w:r>
        <w:r>
          <w:rPr>
            <w:rStyle w:val="InternetLink"/>
            <w:rFonts w:ascii="Georgia" w:hAnsi="Georgia"/>
            <w:sz w:val="22"/>
            <w:szCs w:val="22"/>
            <w:lang w:val="el-GR"/>
          </w:rPr>
          <w:t>_</w:t>
        </w:r>
        <w:r>
          <w:rPr>
            <w:rStyle w:val="InternetLink"/>
            <w:rFonts w:ascii="Georgia" w:hAnsi="Georgia"/>
            <w:sz w:val="22"/>
            <w:szCs w:val="22"/>
          </w:rPr>
          <w:t>agrifood</w:t>
        </w:r>
        <w:r>
          <w:rPr>
            <w:rStyle w:val="InternetLink"/>
            <w:rFonts w:ascii="Georgia" w:hAnsi="Georgia"/>
            <w:sz w:val="22"/>
            <w:szCs w:val="22"/>
            <w:lang w:val="el-GR"/>
          </w:rPr>
          <w:t>_</w:t>
        </w:r>
        <w:r>
          <w:rPr>
            <w:rStyle w:val="InternetLink"/>
            <w:rFonts w:ascii="Georgia" w:hAnsi="Georgia"/>
            <w:sz w:val="22"/>
            <w:szCs w:val="22"/>
          </w:rPr>
          <w:t>sectors</w:t>
        </w:r>
        <w:r>
          <w:rPr>
            <w:rStyle w:val="InternetLink"/>
            <w:rFonts w:ascii="Georgia" w:hAnsi="Georgia"/>
            <w:sz w:val="22"/>
            <w:szCs w:val="22"/>
            <w:lang w:val="el-GR"/>
          </w:rPr>
          <w:t>_</w:t>
        </w:r>
        <w:r>
          <w:rPr>
            <w:rStyle w:val="InternetLink"/>
            <w:rFonts w:ascii="Georgia" w:hAnsi="Georgia"/>
            <w:sz w:val="22"/>
            <w:szCs w:val="22"/>
          </w:rPr>
          <w:t>Romania</w:t>
        </w:r>
        <w:r>
          <w:rPr>
            <w:rStyle w:val="InternetLink"/>
            <w:rFonts w:ascii="Georgia" w:hAnsi="Georgia"/>
            <w:sz w:val="22"/>
            <w:szCs w:val="22"/>
            <w:lang w:val="el-GR"/>
          </w:rPr>
          <w:t>.</w:t>
        </w:r>
        <w:r>
          <w:rPr>
            <w:rStyle w:val="InternetLink"/>
            <w:rFonts w:ascii="Georgia" w:hAnsi="Georgia"/>
            <w:sz w:val="22"/>
            <w:szCs w:val="22"/>
          </w:rPr>
          <w:t>pdf</w:t>
        </w:r>
      </w:hyperlink>
      <w:r>
        <w:rPr>
          <w:rFonts w:ascii="Georgia" w:hAnsi="Georgia"/>
          <w:sz w:val="22"/>
          <w:szCs w:val="22"/>
          <w:lang w:val="el-GR"/>
        </w:rPr>
        <w:t xml:space="preserve"> ),  προκύπτουν -μεταξύ άλλων- τα εξής : </w:t>
      </w:r>
    </w:p>
    <w:p>
      <w:pPr>
        <w:pStyle w:val="TextBody"/>
        <w:jc w:val="both"/>
        <w:rPr>
          <w:rFonts w:ascii="Georgia" w:hAnsi="Georgia"/>
          <w:sz w:val="22"/>
          <w:szCs w:val="22"/>
          <w:lang w:val="el-GR"/>
        </w:rPr>
      </w:pPr>
      <w:r>
        <w:rPr>
          <w:rFonts w:ascii="Georgia" w:hAnsi="Georgia"/>
          <w:sz w:val="22"/>
          <w:szCs w:val="22"/>
          <w:lang w:val="el-GR"/>
        </w:rPr>
        <w:t>Ο αγροδιατροφικός τομέας συμβάλλει σημαντικά στην αγροτική ανάπτυξη και στην συνολική οικονομία. Ωστόσο, ο κλάδος χαρακτηρίζεται από υψηλό κατακερματισμό, με τεράστιο αριθμό πολύ μικρών και μικρομεσαίων επιχειρήσεων (92,6 % του συνόλου των επιχειρήσεων αγροδιατροφής) και αντιπροσωπεύει μόνο το 11,4% περίπου της συνολικής προστιθέμενης αξίας/</w:t>
      </w:r>
      <w:r>
        <w:rPr>
          <w:rFonts w:ascii="Georgia" w:hAnsi="Georgia"/>
          <w:sz w:val="22"/>
          <w:szCs w:val="22"/>
        </w:rPr>
        <w:t>Gross</w:t>
      </w:r>
      <w:r>
        <w:rPr>
          <w:rFonts w:ascii="Georgia" w:hAnsi="Georgia"/>
          <w:sz w:val="22"/>
          <w:szCs w:val="22"/>
          <w:lang w:val="el-GR"/>
        </w:rPr>
        <w:t xml:space="preserve"> </w:t>
      </w:r>
      <w:r>
        <w:rPr>
          <w:rFonts w:ascii="Georgia" w:hAnsi="Georgia"/>
          <w:sz w:val="22"/>
          <w:szCs w:val="22"/>
        </w:rPr>
        <w:t>Value</w:t>
      </w:r>
      <w:r>
        <w:rPr>
          <w:rFonts w:ascii="Georgia" w:hAnsi="Georgia"/>
          <w:sz w:val="22"/>
          <w:szCs w:val="22"/>
          <w:lang w:val="el-GR"/>
        </w:rPr>
        <w:t xml:space="preserve"> </w:t>
      </w:r>
      <w:r>
        <w:rPr>
          <w:rFonts w:ascii="Georgia" w:hAnsi="Georgia"/>
          <w:sz w:val="22"/>
          <w:szCs w:val="22"/>
        </w:rPr>
        <w:t>Added</w:t>
      </w:r>
      <w:r>
        <w:rPr>
          <w:rFonts w:ascii="Georgia" w:hAnsi="Georgia"/>
          <w:sz w:val="22"/>
          <w:szCs w:val="22"/>
          <w:lang w:val="el-GR"/>
        </w:rPr>
        <w:t>-</w:t>
      </w:r>
      <w:r>
        <w:rPr>
          <w:rFonts w:ascii="Georgia" w:hAnsi="Georgia"/>
          <w:sz w:val="22"/>
          <w:szCs w:val="22"/>
        </w:rPr>
        <w:t>GVA</w:t>
      </w:r>
      <w:r>
        <w:rPr>
          <w:rFonts w:ascii="Georgia" w:hAnsi="Georgia"/>
          <w:sz w:val="22"/>
          <w:szCs w:val="22"/>
          <w:lang w:val="el-GR"/>
        </w:rPr>
        <w:t>,του μεταποιητικού τομέα.</w:t>
      </w:r>
    </w:p>
    <w:p>
      <w:pPr>
        <w:pStyle w:val="TextBody"/>
        <w:rPr>
          <w:rFonts w:ascii="Georgia" w:hAnsi="Georgia"/>
          <w:sz w:val="22"/>
          <w:szCs w:val="22"/>
          <w:lang w:val="el-GR"/>
        </w:rPr>
      </w:pPr>
      <w:r>
        <w:rPr>
          <w:rFonts w:ascii="Georgia" w:hAnsi="Georgia"/>
          <w:sz w:val="22"/>
          <w:szCs w:val="22"/>
          <w:lang w:val="el-GR"/>
        </w:rPr>
        <w:t>Η επενδυτική τάση στον αγροδιατροφικό τομέα είναι θετική, έχοντας ανακάμψει σημαντικά από το 2016, ωστόσο, τα συνολικά επίπεδα επενδύσεων είναι συγκριτικά χαμηλά, λαμβάνοντας υπόψη τις ανάγκες του κλάδου για εκσυγχρονισμό και αύξηση της ανταγωνιστικότητας.</w:t>
      </w:r>
    </w:p>
    <w:p>
      <w:pPr>
        <w:pStyle w:val="TextBody"/>
        <w:jc w:val="both"/>
        <w:rPr>
          <w:rFonts w:ascii="Georgia" w:hAnsi="Georgia"/>
          <w:sz w:val="22"/>
          <w:szCs w:val="22"/>
          <w:lang w:val="el-GR"/>
        </w:rPr>
      </w:pPr>
      <w:r>
        <w:rPr>
          <w:rFonts w:ascii="Georgia" w:hAnsi="Georgia"/>
          <w:sz w:val="22"/>
          <w:szCs w:val="22"/>
          <w:lang w:val="el-GR"/>
        </w:rPr>
        <w:t>Οι επενδύσεις στον αγροδιατροφικό τομέα οδηγούνται από:</w:t>
      </w:r>
    </w:p>
    <w:p>
      <w:pPr>
        <w:pStyle w:val="TextBody"/>
        <w:jc w:val="both"/>
        <w:rPr>
          <w:rFonts w:ascii="Georgia" w:hAnsi="Georgia"/>
          <w:sz w:val="22"/>
          <w:szCs w:val="22"/>
          <w:lang w:val="el-GR"/>
        </w:rPr>
      </w:pPr>
      <w:r>
        <w:rPr>
          <w:rFonts w:ascii="Georgia" w:hAnsi="Georgia"/>
          <w:sz w:val="22"/>
          <w:szCs w:val="22"/>
          <w:lang w:val="el-GR"/>
        </w:rPr>
        <w:t>-την ανάγκη εκσυγχρονισμού, μέσω επενδύσεων σε μηχανήματα, εξοπλισμό και εγκαταστάσεις.       Σε διάφορους υποτομείς, έχουν πραγματοποιηθεί επενδύσεις για την επέκταση της παραγωγικής ικανότητας και την αντικατάσταση παλαιών και απαρχαιωμένων μηχανημάτων, καθώς και με την αύξηση των χωρητικοτήτων αποθήκευσης, διαλογής, βαθμονόμησης και συσκευασίας.</w:t>
      </w:r>
    </w:p>
    <w:p>
      <w:pPr>
        <w:pStyle w:val="TextBody"/>
        <w:jc w:val="both"/>
        <w:rPr>
          <w:rFonts w:ascii="Georgia" w:hAnsi="Georgia"/>
          <w:sz w:val="22"/>
          <w:szCs w:val="22"/>
          <w:lang w:val="el-GR"/>
        </w:rPr>
      </w:pPr>
      <w:r>
        <w:rPr>
          <w:rFonts w:ascii="Georgia" w:hAnsi="Georgia"/>
          <w:sz w:val="22"/>
          <w:szCs w:val="22"/>
          <w:lang w:val="el-GR"/>
        </w:rPr>
        <w:t>-την ανάγκη προσέλκυσης νέων πελατών και αγορών με την ανάπτυξη νέων προϊόντων. Για παράδειγμα, για να ικανοποιήσουν τις ανάγκες των πελατών, οι παραγωγοί γαλακτοκομικών προϊόντων,  έχουν κάνει επενδύσεις στην ανάπτυξη νέων τύπων τυριών και άλλων προϊόντων, ενώ οι μεταποιητές κρέατος έχουν αναπτύξει νέους τύπους αλλαντικών.</w:t>
      </w:r>
    </w:p>
    <w:p>
      <w:pPr>
        <w:pStyle w:val="TextBody"/>
        <w:jc w:val="both"/>
        <w:rPr>
          <w:rFonts w:ascii="Georgia" w:hAnsi="Georgia"/>
          <w:sz w:val="22"/>
          <w:szCs w:val="22"/>
          <w:lang w:val="el-GR"/>
        </w:rPr>
      </w:pPr>
      <w:r>
        <w:rPr>
          <w:rFonts w:ascii="Georgia" w:hAnsi="Georgia"/>
          <w:sz w:val="22"/>
          <w:szCs w:val="22"/>
          <w:lang w:val="el-GR"/>
        </w:rPr>
        <w:t xml:space="preserve">Οι επενδυτικές τάσεις υποστηρίζονται επίσης από το </w:t>
      </w:r>
      <w:r>
        <w:rPr>
          <w:rFonts w:ascii="Georgia" w:hAnsi="Georgia"/>
          <w:sz w:val="22"/>
          <w:szCs w:val="22"/>
        </w:rPr>
        <w:t>European</w:t>
      </w:r>
      <w:r>
        <w:rPr>
          <w:rFonts w:ascii="Georgia" w:hAnsi="Georgia"/>
          <w:sz w:val="22"/>
          <w:szCs w:val="22"/>
          <w:lang w:val="el-GR"/>
        </w:rPr>
        <w:t xml:space="preserve"> </w:t>
      </w:r>
      <w:r>
        <w:rPr>
          <w:rFonts w:ascii="Georgia" w:hAnsi="Georgia"/>
          <w:sz w:val="22"/>
          <w:szCs w:val="22"/>
        </w:rPr>
        <w:t>Agricultural</w:t>
      </w:r>
      <w:r>
        <w:rPr>
          <w:rFonts w:ascii="Georgia" w:hAnsi="Georgia"/>
          <w:sz w:val="22"/>
          <w:szCs w:val="22"/>
          <w:lang w:val="el-GR"/>
        </w:rPr>
        <w:t xml:space="preserve"> </w:t>
      </w:r>
      <w:r>
        <w:rPr>
          <w:rFonts w:ascii="Georgia" w:hAnsi="Georgia"/>
          <w:sz w:val="22"/>
          <w:szCs w:val="22"/>
        </w:rPr>
        <w:t>Fund</w:t>
      </w:r>
      <w:r>
        <w:rPr>
          <w:rFonts w:ascii="Georgia" w:hAnsi="Georgia"/>
          <w:sz w:val="22"/>
          <w:szCs w:val="22"/>
          <w:lang w:val="el-GR"/>
        </w:rPr>
        <w:t xml:space="preserve"> </w:t>
      </w:r>
      <w:r>
        <w:rPr>
          <w:rFonts w:ascii="Georgia" w:hAnsi="Georgia"/>
          <w:sz w:val="22"/>
          <w:szCs w:val="22"/>
        </w:rPr>
        <w:t>for</w:t>
      </w:r>
      <w:r>
        <w:rPr>
          <w:rFonts w:ascii="Georgia" w:hAnsi="Georgia"/>
          <w:sz w:val="22"/>
          <w:szCs w:val="22"/>
          <w:lang w:val="el-GR"/>
        </w:rPr>
        <w:t xml:space="preserve"> </w:t>
      </w:r>
      <w:r>
        <w:rPr>
          <w:rFonts w:ascii="Georgia" w:hAnsi="Georgia"/>
          <w:sz w:val="22"/>
          <w:szCs w:val="22"/>
        </w:rPr>
        <w:t>Rural</w:t>
      </w:r>
      <w:r>
        <w:rPr>
          <w:rFonts w:ascii="Georgia" w:hAnsi="Georgia"/>
          <w:sz w:val="22"/>
          <w:szCs w:val="22"/>
          <w:lang w:val="el-GR"/>
        </w:rPr>
        <w:t xml:space="preserve"> </w:t>
      </w:r>
      <w:r>
        <w:rPr>
          <w:rFonts w:ascii="Georgia" w:hAnsi="Georgia"/>
          <w:sz w:val="22"/>
          <w:szCs w:val="22"/>
        </w:rPr>
        <w:t>Development</w:t>
      </w:r>
      <w:r>
        <w:rPr>
          <w:rFonts w:ascii="Georgia" w:hAnsi="Georgia"/>
          <w:sz w:val="22"/>
          <w:szCs w:val="22"/>
          <w:lang w:val="el-GR"/>
        </w:rPr>
        <w:t>/</w:t>
      </w:r>
      <w:r>
        <w:rPr>
          <w:rFonts w:ascii="Georgia" w:hAnsi="Georgia"/>
          <w:sz w:val="22"/>
          <w:szCs w:val="22"/>
        </w:rPr>
        <w:t>EAFRD</w:t>
      </w:r>
      <w:r>
        <w:rPr>
          <w:rFonts w:ascii="Georgia" w:hAnsi="Georgia"/>
          <w:sz w:val="22"/>
          <w:szCs w:val="22"/>
          <w:lang w:val="el-GR"/>
        </w:rPr>
        <w:t xml:space="preserve"> μέσω του </w:t>
      </w:r>
      <w:r>
        <w:rPr>
          <w:rFonts w:ascii="Georgia" w:hAnsi="Georgia"/>
          <w:sz w:val="22"/>
          <w:szCs w:val="22"/>
        </w:rPr>
        <w:t>Rural</w:t>
      </w:r>
      <w:r>
        <w:rPr>
          <w:rFonts w:ascii="Georgia" w:hAnsi="Georgia"/>
          <w:sz w:val="22"/>
          <w:szCs w:val="22"/>
          <w:lang w:val="el-GR"/>
        </w:rPr>
        <w:t xml:space="preserve"> </w:t>
      </w:r>
      <w:r>
        <w:rPr>
          <w:rFonts w:ascii="Georgia" w:hAnsi="Georgia"/>
          <w:sz w:val="22"/>
          <w:szCs w:val="22"/>
        </w:rPr>
        <w:t>Development</w:t>
      </w:r>
      <w:r>
        <w:rPr>
          <w:rFonts w:ascii="Georgia" w:hAnsi="Georgia"/>
          <w:sz w:val="22"/>
          <w:szCs w:val="22"/>
          <w:lang w:val="el-GR"/>
        </w:rPr>
        <w:t xml:space="preserve"> </w:t>
      </w:r>
      <w:r>
        <w:rPr>
          <w:rFonts w:ascii="Georgia" w:hAnsi="Georgia"/>
          <w:sz w:val="22"/>
          <w:szCs w:val="22"/>
        </w:rPr>
        <w:t>Programme</w:t>
      </w:r>
      <w:r>
        <w:rPr>
          <w:rFonts w:ascii="Georgia" w:hAnsi="Georgia"/>
          <w:sz w:val="22"/>
          <w:szCs w:val="22"/>
          <w:lang w:val="el-GR"/>
        </w:rPr>
        <w:t>/</w:t>
      </w:r>
      <w:r>
        <w:rPr>
          <w:rFonts w:ascii="Georgia" w:hAnsi="Georgia"/>
          <w:sz w:val="22"/>
          <w:szCs w:val="22"/>
        </w:rPr>
        <w:t>RDP</w:t>
      </w:r>
      <w:r>
        <w:rPr>
          <w:rFonts w:ascii="Georgia" w:hAnsi="Georgia"/>
          <w:sz w:val="22"/>
          <w:szCs w:val="22"/>
          <w:lang w:val="el-GR"/>
        </w:rPr>
        <w:t xml:space="preserve"> και κυρίως μέσω του υπομέτρου για δραστηριότητες μεταποίησης και εμπορίας. Πολλές αγροδιατροφικές επιχειρήσεις που έχουν λάβει στήριξη, πρέπει να δανειστούν από χρηματοπιστωτικά ιδρύματα και να παράσχουν την δική τους οικονομική συνεισφορά που απαιτείται, ώστε να συμπληρώσουν την επιχορήγηση. Ως εκ τούτου, η παρεχόμενη στήριξη επηρεάζει επίσης θετικά τη ζήτηση για χρηματοδότηση από εταιρείες αγροδιατροφής.</w:t>
      </w:r>
    </w:p>
    <w:p>
      <w:pPr>
        <w:pStyle w:val="TextBody"/>
        <w:jc w:val="both"/>
        <w:rPr>
          <w:rFonts w:ascii="Georgia" w:hAnsi="Georgia"/>
          <w:sz w:val="22"/>
          <w:szCs w:val="22"/>
          <w:lang w:val="el-GR"/>
        </w:rPr>
      </w:pPr>
      <w:r>
        <w:rPr>
          <w:rFonts w:ascii="Georgia" w:hAnsi="Georgia"/>
          <w:sz w:val="22"/>
          <w:szCs w:val="22"/>
          <w:lang w:val="el-GR"/>
        </w:rPr>
        <w:t xml:space="preserve">Η χρηματοδότηση του αγροδιατροφικού τομέα παρέχεται κυρίως από τις τράπεζες, αν και αυτές τείνουν να επικεντρώνονται σε μεγάλου μεγέθους επιχειρήσεις, ενώ εταιρείες όπως οι </w:t>
      </w:r>
      <w:r>
        <w:rPr>
          <w:rFonts w:ascii="Georgia" w:hAnsi="Georgia"/>
          <w:color w:val="000000"/>
          <w:sz w:val="22"/>
          <w:szCs w:val="22"/>
          <w:highlight w:val="white"/>
        </w:rPr>
        <w:t>Nonbanking</w:t>
      </w:r>
      <w:r>
        <w:rPr>
          <w:rFonts w:ascii="Georgia" w:hAnsi="Georgia"/>
          <w:color w:val="000000"/>
          <w:sz w:val="22"/>
          <w:szCs w:val="22"/>
          <w:highlight w:val="white"/>
          <w:lang w:val="el-GR"/>
        </w:rPr>
        <w:t xml:space="preserve"> </w:t>
      </w:r>
      <w:r>
        <w:rPr>
          <w:rFonts w:ascii="Georgia" w:hAnsi="Georgia"/>
          <w:color w:val="000000"/>
          <w:sz w:val="22"/>
          <w:szCs w:val="22"/>
          <w:highlight w:val="white"/>
        </w:rPr>
        <w:t>Financial</w:t>
      </w:r>
      <w:r>
        <w:rPr>
          <w:rFonts w:ascii="Georgia" w:hAnsi="Georgia"/>
          <w:color w:val="000000"/>
          <w:sz w:val="22"/>
          <w:szCs w:val="22"/>
          <w:highlight w:val="white"/>
          <w:lang w:val="el-GR"/>
        </w:rPr>
        <w:t xml:space="preserve"> </w:t>
      </w:r>
      <w:r>
        <w:rPr>
          <w:rFonts w:ascii="Georgia" w:hAnsi="Georgia"/>
          <w:color w:val="000000"/>
          <w:sz w:val="22"/>
          <w:szCs w:val="22"/>
          <w:highlight w:val="white"/>
        </w:rPr>
        <w:t>Institutions</w:t>
      </w:r>
      <w:r>
        <w:rPr>
          <w:rFonts w:ascii="Georgia" w:hAnsi="Georgia"/>
          <w:color w:val="202124"/>
          <w:sz w:val="22"/>
          <w:szCs w:val="22"/>
          <w:lang w:val="el-GR"/>
        </w:rPr>
        <w:t>/</w:t>
      </w:r>
      <w:r>
        <w:rPr>
          <w:rFonts w:ascii="Georgia" w:hAnsi="Georgia"/>
          <w:sz w:val="22"/>
          <w:szCs w:val="22"/>
        </w:rPr>
        <w:t>NBFI</w:t>
      </w:r>
      <w:r>
        <w:rPr>
          <w:rFonts w:ascii="Georgia" w:hAnsi="Georgia"/>
          <w:sz w:val="22"/>
          <w:szCs w:val="22"/>
          <w:lang w:val="el-GR"/>
        </w:rPr>
        <w:t xml:space="preserve"> έχουν μεν σαφή εστίαση σε μικρότερες επιχειρήσεις, αλλά η εμβέλειά τους στον τομέα είναι περιορισμένη. </w:t>
      </w:r>
    </w:p>
    <w:p>
      <w:pPr>
        <w:pStyle w:val="TextBody"/>
        <w:jc w:val="both"/>
        <w:rPr>
          <w:rFonts w:ascii="Georgia" w:hAnsi="Georgia"/>
          <w:sz w:val="22"/>
          <w:szCs w:val="22"/>
          <w:lang w:val="el-GR"/>
        </w:rPr>
      </w:pPr>
      <w:r>
        <w:rPr>
          <w:rFonts w:ascii="Georgia" w:hAnsi="Georgia"/>
          <w:sz w:val="22"/>
          <w:szCs w:val="22"/>
          <w:lang w:val="el-GR"/>
        </w:rPr>
        <w:t xml:space="preserve">Παράλληλα, το </w:t>
      </w:r>
      <w:r>
        <w:rPr>
          <w:rFonts w:ascii="Georgia" w:hAnsi="Georgia"/>
          <w:sz w:val="22"/>
          <w:szCs w:val="22"/>
        </w:rPr>
        <w:t>Rural</w:t>
      </w:r>
      <w:r>
        <w:rPr>
          <w:rFonts w:ascii="Georgia" w:hAnsi="Georgia"/>
          <w:sz w:val="22"/>
          <w:szCs w:val="22"/>
          <w:lang w:val="el-GR"/>
        </w:rPr>
        <w:t xml:space="preserve"> </w:t>
      </w:r>
      <w:r>
        <w:rPr>
          <w:rFonts w:ascii="Georgia" w:hAnsi="Georgia"/>
          <w:sz w:val="22"/>
          <w:szCs w:val="22"/>
        </w:rPr>
        <w:t>Credit</w:t>
      </w:r>
      <w:r>
        <w:rPr>
          <w:rFonts w:ascii="Georgia" w:hAnsi="Georgia"/>
          <w:sz w:val="22"/>
          <w:szCs w:val="22"/>
          <w:lang w:val="el-GR"/>
        </w:rPr>
        <w:t xml:space="preserve"> </w:t>
      </w:r>
      <w:r>
        <w:rPr>
          <w:rFonts w:ascii="Georgia" w:hAnsi="Georgia"/>
          <w:sz w:val="22"/>
          <w:szCs w:val="22"/>
        </w:rPr>
        <w:t>Guarantee</w:t>
      </w:r>
      <w:r>
        <w:rPr>
          <w:rFonts w:ascii="Georgia" w:hAnsi="Georgia"/>
          <w:sz w:val="22"/>
          <w:szCs w:val="22"/>
          <w:lang w:val="el-GR"/>
        </w:rPr>
        <w:t xml:space="preserve"> </w:t>
      </w:r>
      <w:r>
        <w:rPr>
          <w:rFonts w:ascii="Georgia" w:hAnsi="Georgia"/>
          <w:sz w:val="22"/>
          <w:szCs w:val="22"/>
        </w:rPr>
        <w:t>Fund</w:t>
      </w:r>
      <w:r>
        <w:rPr>
          <w:rFonts w:ascii="Georgia" w:hAnsi="Georgia"/>
          <w:sz w:val="22"/>
          <w:szCs w:val="22"/>
          <w:lang w:val="el-GR"/>
        </w:rPr>
        <w:t xml:space="preserve">/Ταμείο Εγγύησης Αγροτικών Πιστώσεων και το </w:t>
      </w:r>
      <w:r>
        <w:rPr>
          <w:rFonts w:ascii="Georgia" w:hAnsi="Georgia"/>
          <w:sz w:val="22"/>
          <w:szCs w:val="22"/>
        </w:rPr>
        <w:t>Romanian</w:t>
      </w:r>
      <w:r>
        <w:rPr>
          <w:rFonts w:ascii="Georgia" w:hAnsi="Georgia"/>
          <w:sz w:val="22"/>
          <w:szCs w:val="22"/>
          <w:lang w:val="el-GR"/>
        </w:rPr>
        <w:t xml:space="preserve"> </w:t>
      </w:r>
      <w:r>
        <w:rPr>
          <w:rFonts w:ascii="Georgia" w:hAnsi="Georgia"/>
          <w:sz w:val="22"/>
          <w:szCs w:val="22"/>
        </w:rPr>
        <w:t>National</w:t>
      </w:r>
      <w:r>
        <w:rPr>
          <w:rFonts w:ascii="Georgia" w:hAnsi="Georgia"/>
          <w:sz w:val="22"/>
          <w:szCs w:val="22"/>
          <w:lang w:val="el-GR"/>
        </w:rPr>
        <w:t xml:space="preserve"> </w:t>
      </w:r>
      <w:r>
        <w:rPr>
          <w:rFonts w:ascii="Georgia" w:hAnsi="Georgia"/>
          <w:sz w:val="22"/>
          <w:szCs w:val="22"/>
        </w:rPr>
        <w:t>Guarantee</w:t>
      </w:r>
      <w:r>
        <w:rPr>
          <w:rFonts w:ascii="Georgia" w:hAnsi="Georgia"/>
          <w:sz w:val="22"/>
          <w:szCs w:val="22"/>
          <w:lang w:val="el-GR"/>
        </w:rPr>
        <w:t xml:space="preserve"> </w:t>
      </w:r>
      <w:r>
        <w:rPr>
          <w:rFonts w:ascii="Georgia" w:hAnsi="Georgia"/>
          <w:sz w:val="22"/>
          <w:szCs w:val="22"/>
        </w:rPr>
        <w:t>Fund</w:t>
      </w:r>
      <w:r>
        <w:rPr>
          <w:rFonts w:ascii="Georgia" w:hAnsi="Georgia"/>
          <w:sz w:val="22"/>
          <w:szCs w:val="22"/>
          <w:lang w:val="el-GR"/>
        </w:rPr>
        <w:t xml:space="preserve"> </w:t>
      </w:r>
      <w:r>
        <w:rPr>
          <w:rFonts w:ascii="Georgia" w:hAnsi="Georgia"/>
          <w:sz w:val="22"/>
          <w:szCs w:val="22"/>
        </w:rPr>
        <w:t>for</w:t>
      </w:r>
      <w:r>
        <w:rPr>
          <w:rFonts w:ascii="Georgia" w:hAnsi="Georgia"/>
          <w:sz w:val="22"/>
          <w:szCs w:val="22"/>
          <w:lang w:val="el-GR"/>
        </w:rPr>
        <w:t xml:space="preserve"> </w:t>
      </w:r>
      <w:r>
        <w:rPr>
          <w:rFonts w:ascii="Georgia" w:hAnsi="Georgia"/>
          <w:sz w:val="22"/>
          <w:szCs w:val="22"/>
        </w:rPr>
        <w:t>SMEs</w:t>
      </w:r>
      <w:r>
        <w:rPr>
          <w:rFonts w:ascii="Georgia" w:hAnsi="Georgia"/>
          <w:sz w:val="22"/>
          <w:szCs w:val="22"/>
          <w:lang w:val="el-GR"/>
        </w:rPr>
        <w:t xml:space="preserve">- </w:t>
      </w:r>
      <w:r>
        <w:rPr>
          <w:rFonts w:ascii="Georgia" w:hAnsi="Georgia"/>
          <w:sz w:val="22"/>
          <w:szCs w:val="22"/>
        </w:rPr>
        <w:t>FNGCIMM</w:t>
      </w:r>
      <w:r>
        <w:rPr>
          <w:rFonts w:ascii="Georgia" w:hAnsi="Georgia"/>
          <w:sz w:val="22"/>
          <w:szCs w:val="22"/>
          <w:lang w:val="el-GR"/>
        </w:rPr>
        <w:t xml:space="preserve">/Εθνικό Εγγυητικό Ταμείο της Ρουμανίας για τις ΜΜΕ, μια κρατική εταιρεία που παρέχει εγγυήσεις σε ΜΜΕ που δεν διαθέτουν εξασφαλίσεις, διευκολύνουν την πρόσβαση στη χρηματοδότηση, ενώ επιχειρήσεις του αγροδιατροφικού τομέα έχουν επίσης πρόσβαση στο </w:t>
      </w:r>
      <w:r>
        <w:rPr>
          <w:rFonts w:ascii="Georgia" w:hAnsi="Georgia"/>
          <w:sz w:val="22"/>
          <w:szCs w:val="22"/>
        </w:rPr>
        <w:t>Portfolio</w:t>
      </w:r>
      <w:r>
        <w:rPr>
          <w:rFonts w:ascii="Georgia" w:hAnsi="Georgia"/>
          <w:sz w:val="22"/>
          <w:szCs w:val="22"/>
          <w:lang w:val="el-GR"/>
        </w:rPr>
        <w:t xml:space="preserve"> </w:t>
      </w:r>
      <w:r>
        <w:rPr>
          <w:rFonts w:ascii="Georgia" w:hAnsi="Georgia"/>
          <w:sz w:val="22"/>
          <w:szCs w:val="22"/>
        </w:rPr>
        <w:t>Risk</w:t>
      </w:r>
      <w:r>
        <w:rPr>
          <w:rFonts w:ascii="Georgia" w:hAnsi="Georgia"/>
          <w:sz w:val="22"/>
          <w:szCs w:val="22"/>
          <w:lang w:val="el-GR"/>
        </w:rPr>
        <w:t xml:space="preserve"> </w:t>
      </w:r>
      <w:r>
        <w:rPr>
          <w:rFonts w:ascii="Georgia" w:hAnsi="Georgia"/>
          <w:sz w:val="22"/>
          <w:szCs w:val="22"/>
        </w:rPr>
        <w:t>Sharing</w:t>
      </w:r>
      <w:r>
        <w:rPr>
          <w:rFonts w:ascii="Georgia" w:hAnsi="Georgia"/>
          <w:sz w:val="22"/>
          <w:szCs w:val="22"/>
          <w:lang w:val="el-GR"/>
        </w:rPr>
        <w:t xml:space="preserve"> </w:t>
      </w:r>
      <w:r>
        <w:rPr>
          <w:rFonts w:ascii="Georgia" w:hAnsi="Georgia"/>
          <w:sz w:val="22"/>
          <w:szCs w:val="22"/>
        </w:rPr>
        <w:t>Loan</w:t>
      </w:r>
      <w:r>
        <w:rPr>
          <w:rFonts w:ascii="Georgia" w:hAnsi="Georgia"/>
          <w:sz w:val="22"/>
          <w:szCs w:val="22"/>
          <w:lang w:val="el-GR"/>
        </w:rPr>
        <w:t xml:space="preserve"> </w:t>
      </w:r>
      <w:r>
        <w:rPr>
          <w:rFonts w:ascii="Georgia" w:hAnsi="Georgia"/>
          <w:sz w:val="22"/>
          <w:szCs w:val="22"/>
        </w:rPr>
        <w:t>instrument</w:t>
      </w:r>
      <w:r>
        <w:rPr>
          <w:rFonts w:ascii="Georgia" w:hAnsi="Georgia"/>
          <w:sz w:val="22"/>
          <w:szCs w:val="22"/>
          <w:lang w:val="el-GR"/>
        </w:rPr>
        <w:t xml:space="preserve">, το οποίο συγχρηματοδοτείται από το </w:t>
      </w:r>
      <w:r>
        <w:rPr>
          <w:rFonts w:ascii="Georgia" w:hAnsi="Georgia"/>
          <w:sz w:val="22"/>
          <w:szCs w:val="22"/>
        </w:rPr>
        <w:t>European</w:t>
      </w:r>
      <w:r>
        <w:rPr>
          <w:rFonts w:ascii="Georgia" w:hAnsi="Georgia"/>
          <w:sz w:val="22"/>
          <w:szCs w:val="22"/>
          <w:lang w:val="el-GR"/>
        </w:rPr>
        <w:t xml:space="preserve"> </w:t>
      </w:r>
      <w:r>
        <w:rPr>
          <w:rFonts w:ascii="Georgia" w:hAnsi="Georgia"/>
          <w:sz w:val="22"/>
          <w:szCs w:val="22"/>
        </w:rPr>
        <w:t>Agricultural</w:t>
      </w:r>
      <w:r>
        <w:rPr>
          <w:rFonts w:ascii="Georgia" w:hAnsi="Georgia"/>
          <w:sz w:val="22"/>
          <w:szCs w:val="22"/>
          <w:lang w:val="el-GR"/>
        </w:rPr>
        <w:t xml:space="preserve"> </w:t>
      </w:r>
      <w:r>
        <w:rPr>
          <w:rFonts w:ascii="Georgia" w:hAnsi="Georgia"/>
          <w:sz w:val="22"/>
          <w:szCs w:val="22"/>
        </w:rPr>
        <w:t>Fund</w:t>
      </w:r>
      <w:r>
        <w:rPr>
          <w:rFonts w:ascii="Georgia" w:hAnsi="Georgia"/>
          <w:sz w:val="22"/>
          <w:szCs w:val="22"/>
          <w:lang w:val="el-GR"/>
        </w:rPr>
        <w:t xml:space="preserve"> </w:t>
      </w:r>
      <w:r>
        <w:rPr>
          <w:rFonts w:ascii="Georgia" w:hAnsi="Georgia"/>
          <w:sz w:val="22"/>
          <w:szCs w:val="22"/>
        </w:rPr>
        <w:t>for</w:t>
      </w:r>
      <w:r>
        <w:rPr>
          <w:rFonts w:ascii="Georgia" w:hAnsi="Georgia"/>
          <w:sz w:val="22"/>
          <w:szCs w:val="22"/>
          <w:lang w:val="el-GR"/>
        </w:rPr>
        <w:t xml:space="preserve"> </w:t>
      </w:r>
      <w:r>
        <w:rPr>
          <w:rFonts w:ascii="Georgia" w:hAnsi="Georgia"/>
          <w:sz w:val="22"/>
          <w:szCs w:val="22"/>
        </w:rPr>
        <w:t>Rural</w:t>
      </w:r>
      <w:r>
        <w:rPr>
          <w:rFonts w:ascii="Georgia" w:hAnsi="Georgia"/>
          <w:sz w:val="22"/>
          <w:szCs w:val="22"/>
          <w:lang w:val="el-GR"/>
        </w:rPr>
        <w:t xml:space="preserve"> </w:t>
      </w:r>
      <w:r>
        <w:rPr>
          <w:rFonts w:ascii="Georgia" w:hAnsi="Georgia"/>
          <w:sz w:val="22"/>
          <w:szCs w:val="22"/>
        </w:rPr>
        <w:t>Development</w:t>
      </w:r>
      <w:r>
        <w:rPr>
          <w:rFonts w:ascii="Georgia" w:hAnsi="Georgia"/>
          <w:sz w:val="22"/>
          <w:szCs w:val="22"/>
          <w:lang w:val="el-GR"/>
        </w:rPr>
        <w:t>/</w:t>
      </w:r>
      <w:r>
        <w:rPr>
          <w:rFonts w:ascii="Georgia" w:hAnsi="Georgia"/>
          <w:sz w:val="22"/>
          <w:szCs w:val="22"/>
        </w:rPr>
        <w:t>EAFRD</w:t>
      </w:r>
      <w:r>
        <w:rPr>
          <w:rFonts w:ascii="Georgia" w:hAnsi="Georgia"/>
          <w:sz w:val="22"/>
          <w:szCs w:val="22"/>
          <w:lang w:val="el-GR"/>
        </w:rPr>
        <w:t>.</w:t>
      </w:r>
    </w:p>
    <w:p>
      <w:pPr>
        <w:pStyle w:val="TextBody"/>
        <w:jc w:val="both"/>
        <w:rPr>
          <w:rFonts w:ascii="Georgia" w:hAnsi="Georgia"/>
          <w:sz w:val="22"/>
          <w:szCs w:val="22"/>
          <w:lang w:val="el-GR"/>
        </w:rPr>
      </w:pPr>
      <w:r>
        <w:rPr>
          <w:rFonts w:ascii="Georgia" w:hAnsi="Georgia"/>
          <w:b/>
          <w:bCs/>
          <w:sz w:val="22"/>
          <w:szCs w:val="22"/>
          <w:lang w:val="el-GR"/>
        </w:rPr>
        <w:t>Το χρηματοδοτικό κενό για τον ρουμανικό αγροδιατροφικό τομέα εκτιμάται σε 482 εκατ. ευρώ.</w:t>
      </w:r>
      <w:r>
        <w:rPr>
          <w:rFonts w:ascii="Georgia" w:hAnsi="Georgia"/>
          <w:sz w:val="22"/>
          <w:szCs w:val="22"/>
          <w:lang w:val="el-GR"/>
        </w:rPr>
        <w:t xml:space="preserve"> Το χρηματοδοτικό κενό αφορά κυρίως στις μικρές επιχειρήσεις. Όσον αφορά στα δάνεια, η διαφορά είναι η μεγαλύτερη για τα μακροπρόθεσμα δάνεια και ακολουθούν τα μεσοπρόθεσμα δάνεια. Παράλληλα και σύμφωνα με την έρευνα, σημειώνεται ότι, ένας σημαντικός αριθμός αγροδιατροφικών επιχειρήσεων θεωρεί ότι η διαδικασία αίτησης δανείου είναι υπερβολικά μακρά και περίπλοκη. Επιπλέον, οι μικρές επιχειρήσεις αγροδιατροφής θεωρούν ότι είναι ιδιαίτερα δύσκολο να αποδείξουν την πιστοληπτική τους ικανότητα. Ως αποτέλεσμα, αποθαρρύνονται να υποβάλουν αίτηση για δάνεια καθώς φοβούνται ότι θα απορριφθούν.</w:t>
      </w:r>
    </w:p>
    <w:p>
      <w:pPr>
        <w:pStyle w:val="TextBody"/>
        <w:jc w:val="both"/>
        <w:rPr>
          <w:rFonts w:ascii="Georgia" w:hAnsi="Georgia"/>
          <w:sz w:val="22"/>
          <w:szCs w:val="22"/>
          <w:lang w:val="el-GR"/>
        </w:rPr>
      </w:pPr>
      <w:r>
        <w:rPr>
          <w:rFonts w:ascii="Georgia" w:hAnsi="Georgia"/>
          <w:sz w:val="22"/>
          <w:szCs w:val="22"/>
          <w:lang w:val="el-GR"/>
        </w:rPr>
        <w:t>Πολλές αιτήσεις δανείων από επιχειρήσεις αγροδιατροφής απορρίπτονται λόγω έλλειψης εξασφαλίσεων, χαμηλών περιθωρίων κέρδους και έλλειψης χρηματοοικονομικής παιδείας στις μικρότερες επιχειρήσεις. Για νεοσύστατες επιχειρήσεις, η απουσία πιστωτικού ιστορικού είναι ένα σημαντικό εμπόδιο, όπως και η έλλειψη εξασφαλίσεων. Τα χρηματοπιστωτικά ιδρύματα αντιμετωπίζουν επίσης περιορισμούς στον δανεισμό στον αγροδιατροφικό τομέα, παραδέχονται ότι οι γνώσεις τους για τον αγροδιατροφικό τομέα είναι περιορισμένες, ενώ επιπλέον, η προσφορά χρηματοδότησης επηρεάζεται από τα υψηλά επίπεδα μη εξυπηρετούμενων δανείων για τον κλάδο, γεγονός που περιορίζει το ενδιαφέρον των χρηματοπιστωτικών ιδρυμάτων.</w:t>
      </w:r>
    </w:p>
    <w:p>
      <w:pPr>
        <w:pStyle w:val="TextBody"/>
        <w:jc w:val="both"/>
        <w:rPr>
          <w:rFonts w:ascii="Georgia" w:hAnsi="Georgia"/>
          <w:sz w:val="22"/>
          <w:szCs w:val="22"/>
          <w:lang w:val="el-GR"/>
        </w:rPr>
      </w:pPr>
      <w:r>
        <w:rPr>
          <w:rFonts w:ascii="Georgia" w:hAnsi="Georgia"/>
          <w:sz w:val="22"/>
          <w:szCs w:val="22"/>
          <w:lang w:val="el-GR"/>
        </w:rPr>
        <w:t>Ως συμπέρασμα εκτιμάται ότι, οι μελλοντικές οικονομικές ανάγκες των ρουμανικών επιχειρήσεων αγροδιατροφής αναμένεται να αυξηθούν. Αυτό οφείλεται στις βελτιώσεις στην ολοκλήρωση της αγοράς και στην αυξημένη συνεργασία μεταξύ των διαφόρων επιχειρήσεων αγροδιατροφής.</w:t>
      </w:r>
    </w:p>
    <w:p>
      <w:pPr>
        <w:pStyle w:val="TextBody"/>
        <w:jc w:val="both"/>
        <w:rPr>
          <w:rFonts w:ascii="Georgia" w:hAnsi="Georgia"/>
          <w:sz w:val="22"/>
          <w:szCs w:val="22"/>
          <w:lang w:val="el-GR"/>
        </w:rPr>
      </w:pPr>
      <w:r>
        <w:rPr>
          <w:rFonts w:ascii="Georgia" w:hAnsi="Georgia"/>
          <w:b/>
          <w:sz w:val="22"/>
          <w:szCs w:val="22"/>
          <w:lang w:val="el-GR"/>
        </w:rPr>
        <w:t>3.Επιχειρήσεις</w:t>
      </w:r>
    </w:p>
    <w:p>
      <w:pPr>
        <w:pStyle w:val="TextBody"/>
        <w:jc w:val="both"/>
        <w:rPr>
          <w:rFonts w:ascii="Georgia" w:hAnsi="Georgia"/>
          <w:sz w:val="22"/>
          <w:szCs w:val="22"/>
          <w:lang w:val="el-GR"/>
        </w:rPr>
      </w:pPr>
      <w:r>
        <w:rPr>
          <w:rFonts w:ascii="Georgia" w:hAnsi="Georgia"/>
          <w:sz w:val="22"/>
          <w:szCs w:val="22"/>
          <w:lang w:val="el-GR"/>
        </w:rPr>
        <w:t xml:space="preserve">Ο κύκλος εργασιών των επιχειρήσεων στον αγροτικό τομέα κατέγραψε το 2021 την υψηλότερη αύξηση τα τελευταία 10 χρόνια, άνω του 30%, φτάνοντας στο ιστορικό μέγιστο των 58,1 δισεκατ. </w:t>
      </w:r>
      <w:r>
        <w:rPr>
          <w:rFonts w:ascii="Georgia" w:hAnsi="Georgia"/>
          <w:sz w:val="22"/>
          <w:szCs w:val="22"/>
        </w:rPr>
        <w:t>RON</w:t>
      </w:r>
      <w:r>
        <w:rPr>
          <w:rFonts w:ascii="Georgia" w:hAnsi="Georgia"/>
          <w:sz w:val="22"/>
          <w:szCs w:val="22"/>
          <w:lang w:val="el-GR"/>
        </w:rPr>
        <w:t xml:space="preserve"> (περίπου 11,9 δισ.Ευρώ) το 2021, κατά 35% περισσότερο από την αξία του 2017, σύμφωνα με μελέτη που πραγματοποιήθηκε από αναλυτές της εταιρείας </w:t>
      </w:r>
      <w:r>
        <w:rPr>
          <w:rFonts w:ascii="Georgia" w:hAnsi="Georgia"/>
          <w:sz w:val="22"/>
          <w:szCs w:val="22"/>
        </w:rPr>
        <w:t>KeysFin</w:t>
      </w:r>
      <w:r>
        <w:rPr>
          <w:rFonts w:ascii="Georgia" w:hAnsi="Georgia"/>
          <w:sz w:val="22"/>
          <w:szCs w:val="22"/>
          <w:lang w:val="el-GR"/>
        </w:rPr>
        <w:t>.</w:t>
      </w:r>
    </w:p>
    <w:p>
      <w:pPr>
        <w:pStyle w:val="TextBody"/>
        <w:jc w:val="both"/>
        <w:rPr>
          <w:rFonts w:ascii="Georgia" w:hAnsi="Georgia"/>
          <w:sz w:val="22"/>
          <w:szCs w:val="22"/>
          <w:lang w:val="el-GR"/>
        </w:rPr>
      </w:pPr>
      <w:r>
        <w:rPr>
          <w:rFonts w:ascii="Georgia" w:hAnsi="Georgia"/>
          <w:sz w:val="22"/>
          <w:szCs w:val="22"/>
          <w:lang w:val="el-GR"/>
        </w:rPr>
        <w:t xml:space="preserve">Για το 2022, η </w:t>
      </w:r>
      <w:r>
        <w:rPr>
          <w:rFonts w:ascii="Georgia" w:hAnsi="Georgia"/>
          <w:sz w:val="22"/>
          <w:szCs w:val="22"/>
        </w:rPr>
        <w:t>KeysFin</w:t>
      </w:r>
      <w:r>
        <w:rPr>
          <w:rFonts w:ascii="Georgia" w:hAnsi="Georgia"/>
          <w:sz w:val="22"/>
          <w:szCs w:val="22"/>
          <w:lang w:val="el-GR"/>
        </w:rPr>
        <w:t xml:space="preserve"> εκτιμά ότι η ενοποίηση του κλάδου πλησιάζει ή και υπερβαίνει το επίπεδο ρεκόρ που επιτεύχθηκε το 2021, λόγω των πληθωριστικών πιέσεων και των επιδοτήσεων που χορηγούνται από τις αρχές, παράγοντες που θα αντισταθμίσουν την πτώση παραγωγής των σιτηρών κατά 12% (πρόβλεψη παραγωγής από την Ευρωπαϊκή Επιτροπή τον Ιούλιο του 2022), αποτελώντας τη δεύτερη μεγαλύτερη ετήσια μείωση μεταξύ των κρατών μελών ΕΕ. </w:t>
      </w:r>
    </w:p>
    <w:p>
      <w:pPr>
        <w:pStyle w:val="TextBody"/>
        <w:jc w:val="both"/>
        <w:rPr>
          <w:rFonts w:ascii="Georgia" w:hAnsi="Georgia"/>
          <w:sz w:val="22"/>
          <w:szCs w:val="22"/>
          <w:lang w:val="el-GR"/>
        </w:rPr>
      </w:pPr>
      <w:r>
        <w:rPr>
          <w:rFonts w:ascii="Georgia" w:hAnsi="Georgia"/>
          <w:sz w:val="22"/>
          <w:szCs w:val="22"/>
          <w:lang w:val="el-GR"/>
        </w:rPr>
        <w:t xml:space="preserve">Όσον αφορά στις εταιρείες που παρουσίασαν τον μεγαλύτερο κύκλο εργασιών στον αγροδιατροφικό τομέα, στην κορυφή βρέθηκε, η ‘’Εθνική Δασική Αρχή – </w:t>
      </w:r>
      <w:r>
        <w:rPr>
          <w:rFonts w:ascii="Georgia" w:hAnsi="Georgia"/>
          <w:sz w:val="22"/>
          <w:szCs w:val="22"/>
        </w:rPr>
        <w:t>Romsilva</w:t>
      </w:r>
      <w:r>
        <w:rPr>
          <w:rFonts w:ascii="Georgia" w:hAnsi="Georgia"/>
          <w:sz w:val="22"/>
          <w:szCs w:val="22"/>
          <w:lang w:val="el-GR"/>
        </w:rPr>
        <w:t xml:space="preserve">’’ </w:t>
      </w:r>
      <w:hyperlink r:id="rId4">
        <w:r>
          <w:rPr>
            <w:rStyle w:val="InternetLink"/>
            <w:rFonts w:ascii="Georgia" w:hAnsi="Georgia"/>
            <w:sz w:val="22"/>
            <w:szCs w:val="22"/>
          </w:rPr>
          <w:t>http</w:t>
        </w:r>
        <w:r>
          <w:rPr>
            <w:rStyle w:val="InternetLink"/>
            <w:rFonts w:ascii="Georgia" w:hAnsi="Georgia"/>
            <w:sz w:val="22"/>
            <w:szCs w:val="22"/>
            <w:lang w:val="el-GR"/>
          </w:rPr>
          <w:t>://</w:t>
        </w:r>
        <w:r>
          <w:rPr>
            <w:rStyle w:val="InternetLink"/>
            <w:rFonts w:ascii="Georgia" w:hAnsi="Georgia"/>
            <w:sz w:val="22"/>
            <w:szCs w:val="22"/>
          </w:rPr>
          <w:t>www</w:t>
        </w:r>
        <w:r>
          <w:rPr>
            <w:rStyle w:val="InternetLink"/>
            <w:rFonts w:ascii="Georgia" w:hAnsi="Georgia"/>
            <w:sz w:val="22"/>
            <w:szCs w:val="22"/>
            <w:lang w:val="el-GR"/>
          </w:rPr>
          <w:t>.</w:t>
        </w:r>
        <w:r>
          <w:rPr>
            <w:rStyle w:val="InternetLink"/>
            <w:rFonts w:ascii="Georgia" w:hAnsi="Georgia"/>
            <w:sz w:val="22"/>
            <w:szCs w:val="22"/>
          </w:rPr>
          <w:t>rosilva</w:t>
        </w:r>
        <w:r>
          <w:rPr>
            <w:rStyle w:val="InternetLink"/>
            <w:rFonts w:ascii="Georgia" w:hAnsi="Georgia"/>
            <w:sz w:val="22"/>
            <w:szCs w:val="22"/>
            <w:lang w:val="el-GR"/>
          </w:rPr>
          <w:t>.</w:t>
        </w:r>
        <w:r>
          <w:rPr>
            <w:rStyle w:val="InternetLink"/>
            <w:rFonts w:ascii="Georgia" w:hAnsi="Georgia"/>
            <w:sz w:val="22"/>
            <w:szCs w:val="22"/>
          </w:rPr>
          <w:t>ro</w:t>
        </w:r>
        <w:r>
          <w:rPr>
            <w:rStyle w:val="InternetLink"/>
            <w:rFonts w:ascii="Georgia" w:hAnsi="Georgia"/>
            <w:sz w:val="22"/>
            <w:szCs w:val="22"/>
            <w:lang w:val="el-GR"/>
          </w:rPr>
          <w:t>/</w:t>
        </w:r>
      </w:hyperlink>
      <w:r>
        <w:rPr>
          <w:rFonts w:ascii="Georgia" w:hAnsi="Georgia"/>
          <w:sz w:val="22"/>
          <w:szCs w:val="22"/>
          <w:lang w:val="el-GR"/>
        </w:rPr>
        <w:t xml:space="preserve">(κυρίως προϊόντα ξυλείας), που κατέλαβε την πρώτη θέση το 2021, μετά από ετήσια αύξηση 25% στον κύκλο εργασιών. Στη 2η και 3η θέση, κατά τζίρο, ήταν η </w:t>
      </w:r>
      <w:r>
        <w:rPr>
          <w:rFonts w:ascii="Georgia" w:hAnsi="Georgia"/>
          <w:sz w:val="22"/>
          <w:szCs w:val="22"/>
        </w:rPr>
        <w:t>Promat</w:t>
      </w:r>
      <w:r>
        <w:rPr>
          <w:rFonts w:ascii="Georgia" w:hAnsi="Georgia"/>
          <w:sz w:val="22"/>
          <w:szCs w:val="22"/>
          <w:lang w:val="el-GR"/>
        </w:rPr>
        <w:t xml:space="preserve"> </w:t>
      </w:r>
      <w:r>
        <w:rPr>
          <w:rFonts w:ascii="Georgia" w:hAnsi="Georgia"/>
          <w:sz w:val="22"/>
          <w:szCs w:val="22"/>
        </w:rPr>
        <w:t>Comimpex</w:t>
      </w:r>
      <w:r>
        <w:rPr>
          <w:rFonts w:ascii="Georgia" w:hAnsi="Georgia"/>
          <w:sz w:val="22"/>
          <w:szCs w:val="22"/>
          <w:lang w:val="el-GR"/>
        </w:rPr>
        <w:t xml:space="preserve"> </w:t>
      </w:r>
      <w:r>
        <w:rPr>
          <w:rFonts w:ascii="Georgia" w:hAnsi="Georgia"/>
          <w:sz w:val="22"/>
          <w:szCs w:val="22"/>
        </w:rPr>
        <w:t>SRL</w:t>
      </w:r>
      <w:r>
        <w:rPr>
          <w:rFonts w:ascii="Georgia" w:hAnsi="Georgia"/>
          <w:sz w:val="22"/>
          <w:szCs w:val="22"/>
          <w:lang w:val="el-GR"/>
        </w:rPr>
        <w:t xml:space="preserve"> </w:t>
      </w:r>
      <w:hyperlink r:id="rId5">
        <w:r>
          <w:rPr>
            <w:rStyle w:val="InternetLink"/>
            <w:rFonts w:ascii="Georgia" w:hAnsi="Georgia"/>
            <w:sz w:val="22"/>
            <w:szCs w:val="22"/>
          </w:rPr>
          <w:t>https</w:t>
        </w:r>
        <w:r>
          <w:rPr>
            <w:rStyle w:val="InternetLink"/>
            <w:rFonts w:ascii="Georgia" w:hAnsi="Georgia"/>
            <w:sz w:val="22"/>
            <w:szCs w:val="22"/>
            <w:lang w:val="el-GR"/>
          </w:rPr>
          <w:t>://</w:t>
        </w:r>
        <w:r>
          <w:rPr>
            <w:rStyle w:val="InternetLink"/>
            <w:rFonts w:ascii="Georgia" w:hAnsi="Georgia"/>
            <w:sz w:val="22"/>
            <w:szCs w:val="22"/>
          </w:rPr>
          <w:t>promatagro</w:t>
        </w:r>
        <w:r>
          <w:rPr>
            <w:rStyle w:val="InternetLink"/>
            <w:rFonts w:ascii="Georgia" w:hAnsi="Georgia"/>
            <w:sz w:val="22"/>
            <w:szCs w:val="22"/>
            <w:lang w:val="el-GR"/>
          </w:rPr>
          <w:t>.</w:t>
        </w:r>
        <w:r>
          <w:rPr>
            <w:rStyle w:val="InternetLink"/>
            <w:rFonts w:ascii="Georgia" w:hAnsi="Georgia"/>
            <w:sz w:val="22"/>
            <w:szCs w:val="22"/>
          </w:rPr>
          <w:t>ro</w:t>
        </w:r>
        <w:r>
          <w:rPr>
            <w:rStyle w:val="InternetLink"/>
            <w:rFonts w:ascii="Georgia" w:hAnsi="Georgia"/>
            <w:sz w:val="22"/>
            <w:szCs w:val="22"/>
            <w:lang w:val="el-GR"/>
          </w:rPr>
          <w:t>/</w:t>
        </w:r>
      </w:hyperlink>
      <w:r>
        <w:rPr>
          <w:rFonts w:ascii="Georgia" w:hAnsi="Georgia"/>
          <w:sz w:val="22"/>
          <w:szCs w:val="22"/>
          <w:lang w:val="el-GR"/>
        </w:rPr>
        <w:t xml:space="preserve">(κυρίως δημητριακά και σπόροι), με 1,2 δισεκατ. </w:t>
      </w:r>
      <w:r>
        <w:rPr>
          <w:rFonts w:ascii="Georgia" w:hAnsi="Georgia"/>
          <w:sz w:val="22"/>
          <w:szCs w:val="22"/>
        </w:rPr>
        <w:t>RON</w:t>
      </w:r>
      <w:r>
        <w:rPr>
          <w:rFonts w:ascii="Georgia" w:hAnsi="Georgia"/>
          <w:sz w:val="22"/>
          <w:szCs w:val="22"/>
          <w:lang w:val="el-GR"/>
        </w:rPr>
        <w:t xml:space="preserve"> (περίπου 244 εκ.Ευρώ) και η </w:t>
      </w:r>
      <w:r>
        <w:rPr>
          <w:rFonts w:ascii="Georgia" w:hAnsi="Georgia"/>
          <w:sz w:val="22"/>
          <w:szCs w:val="22"/>
        </w:rPr>
        <w:t>Plantagro</w:t>
      </w:r>
      <w:r>
        <w:rPr>
          <w:rFonts w:ascii="Georgia" w:hAnsi="Georgia"/>
          <w:sz w:val="22"/>
          <w:szCs w:val="22"/>
          <w:lang w:val="el-GR"/>
        </w:rPr>
        <w:t>-</w:t>
      </w:r>
      <w:r>
        <w:rPr>
          <w:rFonts w:ascii="Georgia" w:hAnsi="Georgia"/>
          <w:sz w:val="22"/>
          <w:szCs w:val="22"/>
        </w:rPr>
        <w:t>Com</w:t>
      </w:r>
      <w:r>
        <w:rPr>
          <w:rFonts w:ascii="Georgia" w:hAnsi="Georgia"/>
          <w:sz w:val="22"/>
          <w:szCs w:val="22"/>
          <w:lang w:val="el-GR"/>
        </w:rPr>
        <w:t xml:space="preserve"> </w:t>
      </w:r>
      <w:r>
        <w:rPr>
          <w:rFonts w:ascii="Georgia" w:hAnsi="Georgia"/>
          <w:sz w:val="22"/>
          <w:szCs w:val="22"/>
        </w:rPr>
        <w:t>SRL</w:t>
      </w:r>
      <w:r>
        <w:rPr>
          <w:rFonts w:ascii="Georgia" w:hAnsi="Georgia"/>
          <w:sz w:val="22"/>
          <w:szCs w:val="22"/>
          <w:lang w:val="el-GR"/>
        </w:rPr>
        <w:t xml:space="preserve"> </w:t>
      </w:r>
      <w:hyperlink r:id="rId6">
        <w:r>
          <w:rPr>
            <w:rStyle w:val="InternetLink"/>
            <w:rFonts w:ascii="Georgia" w:hAnsi="Georgia"/>
            <w:sz w:val="22"/>
            <w:szCs w:val="22"/>
          </w:rPr>
          <w:t>https</w:t>
        </w:r>
        <w:r>
          <w:rPr>
            <w:rStyle w:val="InternetLink"/>
            <w:rFonts w:ascii="Georgia" w:hAnsi="Georgia"/>
            <w:sz w:val="22"/>
            <w:szCs w:val="22"/>
            <w:lang w:val="el-GR"/>
          </w:rPr>
          <w:t>://</w:t>
        </w:r>
        <w:r>
          <w:rPr>
            <w:rStyle w:val="InternetLink"/>
            <w:rFonts w:ascii="Georgia" w:hAnsi="Georgia"/>
            <w:sz w:val="22"/>
            <w:szCs w:val="22"/>
          </w:rPr>
          <w:t>www</w:t>
        </w:r>
        <w:r>
          <w:rPr>
            <w:rStyle w:val="InternetLink"/>
            <w:rFonts w:ascii="Georgia" w:hAnsi="Georgia"/>
            <w:sz w:val="22"/>
            <w:szCs w:val="22"/>
            <w:lang w:val="el-GR"/>
          </w:rPr>
          <w:t>.</w:t>
        </w:r>
        <w:r>
          <w:rPr>
            <w:rStyle w:val="InternetLink"/>
            <w:rFonts w:ascii="Georgia" w:hAnsi="Georgia"/>
            <w:sz w:val="22"/>
            <w:szCs w:val="22"/>
          </w:rPr>
          <w:t>plantagro</w:t>
        </w:r>
        <w:r>
          <w:rPr>
            <w:rStyle w:val="InternetLink"/>
            <w:rFonts w:ascii="Georgia" w:hAnsi="Georgia"/>
            <w:sz w:val="22"/>
            <w:szCs w:val="22"/>
            <w:lang w:val="el-GR"/>
          </w:rPr>
          <w:t>.</w:t>
        </w:r>
        <w:r>
          <w:rPr>
            <w:rStyle w:val="InternetLink"/>
            <w:rFonts w:ascii="Georgia" w:hAnsi="Georgia"/>
            <w:sz w:val="22"/>
            <w:szCs w:val="22"/>
          </w:rPr>
          <w:t>ro</w:t>
        </w:r>
        <w:r>
          <w:rPr>
            <w:rStyle w:val="InternetLink"/>
            <w:rFonts w:ascii="Georgia" w:hAnsi="Georgia"/>
            <w:sz w:val="22"/>
            <w:szCs w:val="22"/>
            <w:lang w:val="el-GR"/>
          </w:rPr>
          <w:t>/</w:t>
        </w:r>
      </w:hyperlink>
      <w:r>
        <w:rPr>
          <w:rFonts w:ascii="Georgia" w:hAnsi="Georgia"/>
          <w:sz w:val="22"/>
          <w:szCs w:val="22"/>
          <w:lang w:val="el-GR"/>
        </w:rPr>
        <w:t xml:space="preserve"> με 672 εκατ. </w:t>
      </w:r>
      <w:r>
        <w:rPr>
          <w:rFonts w:ascii="Georgia" w:hAnsi="Georgia"/>
          <w:sz w:val="22"/>
          <w:szCs w:val="22"/>
        </w:rPr>
        <w:t>RON</w:t>
      </w:r>
      <w:r>
        <w:rPr>
          <w:rFonts w:ascii="Georgia" w:hAnsi="Georgia"/>
          <w:sz w:val="22"/>
          <w:szCs w:val="22"/>
          <w:lang w:val="el-GR"/>
        </w:rPr>
        <w:t xml:space="preserve"> (περίπου 137 εκ.Ευρώ)το 2021.</w:t>
      </w:r>
    </w:p>
    <w:p>
      <w:pPr>
        <w:pStyle w:val="TextBody"/>
        <w:jc w:val="both"/>
        <w:rPr>
          <w:rFonts w:ascii="Georgia" w:hAnsi="Georgia"/>
          <w:sz w:val="22"/>
          <w:szCs w:val="22"/>
          <w:lang w:val="el-GR"/>
        </w:rPr>
      </w:pPr>
      <w:r>
        <w:rPr>
          <w:rFonts w:ascii="Georgia" w:hAnsi="Georgia"/>
          <w:sz w:val="22"/>
          <w:szCs w:val="22"/>
          <w:lang w:val="el-GR"/>
        </w:rPr>
        <w:t xml:space="preserve">Σημειώνεται παράλληλα ότι την υψηλότερη άνοδο στο </w:t>
      </w:r>
      <w:r>
        <w:rPr>
          <w:rFonts w:ascii="Georgia" w:hAnsi="Georgia"/>
          <w:sz w:val="22"/>
          <w:szCs w:val="22"/>
        </w:rPr>
        <w:t>top</w:t>
      </w:r>
      <w:r>
        <w:rPr>
          <w:rFonts w:ascii="Georgia" w:hAnsi="Georgia"/>
          <w:sz w:val="22"/>
          <w:szCs w:val="22"/>
          <w:lang w:val="el-GR"/>
        </w:rPr>
        <w:t xml:space="preserve"> 20 κατέγραψε η εταιρεία </w:t>
      </w:r>
      <w:r>
        <w:rPr>
          <w:rFonts w:ascii="Georgia" w:hAnsi="Georgia"/>
          <w:sz w:val="22"/>
          <w:szCs w:val="22"/>
        </w:rPr>
        <w:t>Comcereal</w:t>
      </w:r>
      <w:r>
        <w:rPr>
          <w:rFonts w:ascii="Georgia" w:hAnsi="Georgia"/>
          <w:sz w:val="22"/>
          <w:szCs w:val="22"/>
          <w:lang w:val="el-GR"/>
        </w:rPr>
        <w:t xml:space="preserve"> </w:t>
      </w:r>
      <w:r>
        <w:rPr>
          <w:rFonts w:ascii="Georgia" w:hAnsi="Georgia"/>
          <w:sz w:val="22"/>
          <w:szCs w:val="22"/>
        </w:rPr>
        <w:t>SA</w:t>
      </w:r>
      <w:r>
        <w:rPr>
          <w:rFonts w:ascii="Georgia" w:hAnsi="Georgia"/>
          <w:sz w:val="22"/>
          <w:szCs w:val="22"/>
          <w:lang w:val="el-GR"/>
        </w:rPr>
        <w:t>, η οποία μετά από ετήσια άνοδο 182% σε κύκλο εργασιών, κατέλαβε την τελευταία θέση στην πρώτη 20άδα κατά το 2021.</w:t>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sz w:val="22"/>
          <w:szCs w:val="22"/>
          <w:lang w:val="el-GR"/>
        </w:rPr>
        <w:t xml:space="preserve">Σύμφωνα με την ανάλυση της </w:t>
      </w:r>
      <w:r>
        <w:rPr>
          <w:rFonts w:ascii="Georgia" w:hAnsi="Georgia"/>
          <w:sz w:val="22"/>
          <w:szCs w:val="22"/>
        </w:rPr>
        <w:t>Keysfin</w:t>
      </w:r>
      <w:r>
        <w:rPr>
          <w:rFonts w:ascii="Georgia" w:hAnsi="Georgia"/>
          <w:sz w:val="22"/>
          <w:szCs w:val="22"/>
          <w:lang w:val="el-GR"/>
        </w:rPr>
        <w:t>, ο αριθμός των εταιρειών που ανέφεραν τα οικονομικά τους αποτελέσματα το 2021 παρέμεινε πολύ κοντά σε αυτόν του προηγούμενου έτους, δηλαδή 26.500 εταιρείες (με βάση τα στοιχεία που εξήχθησαν τον Σεπτέμβριο του 2022). Μεταξύ των 26.500 εταιρειών που ανέφεραν οικονομικά αποτελέσματα, περίπου 17.000 σημείωσαν κέρδη (περίπου 64%), ενώ 6.500 εταιρείες κατέγραψαν ζημιά (περίπου 25%) και το υπόλοιπο 11% σημείωσε μηδενικό αποτέλεσμα το 2021.</w:t>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sz w:val="22"/>
          <w:szCs w:val="22"/>
          <w:lang w:val="el-GR"/>
        </w:rPr>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sz w:val="22"/>
          <w:szCs w:val="22"/>
          <w:lang w:val="el-GR"/>
        </w:rPr>
        <w:t>Περαιτέρω και όσον αφορά στην παραγωγή λαχανικών, η Ρουμανία σημείωσε τη δεύτερη μεγαλύτερη αύξηση στην αξία της παραγωγής λαχανικών στην Ευρωπαϊκή Ένωση, κατά 40,2%, και ανήλθε στην 6η θέση μεταξύ των κ-μ της ΕΕ, με ποσοστό 6,3% του συνόλου.</w:t>
      </w:r>
    </w:p>
    <w:p>
      <w:pPr>
        <w:pStyle w:val="Normal"/>
        <w:tabs>
          <w:tab w:val="clear" w:pos="720"/>
          <w:tab w:val="left" w:pos="975" w:leader="none"/>
        </w:tabs>
        <w:spacing w:lineRule="auto" w:line="276"/>
        <w:jc w:val="both"/>
        <w:rPr>
          <w:rFonts w:ascii="Georgia" w:hAnsi="Georgia"/>
          <w:sz w:val="16"/>
          <w:szCs w:val="16"/>
          <w:lang w:val="el-GR"/>
        </w:rPr>
      </w:pPr>
      <w:r>
        <w:rPr>
          <w:rFonts w:ascii="Georgia" w:hAnsi="Georgia"/>
          <w:sz w:val="16"/>
          <w:szCs w:val="16"/>
          <w:lang w:val="el-GR"/>
        </w:rPr>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sz w:val="22"/>
          <w:szCs w:val="22"/>
          <w:lang w:val="el-GR"/>
        </w:rPr>
        <w:t>Στην κατάταξη της παραγωγής σιταριού σε επίπεδο ΕΕ, η Ρουμανία ανέβηκε 2 θέσεις, φτάνοντας στην 4η, με 7,5% του συνόλου και συγκομιδή 10,4 εκατομ. τόνων το 2021. Η Ρουμανία εξακολουθεί να καταλαμβάνει την πρώτη θέση όσον αφορά την καλλιεργούμενη έκταση καλαμποκιού μεταξύ τα κράτη-μέλη της Ευρωπαϊκής Ένωσης, και το έτος μετά την πανδημία η πραγματοποιηθείσα παραγωγή ήταν 14,8 εκατομ. τόνοι, αναδεικνύοντας και πάλι ηγετική θέση στην ευρωπαϊκή ιεραρχία. Επιπλέον, η Ρουμανία κατάφερε να παραμείνει ο μεγαλύτερος παραγωγός ηλίανθου στην ΕΕ, με συγκομιδή 2,8 εκατομ. τόνων το 2021.</w:t>
      </w:r>
    </w:p>
    <w:p>
      <w:pPr>
        <w:pStyle w:val="Normal"/>
        <w:tabs>
          <w:tab w:val="clear" w:pos="720"/>
          <w:tab w:val="left" w:pos="975" w:leader="none"/>
        </w:tabs>
        <w:spacing w:lineRule="auto" w:line="276"/>
        <w:jc w:val="both"/>
        <w:rPr>
          <w:rFonts w:ascii="Georgia" w:hAnsi="Georgia"/>
          <w:sz w:val="16"/>
          <w:szCs w:val="16"/>
          <w:lang w:val="el-GR"/>
        </w:rPr>
      </w:pPr>
      <w:r>
        <w:rPr>
          <w:rFonts w:ascii="Georgia" w:hAnsi="Georgia"/>
          <w:sz w:val="16"/>
          <w:szCs w:val="16"/>
          <w:lang w:val="el-GR"/>
        </w:rPr>
      </w:r>
    </w:p>
    <w:p>
      <w:pPr>
        <w:pStyle w:val="ListParagraph"/>
        <w:numPr>
          <w:ilvl w:val="0"/>
          <w:numId w:val="0"/>
        </w:numPr>
        <w:tabs>
          <w:tab w:val="clear" w:pos="720"/>
          <w:tab w:val="left" w:pos="975" w:leader="none"/>
        </w:tabs>
        <w:spacing w:lineRule="auto" w:line="276"/>
        <w:ind w:hanging="0"/>
        <w:jc w:val="both"/>
        <w:rPr>
          <w:rFonts w:ascii="Georgia" w:hAnsi="Georgia"/>
          <w:b/>
          <w:b/>
          <w:sz w:val="22"/>
          <w:szCs w:val="22"/>
          <w:lang w:val="el-GR"/>
        </w:rPr>
      </w:pPr>
      <w:r>
        <w:rPr>
          <w:rFonts w:ascii="Georgia" w:hAnsi="Georgia"/>
          <w:b/>
          <w:sz w:val="22"/>
          <w:szCs w:val="22"/>
          <w:lang w:val="el-GR"/>
        </w:rPr>
        <w:t>4. Ευρωπαϊκές Χρηματοδοτήσεις</w:t>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sz w:val="22"/>
          <w:szCs w:val="22"/>
          <w:lang w:val="el-GR"/>
        </w:rPr>
        <w:t>Όσον αφορά στις ευρωπαϊκές χρηματοδοτήσεις στον τομέα, αναφέρεται δειγματοληπτικά ότι τον Αύγουστο τ.έ.., η Ευρωπαϊκή Τράπεζα Ανασυγκρότησης &amp; Ανάπτυξης/</w:t>
      </w:r>
      <w:r>
        <w:rPr>
          <w:rFonts w:ascii="Georgia" w:hAnsi="Georgia"/>
          <w:sz w:val="22"/>
          <w:szCs w:val="22"/>
        </w:rPr>
        <w:t>EBRD</w:t>
      </w:r>
      <w:r>
        <w:rPr>
          <w:rFonts w:ascii="Georgia" w:hAnsi="Georgia"/>
          <w:sz w:val="22"/>
          <w:szCs w:val="22"/>
          <w:lang w:val="el-GR"/>
        </w:rPr>
        <w:t xml:space="preserve">, ενέκρινε για την ενίσχυση της παραγωγής και ασφάλειας των τροφίμων, δανειακή χορήγηση ύψους 20 εκατομ.Ευρώ, στην </w:t>
      </w:r>
      <w:r>
        <w:rPr>
          <w:rFonts w:ascii="Georgia" w:hAnsi="Georgia"/>
          <w:sz w:val="22"/>
          <w:szCs w:val="22"/>
        </w:rPr>
        <w:t>Agricover</w:t>
      </w:r>
      <w:r>
        <w:rPr>
          <w:rFonts w:ascii="Georgia" w:hAnsi="Georgia"/>
          <w:sz w:val="22"/>
          <w:szCs w:val="22"/>
          <w:lang w:val="el-GR"/>
        </w:rPr>
        <w:t xml:space="preserve"> </w:t>
      </w:r>
      <w:r>
        <w:rPr>
          <w:rFonts w:ascii="Georgia" w:hAnsi="Georgia"/>
          <w:sz w:val="22"/>
          <w:szCs w:val="22"/>
        </w:rPr>
        <w:t>Credit</w:t>
      </w:r>
      <w:r>
        <w:rPr>
          <w:rFonts w:ascii="Georgia" w:hAnsi="Georgia"/>
          <w:sz w:val="22"/>
          <w:szCs w:val="22"/>
          <w:lang w:val="el-GR"/>
        </w:rPr>
        <w:t>-</w:t>
      </w:r>
      <w:r>
        <w:rPr>
          <w:rFonts w:ascii="Georgia" w:hAnsi="Georgia"/>
          <w:sz w:val="22"/>
          <w:szCs w:val="22"/>
        </w:rPr>
        <w:t>IFN</w:t>
      </w:r>
      <w:r>
        <w:rPr>
          <w:rFonts w:ascii="Georgia" w:hAnsi="Georgia"/>
          <w:sz w:val="22"/>
          <w:szCs w:val="22"/>
          <w:lang w:val="el-GR"/>
        </w:rPr>
        <w:t xml:space="preserve">, </w:t>
      </w:r>
      <w:hyperlink r:id="rId7">
        <w:r>
          <w:rPr>
            <w:rStyle w:val="InternetLink"/>
            <w:rFonts w:ascii="Georgia" w:hAnsi="Georgia"/>
            <w:sz w:val="22"/>
            <w:szCs w:val="22"/>
          </w:rPr>
          <w:t>https</w:t>
        </w:r>
        <w:r>
          <w:rPr>
            <w:rStyle w:val="InternetLink"/>
            <w:rFonts w:ascii="Georgia" w:hAnsi="Georgia"/>
            <w:sz w:val="22"/>
            <w:szCs w:val="22"/>
            <w:lang w:val="el-GR"/>
          </w:rPr>
          <w:t>://</w:t>
        </w:r>
        <w:r>
          <w:rPr>
            <w:rStyle w:val="InternetLink"/>
            <w:rFonts w:ascii="Georgia" w:hAnsi="Georgia"/>
            <w:sz w:val="22"/>
            <w:szCs w:val="22"/>
          </w:rPr>
          <w:t>agricover</w:t>
        </w:r>
        <w:r>
          <w:rPr>
            <w:rStyle w:val="InternetLink"/>
            <w:rFonts w:ascii="Georgia" w:hAnsi="Georgia"/>
            <w:sz w:val="22"/>
            <w:szCs w:val="22"/>
            <w:lang w:val="el-GR"/>
          </w:rPr>
          <w:t>.</w:t>
        </w:r>
        <w:r>
          <w:rPr>
            <w:rStyle w:val="InternetLink"/>
            <w:rFonts w:ascii="Georgia" w:hAnsi="Georgia"/>
            <w:sz w:val="22"/>
            <w:szCs w:val="22"/>
          </w:rPr>
          <w:t>ro</w:t>
        </w:r>
        <w:r>
          <w:rPr>
            <w:rStyle w:val="InternetLink"/>
            <w:rFonts w:ascii="Georgia" w:hAnsi="Georgia"/>
            <w:sz w:val="22"/>
            <w:szCs w:val="22"/>
            <w:lang w:val="el-GR"/>
          </w:rPr>
          <w:t>/</w:t>
        </w:r>
      </w:hyperlink>
      <w:r>
        <w:rPr>
          <w:rFonts w:ascii="Georgia" w:hAnsi="Georgia"/>
          <w:sz w:val="22"/>
          <w:szCs w:val="22"/>
          <w:lang w:val="el-GR"/>
        </w:rPr>
        <w:t xml:space="preserve">,  για να δανείσει τους αγρότες για τις επενδύσεις τους ή τις ανάγκες χρηματοδότησης του κεφαλαίου κίνησης. Το δάνειο αποτελεί μέρος του </w:t>
      </w:r>
      <w:r>
        <w:rPr>
          <w:rFonts w:ascii="Georgia" w:hAnsi="Georgia"/>
          <w:sz w:val="22"/>
          <w:szCs w:val="22"/>
        </w:rPr>
        <w:t>Resilience</w:t>
      </w:r>
      <w:r>
        <w:rPr>
          <w:rFonts w:ascii="Georgia" w:hAnsi="Georgia"/>
          <w:sz w:val="22"/>
          <w:szCs w:val="22"/>
          <w:lang w:val="el-GR"/>
        </w:rPr>
        <w:t xml:space="preserve"> </w:t>
      </w:r>
      <w:r>
        <w:rPr>
          <w:rFonts w:ascii="Georgia" w:hAnsi="Georgia"/>
          <w:sz w:val="22"/>
          <w:szCs w:val="22"/>
        </w:rPr>
        <w:t>and</w:t>
      </w:r>
      <w:r>
        <w:rPr>
          <w:rFonts w:ascii="Georgia" w:hAnsi="Georgia"/>
          <w:sz w:val="22"/>
          <w:szCs w:val="22"/>
          <w:lang w:val="el-GR"/>
        </w:rPr>
        <w:t xml:space="preserve"> </w:t>
      </w:r>
      <w:r>
        <w:rPr>
          <w:rFonts w:ascii="Georgia" w:hAnsi="Georgia"/>
          <w:sz w:val="22"/>
          <w:szCs w:val="22"/>
        </w:rPr>
        <w:t>Livelihoods</w:t>
      </w:r>
      <w:r>
        <w:rPr>
          <w:rFonts w:ascii="Georgia" w:hAnsi="Georgia"/>
          <w:sz w:val="22"/>
          <w:szCs w:val="22"/>
          <w:lang w:val="el-GR"/>
        </w:rPr>
        <w:t xml:space="preserve"> </w:t>
      </w:r>
      <w:r>
        <w:rPr>
          <w:rFonts w:ascii="Georgia" w:hAnsi="Georgia"/>
          <w:sz w:val="22"/>
          <w:szCs w:val="22"/>
        </w:rPr>
        <w:t>Framework</w:t>
      </w:r>
      <w:r>
        <w:rPr>
          <w:rFonts w:ascii="Georgia" w:hAnsi="Georgia"/>
          <w:sz w:val="22"/>
          <w:szCs w:val="22"/>
          <w:lang w:val="el-GR"/>
        </w:rPr>
        <w:t xml:space="preserve"> της </w:t>
      </w:r>
      <w:r>
        <w:rPr>
          <w:rFonts w:ascii="Georgia" w:hAnsi="Georgia"/>
          <w:sz w:val="22"/>
          <w:szCs w:val="22"/>
        </w:rPr>
        <w:t>EBRD</w:t>
      </w:r>
      <w:r>
        <w:rPr>
          <w:rFonts w:ascii="Georgia" w:hAnsi="Georgia"/>
          <w:sz w:val="22"/>
          <w:szCs w:val="22"/>
          <w:lang w:val="el-GR"/>
        </w:rPr>
        <w:t xml:space="preserve"> συν.ύψους 2 δισεκατομ. Ευρώ, </w:t>
      </w:r>
      <w:r>
        <w:rPr>
          <w:rFonts w:ascii="Georgia" w:hAnsi="Georgia"/>
          <w:sz w:val="22"/>
          <w:szCs w:val="22"/>
        </w:rPr>
        <w:t>RLF</w:t>
      </w:r>
      <w:r>
        <w:rPr>
          <w:rFonts w:ascii="Georgia" w:hAnsi="Georgia"/>
          <w:sz w:val="22"/>
          <w:szCs w:val="22"/>
          <w:lang w:val="el-GR"/>
        </w:rPr>
        <w:t xml:space="preserve"> που βοηθά τις χώρες και τις εταιρείες που επλήγησαν από τον πόλεμο στην Ουκρανία.</w:t>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sz w:val="22"/>
          <w:szCs w:val="22"/>
          <w:lang w:val="el-GR"/>
        </w:rPr>
        <w:t>Η Ρουμανία όπως προαναφέρθηκε, σημείωσε γεωργική παραγωγή ρεκόρ το 2021 και έχει σημαντική ικανότητα παραγωγής σιτηρών και ελαιούχων σπόρων. Ενώ οι Ρουμάνοι αγρότες αντιμετωπίζουν αυξημένες τιμές εισροών και αυξανόμενους λογαριασμούς ενέργειας, αυτή η παραγωγή ρεκόρ, σε συνδυασμό με τις υψηλές τιμές παραγωγής και την υψηλότερη διεθνή ζήτηση για καλλιέργειες, συνδυάζονται για να στηρίξουν τους ντόπιους αγρότες να προσαρμοστούν στο συνεχώς μεταβαλλόμενο περιβάλλον.</w:t>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sz w:val="22"/>
          <w:szCs w:val="22"/>
          <w:lang w:val="el-GR"/>
        </w:rPr>
        <w:t xml:space="preserve">Όσον αφορά στην </w:t>
      </w:r>
      <w:r>
        <w:rPr>
          <w:rFonts w:ascii="Georgia" w:hAnsi="Georgia"/>
          <w:sz w:val="22"/>
          <w:szCs w:val="22"/>
        </w:rPr>
        <w:t>Agricover</w:t>
      </w:r>
      <w:r>
        <w:rPr>
          <w:rFonts w:ascii="Georgia" w:hAnsi="Georgia"/>
          <w:sz w:val="22"/>
          <w:szCs w:val="22"/>
          <w:lang w:val="el-GR"/>
        </w:rPr>
        <w:t xml:space="preserve"> </w:t>
      </w:r>
      <w:r>
        <w:rPr>
          <w:rFonts w:ascii="Georgia" w:hAnsi="Georgia"/>
          <w:sz w:val="22"/>
          <w:szCs w:val="22"/>
        </w:rPr>
        <w:t>Credit</w:t>
      </w:r>
      <w:r>
        <w:rPr>
          <w:rFonts w:ascii="Georgia" w:hAnsi="Georgia"/>
          <w:sz w:val="22"/>
          <w:szCs w:val="22"/>
          <w:lang w:val="el-GR"/>
        </w:rPr>
        <w:t xml:space="preserve"> </w:t>
      </w:r>
      <w:r>
        <w:rPr>
          <w:rFonts w:ascii="Georgia" w:hAnsi="Georgia"/>
          <w:sz w:val="22"/>
          <w:szCs w:val="22"/>
        </w:rPr>
        <w:t xml:space="preserve">IFN, σημειώνεται ότι </w:t>
      </w:r>
      <w:r>
        <w:rPr>
          <w:rFonts w:ascii="Georgia" w:hAnsi="Georgia"/>
          <w:sz w:val="22"/>
          <w:szCs w:val="22"/>
          <w:lang w:val="el-GR"/>
        </w:rPr>
        <w:t xml:space="preserve">συνεργάζεται με περισσότερους από 4.700 αγρότες στη Ρουμανία, είναι θυγατρική της </w:t>
      </w:r>
      <w:r>
        <w:rPr>
          <w:rFonts w:ascii="Georgia" w:hAnsi="Georgia"/>
          <w:sz w:val="22"/>
          <w:szCs w:val="22"/>
        </w:rPr>
        <w:t>Agricover</w:t>
      </w:r>
      <w:r>
        <w:rPr>
          <w:rFonts w:ascii="Georgia" w:hAnsi="Georgia"/>
          <w:sz w:val="22"/>
          <w:szCs w:val="22"/>
          <w:lang w:val="el-GR"/>
        </w:rPr>
        <w:t xml:space="preserve"> </w:t>
      </w:r>
      <w:r>
        <w:rPr>
          <w:rFonts w:ascii="Georgia" w:hAnsi="Georgia"/>
          <w:sz w:val="22"/>
          <w:szCs w:val="22"/>
        </w:rPr>
        <w:t>Holding</w:t>
      </w:r>
      <w:r>
        <w:rPr>
          <w:rFonts w:ascii="Georgia" w:hAnsi="Georgia"/>
          <w:sz w:val="22"/>
          <w:szCs w:val="22"/>
          <w:lang w:val="el-GR"/>
        </w:rPr>
        <w:t xml:space="preserve">, η οποία προσφέρει αγροτικές και χρηματοοικονομικές υπηρεσίες στους αγρότες μέσω ενός εξαιρετικά ολοκληρωμένου επιχειρηματικού μοντέλου που επικεντρώνεται στην ικανοποίηση των βασικών αναγκών των αγροτών. Η εταιρεία, υφιστάμενος πελάτης της ΕΤΑΑ από το 2018, ανήκει εξ ολοκλήρου στην </w:t>
      </w:r>
      <w:r>
        <w:rPr>
          <w:rFonts w:ascii="Georgia" w:hAnsi="Georgia"/>
          <w:sz w:val="22"/>
          <w:szCs w:val="22"/>
        </w:rPr>
        <w:t>Agricover</w:t>
      </w:r>
      <w:r>
        <w:rPr>
          <w:rFonts w:ascii="Georgia" w:hAnsi="Georgia"/>
          <w:sz w:val="22"/>
          <w:szCs w:val="22"/>
          <w:lang w:val="el-GR"/>
        </w:rPr>
        <w:t xml:space="preserve"> </w:t>
      </w:r>
      <w:r>
        <w:rPr>
          <w:rFonts w:ascii="Georgia" w:hAnsi="Georgia"/>
          <w:sz w:val="22"/>
          <w:szCs w:val="22"/>
        </w:rPr>
        <w:t>Holding</w:t>
      </w:r>
      <w:r>
        <w:rPr>
          <w:rFonts w:ascii="Georgia" w:hAnsi="Georgia"/>
          <w:sz w:val="22"/>
          <w:szCs w:val="22"/>
          <w:lang w:val="el-GR"/>
        </w:rPr>
        <w:t xml:space="preserve"> </w:t>
      </w:r>
      <w:r>
        <w:rPr>
          <w:rFonts w:ascii="Georgia" w:hAnsi="Georgia"/>
          <w:sz w:val="22"/>
          <w:szCs w:val="22"/>
        </w:rPr>
        <w:t>S</w:t>
      </w:r>
      <w:r>
        <w:rPr>
          <w:rFonts w:ascii="Georgia" w:hAnsi="Georgia"/>
          <w:sz w:val="22"/>
          <w:szCs w:val="22"/>
          <w:lang w:val="el-GR"/>
        </w:rPr>
        <w:t>.</w:t>
      </w:r>
      <w:r>
        <w:rPr>
          <w:rFonts w:ascii="Georgia" w:hAnsi="Georgia"/>
          <w:sz w:val="22"/>
          <w:szCs w:val="22"/>
        </w:rPr>
        <w:t>A</w:t>
      </w:r>
      <w:r>
        <w:rPr>
          <w:rFonts w:ascii="Georgia" w:hAnsi="Georgia"/>
          <w:sz w:val="22"/>
          <w:szCs w:val="22"/>
          <w:lang w:val="el-GR"/>
        </w:rPr>
        <w:t xml:space="preserve">., σημαντικό παράγοντα στον αγροτικό τομέα της Ρουμανίας με πάνω από 20 χρόνια δραστηριότητας, στον οποίο η </w:t>
      </w:r>
      <w:r>
        <w:rPr>
          <w:rFonts w:ascii="Georgia" w:hAnsi="Georgia"/>
          <w:sz w:val="22"/>
          <w:szCs w:val="22"/>
        </w:rPr>
        <w:t>EBRD</w:t>
      </w:r>
      <w:r>
        <w:rPr>
          <w:rFonts w:ascii="Georgia" w:hAnsi="Georgia"/>
          <w:sz w:val="22"/>
          <w:szCs w:val="22"/>
          <w:lang w:val="el-GR"/>
        </w:rPr>
        <w:t xml:space="preserve"> είναι μέτοχος από το 2017, κατέχοντας μερίδιο περίπου 13%.</w:t>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sz w:val="22"/>
          <w:szCs w:val="22"/>
          <w:lang w:val="el-GR"/>
        </w:rPr>
      </w:r>
    </w:p>
    <w:p>
      <w:pPr>
        <w:pStyle w:val="ListParagraph"/>
        <w:numPr>
          <w:ilvl w:val="0"/>
          <w:numId w:val="0"/>
        </w:numPr>
        <w:tabs>
          <w:tab w:val="clear" w:pos="720"/>
          <w:tab w:val="left" w:pos="975" w:leader="none"/>
        </w:tabs>
        <w:spacing w:lineRule="auto" w:line="276"/>
        <w:ind w:hanging="0"/>
        <w:jc w:val="both"/>
        <w:rPr>
          <w:rFonts w:ascii="Georgia" w:hAnsi="Georgia"/>
          <w:b/>
          <w:b/>
          <w:sz w:val="22"/>
          <w:szCs w:val="22"/>
          <w:lang w:val="el-GR"/>
        </w:rPr>
      </w:pPr>
      <w:r>
        <w:rPr>
          <w:rFonts w:ascii="Georgia" w:hAnsi="Georgia"/>
          <w:b/>
          <w:sz w:val="22"/>
          <w:szCs w:val="22"/>
          <w:lang w:val="el-GR"/>
        </w:rPr>
        <w:t>5. Αποτελέσματα ξηρασίας 2022</w:t>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sz w:val="22"/>
          <w:szCs w:val="22"/>
          <w:lang w:val="el-GR"/>
        </w:rPr>
        <w:t>Τέλος σημειώνεται ότι, η φετινή ξηρασία εκτιμάται ότι θα προκαλέσει απώλειες άνω του 1 δισ. ευρώ στον αγροτικό τομέα της Ρουμανίας, με 800.000 από τα συνολικά 5,4 εκατ. εκτάρια καλλιεργειών της χώρας να επηρεάζονται.</w:t>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sz w:val="22"/>
          <w:szCs w:val="22"/>
          <w:lang w:val="el-GR"/>
        </w:rPr>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sz w:val="22"/>
          <w:szCs w:val="22"/>
          <w:lang w:val="el-GR"/>
        </w:rPr>
      </w:r>
    </w:p>
    <w:tbl>
      <w:tblPr>
        <w:tblW w:w="3600" w:type="dxa"/>
        <w:jc w:val="left"/>
        <w:tblInd w:w="5509" w:type="dxa"/>
        <w:tblCellMar>
          <w:top w:w="0" w:type="dxa"/>
          <w:left w:w="108" w:type="dxa"/>
          <w:bottom w:w="0" w:type="dxa"/>
          <w:right w:w="108" w:type="dxa"/>
        </w:tblCellMar>
        <w:tblLook w:val="01e0"/>
      </w:tblPr>
      <w:tblGrid>
        <w:gridCol w:w="3600"/>
      </w:tblGrid>
      <w:tr>
        <w:trPr/>
        <w:tc>
          <w:tcPr>
            <w:tcW w:w="3600" w:type="dxa"/>
            <w:tcBorders/>
          </w:tcPr>
          <w:p>
            <w:pPr>
              <w:pStyle w:val="Normal"/>
              <w:spacing w:lineRule="auto" w:line="276"/>
              <w:jc w:val="center"/>
              <w:rPr>
                <w:rFonts w:ascii="Georgia" w:hAnsi="Georgia"/>
                <w:sz w:val="22"/>
              </w:rPr>
            </w:pPr>
            <w:r>
              <w:rPr>
                <w:rFonts w:ascii="Georgia" w:hAnsi="Georgia"/>
                <w:sz w:val="22"/>
                <w:szCs w:val="22"/>
                <w:lang w:val="el-GR"/>
              </w:rPr>
              <w:t>Ο Δ/νων</w:t>
            </w:r>
          </w:p>
          <w:p>
            <w:pPr>
              <w:pStyle w:val="Normal"/>
              <w:spacing w:lineRule="auto" w:line="276"/>
              <w:rPr>
                <w:rFonts w:ascii="Georgia" w:hAnsi="Georgia"/>
                <w:sz w:val="22"/>
                <w:lang w:val="el-GR"/>
              </w:rPr>
            </w:pPr>
            <w:r>
              <w:rPr>
                <w:rFonts w:ascii="Georgia" w:hAnsi="Georgia"/>
                <w:sz w:val="22"/>
                <w:lang w:val="el-GR"/>
              </w:rPr>
            </w:r>
          </w:p>
        </w:tc>
      </w:tr>
      <w:tr>
        <w:trPr/>
        <w:tc>
          <w:tcPr>
            <w:tcW w:w="3600" w:type="dxa"/>
            <w:tcBorders/>
          </w:tcPr>
          <w:p>
            <w:pPr>
              <w:pStyle w:val="Normal"/>
              <w:spacing w:lineRule="auto" w:line="276"/>
              <w:jc w:val="center"/>
              <w:rPr>
                <w:rFonts w:ascii="Georgia" w:hAnsi="Georgia"/>
                <w:sz w:val="22"/>
              </w:rPr>
            </w:pPr>
            <w:r>
              <w:rPr>
                <w:rFonts w:ascii="Georgia" w:hAnsi="Georgia"/>
                <w:sz w:val="22"/>
                <w:szCs w:val="22"/>
                <w:lang w:val="el-GR"/>
              </w:rPr>
              <w:t>Παντελής Γιαννούλης</w:t>
            </w:r>
          </w:p>
        </w:tc>
      </w:tr>
      <w:tr>
        <w:trPr/>
        <w:tc>
          <w:tcPr>
            <w:tcW w:w="3600" w:type="dxa"/>
            <w:tcBorders/>
          </w:tcPr>
          <w:p>
            <w:pPr>
              <w:pStyle w:val="Normal"/>
              <w:spacing w:lineRule="auto" w:line="276"/>
              <w:jc w:val="center"/>
              <w:rPr>
                <w:rFonts w:ascii="Georgia" w:hAnsi="Georgia"/>
                <w:sz w:val="22"/>
              </w:rPr>
            </w:pPr>
            <w:r>
              <w:rPr>
                <w:rFonts w:ascii="Georgia" w:hAnsi="Georgia"/>
                <w:sz w:val="22"/>
                <w:szCs w:val="22"/>
                <w:lang w:val="el-GR"/>
              </w:rPr>
              <w:t>Σύμβουλος ΟΕΥ Α΄</w:t>
            </w:r>
          </w:p>
        </w:tc>
      </w:tr>
    </w:tbl>
    <w:p>
      <w:pPr>
        <w:pStyle w:val="Normal"/>
        <w:spacing w:lineRule="auto" w:line="276"/>
        <w:rPr>
          <w:rFonts w:ascii="Georgia" w:hAnsi="Georgia"/>
          <w:sz w:val="22"/>
          <w:szCs w:val="22"/>
        </w:rPr>
      </w:pPr>
      <w:r>
        <w:rPr/>
      </w:r>
    </w:p>
    <w:sectPr>
      <w:footerReference w:type="default" r:id="rId8"/>
      <w:type w:val="nextPage"/>
      <w:pgSz w:w="11906" w:h="16838"/>
      <w:pgMar w:left="1260" w:right="1106" w:header="0" w:top="990" w:footer="720" w:bottom="10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Courier New">
    <w:charset w:val="01"/>
    <w:family w:val="roman"/>
    <w:pitch w:val="variable"/>
  </w:font>
  <w:font w:name="Liberation Sans">
    <w:altName w:val="Arial"/>
    <w:charset w:val="01"/>
    <w:family w:val="roman"/>
    <w:pitch w:val="variable"/>
  </w:font>
  <w:font w:name="Tahoma">
    <w:charset w:val="01"/>
    <w:family w:val="roman"/>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color w:val="A6A6A6" w:themeColor="background1" w:themeShade="a6"/>
      </w:rPr>
    </w:pPr>
    <w:r>
      <w:rPr>
        <w:color w:val="A6A6A6" w:themeColor="background1" w:themeShade="a6"/>
      </w:rPr>
    </w:r>
  </w:p>
  <w:p>
    <w:pPr>
      <w:pStyle w:val="Footer"/>
      <w:jc w:val="center"/>
      <w:rPr>
        <w:i/>
        <w:i/>
        <w:color w:val="A6A6A6" w:themeColor="background1" w:themeShade="a6"/>
        <w:sz w:val="20"/>
        <w:szCs w:val="20"/>
      </w:rPr>
    </w:pPr>
    <w:r>
      <w:rPr>
        <w:i/>
        <w:color w:val="A6A6A6" w:themeColor="background1" w:themeShade="a6"/>
        <w:sz w:val="20"/>
        <w:szCs w:val="20"/>
      </w:rPr>
      <w:t>PacheProtopopescu 1-3, Sector 2, Bucharest</w:t>
    </w:r>
  </w:p>
  <w:p>
    <w:pPr>
      <w:pStyle w:val="Footer"/>
      <w:jc w:val="center"/>
      <w:rPr>
        <w:i/>
        <w:i/>
        <w:color w:val="A6A6A6" w:themeColor="background1" w:themeShade="a6"/>
        <w:sz w:val="20"/>
        <w:szCs w:val="20"/>
        <w:lang w:val="it-IT"/>
      </w:rPr>
    </w:pPr>
    <w:r>
      <w:rPr>
        <w:i/>
        <w:color w:val="A6A6A6" w:themeColor="background1" w:themeShade="a6"/>
        <w:sz w:val="20"/>
        <w:szCs w:val="20"/>
        <w:lang w:val="el-GR"/>
      </w:rPr>
      <w:t>Τηλ</w:t>
    </w:r>
    <w:r>
      <w:rPr>
        <w:i/>
        <w:color w:val="A6A6A6" w:themeColor="background1" w:themeShade="a6"/>
        <w:sz w:val="20"/>
        <w:szCs w:val="20"/>
      </w:rPr>
      <w:t>.</w:t>
    </w:r>
    <w:r>
      <w:rPr>
        <w:i/>
        <w:color w:val="A6A6A6" w:themeColor="background1" w:themeShade="a6"/>
        <w:sz w:val="20"/>
        <w:szCs w:val="20"/>
        <w:lang w:val="it-IT"/>
      </w:rPr>
      <w:t>: +40-21-2100748,2115724, Fax: +40-21-2119893</w:t>
    </w:r>
  </w:p>
  <w:p>
    <w:pPr>
      <w:pStyle w:val="Footer"/>
      <w:jc w:val="center"/>
      <w:rPr>
        <w:i/>
        <w:i/>
        <w:color w:val="A6A6A6" w:themeColor="background1" w:themeShade="a6"/>
        <w:sz w:val="20"/>
        <w:szCs w:val="20"/>
        <w:lang w:val="en-GB"/>
      </w:rPr>
    </w:pPr>
    <w:r>
      <w:rPr>
        <w:i/>
        <w:color w:val="A6A6A6" w:themeColor="background1" w:themeShade="a6"/>
        <w:sz w:val="20"/>
        <w:szCs w:val="20"/>
        <w:lang w:val="it-IT"/>
      </w:rPr>
      <w:t xml:space="preserve">e-mail: </w:t>
    </w:r>
    <w:hyperlink r:id="rId1">
      <w:r>
        <w:rPr>
          <w:rStyle w:val="InternetLink"/>
          <w:i/>
          <w:color w:val="A6A6A6" w:themeColor="background1" w:themeShade="a6"/>
          <w:sz w:val="20"/>
          <w:szCs w:val="20"/>
          <w:lang w:val="it-IT"/>
        </w:rPr>
        <w:t>ecocom-bucharest@mfa.gr</w:t>
      </w:r>
    </w:hyperlink>
    <w:r>
      <w:rPr>
        <w:i/>
        <w:color w:val="A6A6A6" w:themeColor="background1" w:themeShade="a6"/>
        <w:sz w:val="20"/>
        <w:szCs w:val="20"/>
      </w:rPr>
      <w:t xml:space="preserve"> Web: </w:t>
    </w:r>
    <w:hyperlink r:id="rId2">
      <w:r>
        <w:rPr>
          <w:rStyle w:val="InternetLink"/>
          <w:i/>
          <w:color w:val="A6A6A6" w:themeColor="background1" w:themeShade="a6"/>
          <w:sz w:val="20"/>
          <w:szCs w:val="20"/>
        </w:rPr>
        <w:t>www.agora.mfa.gr</w:t>
      </w:r>
    </w:hyperlink>
  </w:p>
  <w:p>
    <w:pPr>
      <w:pStyle w:val="Footer"/>
      <w:jc w:val="center"/>
      <w:rPr>
        <w:i/>
        <w:i/>
        <w:sz w:val="20"/>
        <w:szCs w:val="20"/>
        <w:lang w:val="en-GB"/>
      </w:rPr>
    </w:pPr>
    <w:r>
      <w:rPr>
        <w:i/>
        <w:sz w:val="20"/>
        <w:szCs w:val="20"/>
        <w:lang w:val="en-GB"/>
      </w:rPr>
    </w:r>
  </w:p>
  <w:p>
    <w:pPr>
      <w:pStyle w:val="Footer"/>
      <w:jc w:val="center"/>
      <w:rPr>
        <w:lang w:val="en-GB"/>
      </w:rPr>
    </w:pPr>
    <w:r>
      <w:rPr>
        <w:lang w:val="en-GB"/>
      </w:rPr>
    </w:r>
  </w:p>
</w:ftr>
</file>

<file path=word/settings.xml><?xml version="1.0" encoding="utf-8"?>
<w:settings xmlns:w="http://schemas.openxmlformats.org/wordprocessingml/2006/main">
  <w:zoom w:percent="116"/>
  <w:embedSystemFonts/>
  <w:defaultTabStop w:val="720"/>
  <w:autoHyphenation w:val="true"/>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semiHidden="0" w:unhideWhenUsed="0" w:qFormat="1"/>
    <w:lsdException w:name="Emphasis" w:locked="1" w:uiPriority="2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47973"/>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uiPriority w:val="99"/>
    <w:qFormat/>
    <w:rsid w:val="00747973"/>
    <w:pPr>
      <w:keepNext w:val="true"/>
      <w:spacing w:before="240" w:after="60"/>
      <w:outlineLvl w:val="0"/>
    </w:pPr>
    <w:rPr>
      <w:rFonts w:ascii="Arial" w:hAnsi="Arial" w:cs="Arial"/>
      <w:b/>
      <w:bCs/>
      <w:kern w:val="2"/>
      <w:sz w:val="32"/>
      <w:szCs w:val="32"/>
    </w:rPr>
  </w:style>
  <w:style w:type="paragraph" w:styleId="Heading2">
    <w:name w:val="Heading 2"/>
    <w:basedOn w:val="Normal"/>
    <w:next w:val="Normal"/>
    <w:link w:val="Heading2Char"/>
    <w:semiHidden/>
    <w:unhideWhenUsed/>
    <w:qFormat/>
    <w:locked/>
    <w:rsid w:val="0021604b"/>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semiHidden/>
    <w:unhideWhenUsed/>
    <w:qFormat/>
    <w:locked/>
    <w:rsid w:val="0021604b"/>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9"/>
    <w:qFormat/>
    <w:locked/>
    <w:rsid w:val="00747973"/>
    <w:rPr>
      <w:rFonts w:ascii="Arial" w:hAnsi="Arial" w:cs="Arial"/>
      <w:b/>
      <w:bCs/>
      <w:kern w:val="2"/>
      <w:sz w:val="32"/>
      <w:szCs w:val="32"/>
      <w:lang w:val="en-US" w:eastAsia="en-US" w:bidi="ar-SA"/>
    </w:rPr>
  </w:style>
  <w:style w:type="character" w:styleId="InternetLink">
    <w:name w:val="Hyperlink"/>
    <w:basedOn w:val="DefaultParagraphFont"/>
    <w:uiPriority w:val="99"/>
    <w:rsid w:val="00747973"/>
    <w:rPr>
      <w:rFonts w:cs="Times New Roman"/>
      <w:color w:val="0000FF"/>
      <w:u w:val="none"/>
      <w:effect w:val="none"/>
    </w:rPr>
  </w:style>
  <w:style w:type="character" w:styleId="BalloonTextChar" w:customStyle="1">
    <w:name w:val="Balloon Text Char"/>
    <w:basedOn w:val="DefaultParagraphFont"/>
    <w:link w:val="BalloonText"/>
    <w:uiPriority w:val="99"/>
    <w:semiHidden/>
    <w:qFormat/>
    <w:locked/>
    <w:rsid w:val="00a13978"/>
    <w:rPr>
      <w:rFonts w:cs="Times New Roman"/>
      <w:sz w:val="2"/>
    </w:rPr>
  </w:style>
  <w:style w:type="character" w:styleId="Emphasis">
    <w:name w:val="Emphasis"/>
    <w:basedOn w:val="DefaultParagraphFont"/>
    <w:uiPriority w:val="20"/>
    <w:qFormat/>
    <w:locked/>
    <w:rsid w:val="00eb1d3a"/>
    <w:rPr>
      <w:i/>
      <w:iCs/>
    </w:rPr>
  </w:style>
  <w:style w:type="character" w:styleId="St" w:customStyle="1">
    <w:name w:val="st"/>
    <w:basedOn w:val="DefaultParagraphFont"/>
    <w:qFormat/>
    <w:rsid w:val="00ab4b94"/>
    <w:rPr/>
  </w:style>
  <w:style w:type="character" w:styleId="FooterChar" w:customStyle="1">
    <w:name w:val="Footer Char"/>
    <w:basedOn w:val="DefaultParagraphFont"/>
    <w:link w:val="Footer"/>
    <w:uiPriority w:val="99"/>
    <w:qFormat/>
    <w:rsid w:val="00ed567b"/>
    <w:rPr>
      <w:sz w:val="24"/>
      <w:szCs w:val="24"/>
    </w:rPr>
  </w:style>
  <w:style w:type="character" w:styleId="Char" w:customStyle="1">
    <w:name w:val="Υποσέλιδο Char"/>
    <w:basedOn w:val="DefaultParagraphFont"/>
    <w:uiPriority w:val="99"/>
    <w:qFormat/>
    <w:rsid w:val="00ed567b"/>
    <w:rPr>
      <w:sz w:val="24"/>
      <w:szCs w:val="24"/>
    </w:rPr>
  </w:style>
  <w:style w:type="character" w:styleId="Heading2Char" w:customStyle="1">
    <w:name w:val="Heading 2 Char"/>
    <w:basedOn w:val="DefaultParagraphFont"/>
    <w:link w:val="Heading2"/>
    <w:semiHidden/>
    <w:qFormat/>
    <w:rsid w:val="0021604b"/>
    <w:rPr>
      <w:rFonts w:ascii="Cambria" w:hAnsi="Cambria"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semiHidden/>
    <w:qFormat/>
    <w:rsid w:val="0021604b"/>
    <w:rPr>
      <w:rFonts w:ascii="Cambria" w:hAnsi="Cambria" w:eastAsia="" w:cs="" w:asciiTheme="majorHAnsi" w:cstheme="majorBidi" w:eastAsiaTheme="majorEastAsia" w:hAnsiTheme="majorHAnsi"/>
      <w:b/>
      <w:bCs/>
      <w:color w:val="4F81BD" w:themeColor="accent1"/>
      <w:sz w:val="24"/>
      <w:szCs w:val="24"/>
    </w:rPr>
  </w:style>
  <w:style w:type="character" w:styleId="Strong">
    <w:name w:val="Strong"/>
    <w:basedOn w:val="DefaultParagraphFont"/>
    <w:uiPriority w:val="99"/>
    <w:qFormat/>
    <w:locked/>
    <w:rsid w:val="0021604b"/>
    <w:rPr>
      <w:b/>
      <w:bCs/>
    </w:rPr>
  </w:style>
  <w:style w:type="character" w:styleId="Muted" w:customStyle="1">
    <w:name w:val="muted"/>
    <w:basedOn w:val="DefaultParagraphFont"/>
    <w:qFormat/>
    <w:rsid w:val="0021604b"/>
    <w:rPr/>
  </w:style>
  <w:style w:type="character" w:styleId="HTMLChar" w:customStyle="1">
    <w:name w:val="Προ-διαμορφωμένο HTML Char"/>
    <w:basedOn w:val="DefaultParagraphFont"/>
    <w:uiPriority w:val="99"/>
    <w:semiHidden/>
    <w:qFormat/>
    <w:rsid w:val="001a2fa4"/>
    <w:rPr>
      <w:rFonts w:ascii="Courier New" w:hAnsi="Courier New" w:cs="Courier New"/>
      <w:sz w:val="20"/>
      <w:szCs w:val="20"/>
      <w:lang w:val="en-GB" w:eastAsia="en-GB"/>
    </w:rPr>
  </w:style>
  <w:style w:type="character" w:styleId="StrongEmphasis" w:customStyle="1">
    <w:name w:val="Strong Emphasis"/>
    <w:qFormat/>
    <w:rsid w:val="00b1732b"/>
    <w:rPr>
      <w:b/>
      <w:bCs/>
    </w:rPr>
  </w:style>
  <w:style w:type="character" w:styleId="NumberingSymbols" w:customStyle="1">
    <w:name w:val="Numbering Symbols"/>
    <w:qFormat/>
    <w:rsid w:val="00b1732b"/>
    <w:rPr/>
  </w:style>
  <w:style w:type="paragraph" w:styleId="Heading" w:customStyle="1">
    <w:name w:val="Heading"/>
    <w:basedOn w:val="Normal"/>
    <w:next w:val="TextBody"/>
    <w:qFormat/>
    <w:rsid w:val="00bc2764"/>
    <w:pPr>
      <w:keepNext w:val="true"/>
      <w:spacing w:before="240" w:after="120"/>
    </w:pPr>
    <w:rPr>
      <w:rFonts w:ascii="Liberation Sans" w:hAnsi="Liberation Sans" w:eastAsia="Noto Sans CJK SC" w:cs="Lohit Devanagari"/>
      <w:sz w:val="28"/>
      <w:szCs w:val="28"/>
    </w:rPr>
  </w:style>
  <w:style w:type="paragraph" w:styleId="TextBody">
    <w:name w:val="Body Text"/>
    <w:basedOn w:val="Normal"/>
    <w:rsid w:val="00bc2764"/>
    <w:pPr>
      <w:spacing w:lineRule="auto" w:line="276" w:before="0" w:after="140"/>
    </w:pPr>
    <w:rPr/>
  </w:style>
  <w:style w:type="paragraph" w:styleId="List">
    <w:name w:val="List"/>
    <w:basedOn w:val="TextBody"/>
    <w:rsid w:val="00bc2764"/>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rsid w:val="00bc2764"/>
    <w:pPr>
      <w:suppressLineNumbers/>
    </w:pPr>
    <w:rPr>
      <w:rFonts w:cs="Lohit Devanagari"/>
    </w:rPr>
  </w:style>
  <w:style w:type="paragraph" w:styleId="Caption1">
    <w:name w:val="caption"/>
    <w:basedOn w:val="Normal"/>
    <w:qFormat/>
    <w:rsid w:val="00bc2764"/>
    <w:pPr>
      <w:suppressLineNumbers/>
      <w:spacing w:before="120" w:after="120"/>
    </w:pPr>
    <w:rPr>
      <w:rFonts w:cs="Lohit Devanagari"/>
      <w:i/>
      <w:iCs/>
    </w:rPr>
  </w:style>
  <w:style w:type="paragraph" w:styleId="BalloonText">
    <w:name w:val="Balloon Text"/>
    <w:basedOn w:val="Normal"/>
    <w:link w:val="BalloonTextChar"/>
    <w:uiPriority w:val="99"/>
    <w:semiHidden/>
    <w:qFormat/>
    <w:rsid w:val="00984e92"/>
    <w:pPr/>
    <w:rPr>
      <w:rFonts w:ascii="Tahoma" w:hAnsi="Tahoma" w:cs="Tahoma"/>
      <w:sz w:val="16"/>
      <w:szCs w:val="16"/>
    </w:rPr>
  </w:style>
  <w:style w:type="paragraph" w:styleId="NormalWeb">
    <w:name w:val="Normal (Web)"/>
    <w:basedOn w:val="Normal"/>
    <w:uiPriority w:val="99"/>
    <w:semiHidden/>
    <w:unhideWhenUsed/>
    <w:qFormat/>
    <w:rsid w:val="000447aa"/>
    <w:pPr>
      <w:spacing w:beforeAutospacing="1" w:afterAutospacing="1"/>
    </w:pPr>
    <w:rPr/>
  </w:style>
  <w:style w:type="paragraph" w:styleId="HeaderandFooter" w:customStyle="1">
    <w:name w:val="Header and Footer"/>
    <w:basedOn w:val="Normal"/>
    <w:qFormat/>
    <w:rsid w:val="00bc2764"/>
    <w:pPr/>
    <w:rPr/>
  </w:style>
  <w:style w:type="paragraph" w:styleId="Header">
    <w:name w:val="Header"/>
    <w:basedOn w:val="Normal"/>
    <w:uiPriority w:val="99"/>
    <w:unhideWhenUsed/>
    <w:rsid w:val="00ed567b"/>
    <w:pPr>
      <w:tabs>
        <w:tab w:val="clear" w:pos="720"/>
        <w:tab w:val="center" w:pos="4153" w:leader="none"/>
        <w:tab w:val="right" w:pos="8306" w:leader="none"/>
      </w:tabs>
    </w:pPr>
    <w:rPr/>
  </w:style>
  <w:style w:type="paragraph" w:styleId="Footer">
    <w:name w:val="Footer"/>
    <w:basedOn w:val="Normal"/>
    <w:link w:val="FooterChar"/>
    <w:uiPriority w:val="99"/>
    <w:unhideWhenUsed/>
    <w:rsid w:val="00ed567b"/>
    <w:pPr>
      <w:tabs>
        <w:tab w:val="clear" w:pos="720"/>
        <w:tab w:val="center" w:pos="4153" w:leader="none"/>
        <w:tab w:val="right" w:pos="8306" w:leader="none"/>
      </w:tabs>
    </w:pPr>
    <w:rPr/>
  </w:style>
  <w:style w:type="paragraph" w:styleId="ListParagraph">
    <w:name w:val="List Paragraph"/>
    <w:basedOn w:val="Normal"/>
    <w:uiPriority w:val="34"/>
    <w:qFormat/>
    <w:rsid w:val="003041e4"/>
    <w:pPr>
      <w:spacing w:before="0" w:after="0"/>
      <w:ind w:left="720" w:hanging="0"/>
      <w:contextualSpacing/>
    </w:pPr>
    <w:rPr/>
  </w:style>
  <w:style w:type="paragraph" w:styleId="HTMLPreformatted">
    <w:name w:val="HTML Preformatted"/>
    <w:basedOn w:val="Normal"/>
    <w:uiPriority w:val="99"/>
    <w:semiHidden/>
    <w:unhideWhenUsed/>
    <w:qFormat/>
    <w:rsid w:val="001a2fa4"/>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en-GB" w:eastAsia="en-GB"/>
    </w:rPr>
  </w:style>
  <w:style w:type="paragraph" w:styleId="TableContents" w:customStyle="1">
    <w:name w:val="Table Contents"/>
    <w:basedOn w:val="Normal"/>
    <w:qFormat/>
    <w:rsid w:val="00b1732b"/>
    <w:pPr>
      <w:suppressLineNumbers/>
    </w:pPr>
    <w:rPr/>
  </w:style>
  <w:style w:type="paragraph" w:styleId="TableHeading" w:customStyle="1">
    <w:name w:val="Table Heading"/>
    <w:basedOn w:val="TableContents"/>
    <w:qFormat/>
    <w:rsid w:val="00b1732b"/>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aa053e"/>
    <w:rPr>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fi-compass.eu/sites/default/files/publications/financial_needs_agriculture_agrifood_sectors_Romania.pdf" TargetMode="External"/><Relationship Id="rId4" Type="http://schemas.openxmlformats.org/officeDocument/2006/relationships/hyperlink" Target="http://www.rosilva.ro/" TargetMode="External"/><Relationship Id="rId5" Type="http://schemas.openxmlformats.org/officeDocument/2006/relationships/hyperlink" Target="https://promatagro.ro/" TargetMode="External"/><Relationship Id="rId6" Type="http://schemas.openxmlformats.org/officeDocument/2006/relationships/hyperlink" Target="https://www.plantagro.ro/" TargetMode="External"/><Relationship Id="rId7" Type="http://schemas.openxmlformats.org/officeDocument/2006/relationships/hyperlink" Target="https://agricover.ro/"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ecocom-bucharest@mfa.gr" TargetMode="External"/><Relationship Id="rId2" Type="http://schemas.openxmlformats.org/officeDocument/2006/relationships/hyperlink" Target="http://www.agora.mfa.gr/romani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F43EF-51AE-4CFD-85A7-7CED2F59D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Application>LibreOffice/6.4.7.2$Linux_X86_64 LibreOffice_project/40$Build-2</Application>
  <Pages>6</Pages>
  <Words>2510</Words>
  <Characters>15508</Characters>
  <CharactersWithSpaces>17974</CharactersWithSpaces>
  <Paragraphs>81</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2021-11-04T13:00:00Z</dcterms:created>
  <dc:creator>dimitra.schina</dc:creator>
  <dc:description/>
  <dc:language>en-US</dc:language>
  <cp:lastModifiedBy/>
  <cp:lastPrinted>2022-11-08T14:53:57Z</cp:lastPrinted>
  <dcterms:modified xsi:type="dcterms:W3CDTF">2022-11-08T15:16:28Z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