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C91F0" w14:textId="22878C7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5256B41" w14:textId="47908045"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D95A0E0" w14:textId="404961A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33366D" w14:textId="79BBE4B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8430B24" w14:textId="7F0F2DE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600DB9" w14:textId="73FB24C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BEFDCD" w14:textId="2E1B5FB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6B34AD53" w14:textId="5EEA36E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49D99E" w14:textId="5E2E7317"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7021A63" w14:textId="66BB2A6B"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5573EA3" w14:textId="6F0ABF0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A4FDBF2" w14:textId="34B58963"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36476D4" w14:textId="302F7104"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70F83AA" w14:textId="193AE91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BE92AF1" w14:textId="77777777" w:rsidR="004E663D" w:rsidRPr="002335C1" w:rsidRDefault="004E663D" w:rsidP="001F48C8">
      <w:pPr>
        <w:spacing w:after="0" w:line="288" w:lineRule="auto"/>
        <w:ind w:right="43"/>
        <w:jc w:val="center"/>
        <w:rPr>
          <w:rFonts w:ascii="Times New Roman" w:hAnsi="Times New Roman" w:cs="Times New Roman"/>
          <w:b/>
          <w:sz w:val="44"/>
          <w:szCs w:val="44"/>
        </w:rPr>
      </w:pPr>
      <w:r w:rsidRPr="002335C1">
        <w:rPr>
          <w:rFonts w:ascii="Times New Roman" w:hAnsi="Times New Roman" w:cs="Times New Roman"/>
          <w:b/>
          <w:sz w:val="44"/>
          <w:szCs w:val="44"/>
        </w:rPr>
        <w:t xml:space="preserve">Μηνιαίο Ενημερωτικό Τεύχος </w:t>
      </w:r>
    </w:p>
    <w:p w14:paraId="49A4D73F" w14:textId="77777777" w:rsidR="004E663D" w:rsidRPr="002335C1" w:rsidRDefault="004E663D" w:rsidP="001F48C8">
      <w:pPr>
        <w:spacing w:after="0" w:line="288" w:lineRule="auto"/>
        <w:ind w:right="43"/>
        <w:jc w:val="center"/>
        <w:rPr>
          <w:rFonts w:ascii="Times New Roman" w:hAnsi="Times New Roman" w:cs="Times New Roman"/>
          <w:b/>
          <w:sz w:val="44"/>
          <w:szCs w:val="44"/>
        </w:rPr>
      </w:pPr>
      <w:r w:rsidRPr="002335C1">
        <w:rPr>
          <w:rFonts w:ascii="Times New Roman" w:hAnsi="Times New Roman" w:cs="Times New Roman"/>
          <w:b/>
          <w:sz w:val="44"/>
          <w:szCs w:val="44"/>
        </w:rPr>
        <w:t>Κεντρικής Ένωσης Επιμελητηρίων Ελλάδος</w:t>
      </w:r>
    </w:p>
    <w:p w14:paraId="303CF88B" w14:textId="77777777" w:rsidR="004E663D" w:rsidRPr="002335C1" w:rsidRDefault="004E663D" w:rsidP="001F48C8">
      <w:pPr>
        <w:pBdr>
          <w:bottom w:val="single" w:sz="6" w:space="1" w:color="auto"/>
        </w:pBdr>
        <w:spacing w:after="0" w:line="288" w:lineRule="auto"/>
        <w:ind w:right="43"/>
        <w:jc w:val="center"/>
        <w:rPr>
          <w:rFonts w:ascii="Times New Roman" w:hAnsi="Times New Roman" w:cs="Times New Roman"/>
          <w:b/>
          <w:sz w:val="24"/>
          <w:szCs w:val="24"/>
        </w:rPr>
      </w:pPr>
    </w:p>
    <w:p w14:paraId="7E69EB4F" w14:textId="77777777" w:rsidR="004E663D" w:rsidRPr="002335C1" w:rsidRDefault="004E663D" w:rsidP="001F48C8">
      <w:pPr>
        <w:spacing w:after="0" w:line="288" w:lineRule="auto"/>
        <w:ind w:right="43"/>
        <w:jc w:val="center"/>
        <w:rPr>
          <w:rFonts w:ascii="Times New Roman" w:hAnsi="Times New Roman" w:cs="Times New Roman"/>
          <w:b/>
          <w:sz w:val="24"/>
          <w:szCs w:val="24"/>
        </w:rPr>
      </w:pPr>
    </w:p>
    <w:p w14:paraId="4580E821" w14:textId="08AD0F8C" w:rsidR="004E663D" w:rsidRPr="002335C1" w:rsidRDefault="00B36CA5" w:rsidP="001F48C8">
      <w:pPr>
        <w:spacing w:after="0" w:line="288" w:lineRule="auto"/>
        <w:ind w:right="43"/>
        <w:jc w:val="center"/>
        <w:rPr>
          <w:rFonts w:ascii="Times New Roman" w:hAnsi="Times New Roman" w:cs="Times New Roman"/>
          <w:b/>
          <w:color w:val="000000"/>
          <w:sz w:val="32"/>
          <w:szCs w:val="32"/>
        </w:rPr>
      </w:pPr>
      <w:r w:rsidRPr="002335C1">
        <w:rPr>
          <w:rFonts w:ascii="Times New Roman" w:hAnsi="Times New Roman" w:cs="Times New Roman"/>
          <w:b/>
          <w:sz w:val="32"/>
          <w:szCs w:val="32"/>
        </w:rPr>
        <w:t>Νοέμβριος</w:t>
      </w:r>
      <w:r w:rsidR="00A12F0B" w:rsidRPr="002335C1">
        <w:rPr>
          <w:rFonts w:ascii="Times New Roman" w:hAnsi="Times New Roman" w:cs="Times New Roman"/>
          <w:b/>
          <w:sz w:val="32"/>
          <w:szCs w:val="32"/>
        </w:rPr>
        <w:t xml:space="preserve"> </w:t>
      </w:r>
      <w:r w:rsidR="004E663D" w:rsidRPr="002335C1">
        <w:rPr>
          <w:rFonts w:ascii="Times New Roman" w:hAnsi="Times New Roman" w:cs="Times New Roman"/>
          <w:b/>
          <w:sz w:val="32"/>
          <w:szCs w:val="32"/>
        </w:rPr>
        <w:t>202</w:t>
      </w:r>
      <w:r w:rsidR="007E35F2" w:rsidRPr="002335C1">
        <w:rPr>
          <w:rFonts w:ascii="Times New Roman" w:hAnsi="Times New Roman" w:cs="Times New Roman"/>
          <w:b/>
          <w:sz w:val="32"/>
          <w:szCs w:val="32"/>
        </w:rPr>
        <w:t>3</w:t>
      </w:r>
    </w:p>
    <w:p w14:paraId="040D43D8" w14:textId="0BF06E31" w:rsidR="00667BF1" w:rsidRPr="002335C1" w:rsidRDefault="00667BF1" w:rsidP="001F48C8">
      <w:pPr>
        <w:spacing w:after="0" w:line="288" w:lineRule="auto"/>
        <w:ind w:left="284" w:right="43"/>
        <w:jc w:val="center"/>
        <w:rPr>
          <w:rFonts w:ascii="Times New Roman" w:hAnsi="Times New Roman" w:cs="Times New Roman"/>
          <w:b/>
          <w:i/>
          <w:iCs/>
          <w:sz w:val="24"/>
          <w:szCs w:val="24"/>
          <w:u w:val="single"/>
        </w:rPr>
      </w:pPr>
    </w:p>
    <w:p w14:paraId="21C01489" w14:textId="60E0913A"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22304686" w14:textId="310E3E19"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0A712080" w14:textId="30F872B1"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4654BFE0" w14:textId="3C51CA78"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28D12C1F" w14:textId="7B966285"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534E9089" w14:textId="080BBA4E"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44F6F058" w14:textId="506F27AD"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5351EB2B" w14:textId="08B7A9DD"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08FC4394" w14:textId="50B93265"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6BCF3E48" w14:textId="08953816"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5F955512" w14:textId="7EED6C67"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75649597" w14:textId="2ECBAA88"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5659F3CE" w14:textId="53EAFBDA"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78CCC81D" w14:textId="6325EC48"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499CF6F9" w14:textId="25BB8500"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25EA22F9" w14:textId="42EB1197" w:rsidR="004A6724" w:rsidRPr="002335C1" w:rsidRDefault="004A6724" w:rsidP="001F48C8">
      <w:pPr>
        <w:spacing w:line="288" w:lineRule="auto"/>
        <w:rPr>
          <w:rFonts w:ascii="Times New Roman" w:hAnsi="Times New Roman" w:cs="Times New Roman"/>
          <w:bCs/>
          <w:sz w:val="24"/>
          <w:szCs w:val="24"/>
        </w:rPr>
      </w:pPr>
      <w:r w:rsidRPr="002335C1">
        <w:rPr>
          <w:rFonts w:ascii="Times New Roman" w:hAnsi="Times New Roman" w:cs="Times New Roman"/>
          <w:bCs/>
          <w:sz w:val="24"/>
          <w:szCs w:val="24"/>
        </w:rPr>
        <w:br w:type="page"/>
      </w:r>
    </w:p>
    <w:sdt>
      <w:sdtPr>
        <w:rPr>
          <w:rFonts w:ascii="Times New Roman" w:eastAsia="Arial" w:hAnsi="Times New Roman" w:cs="Times New Roman"/>
          <w:b/>
          <w:bCs/>
          <w:noProof/>
          <w:color w:val="auto"/>
          <w:sz w:val="28"/>
          <w:szCs w:val="28"/>
          <w:lang w:eastAsia="en-US"/>
        </w:rPr>
        <w:id w:val="1559516850"/>
        <w:docPartObj>
          <w:docPartGallery w:val="Table of Contents"/>
          <w:docPartUnique/>
        </w:docPartObj>
      </w:sdtPr>
      <w:sdtEndPr>
        <w:rPr>
          <w:b w:val="0"/>
          <w:sz w:val="24"/>
          <w:szCs w:val="24"/>
        </w:rPr>
      </w:sdtEndPr>
      <w:sdtContent>
        <w:p w14:paraId="4278ED2B" w14:textId="5B6BCE92" w:rsidR="008D455D" w:rsidRPr="002335C1" w:rsidRDefault="008D455D" w:rsidP="002335C1">
          <w:pPr>
            <w:pStyle w:val="afd"/>
            <w:spacing w:before="0" w:line="288" w:lineRule="auto"/>
            <w:jc w:val="center"/>
            <w:rPr>
              <w:rFonts w:ascii="Times New Roman" w:hAnsi="Times New Roman" w:cs="Times New Roman"/>
              <w:b/>
              <w:bCs/>
              <w:color w:val="auto"/>
              <w:sz w:val="24"/>
              <w:szCs w:val="24"/>
            </w:rPr>
          </w:pPr>
          <w:r w:rsidRPr="002335C1">
            <w:rPr>
              <w:rFonts w:ascii="Times New Roman" w:hAnsi="Times New Roman" w:cs="Times New Roman"/>
              <w:b/>
              <w:bCs/>
              <w:color w:val="auto"/>
              <w:sz w:val="24"/>
              <w:szCs w:val="24"/>
            </w:rPr>
            <w:t>Π</w:t>
          </w:r>
          <w:r w:rsidR="002335C1" w:rsidRPr="002335C1">
            <w:rPr>
              <w:rFonts w:ascii="Times New Roman" w:hAnsi="Times New Roman" w:cs="Times New Roman"/>
              <w:b/>
              <w:bCs/>
              <w:color w:val="auto"/>
              <w:sz w:val="24"/>
              <w:szCs w:val="24"/>
            </w:rPr>
            <w:t>ΙΝΑΚΑΣ ΠΕΡΙΕΧΟΜΈΝΩΝ</w:t>
          </w:r>
        </w:p>
        <w:p w14:paraId="324A9512" w14:textId="77777777" w:rsidR="002335C1" w:rsidRPr="002335C1" w:rsidRDefault="002335C1" w:rsidP="002335C1">
          <w:pPr>
            <w:rPr>
              <w:lang w:eastAsia="el-GR"/>
            </w:rPr>
          </w:pPr>
        </w:p>
        <w:p w14:paraId="6DEC50E6" w14:textId="368CFA95" w:rsidR="00784567" w:rsidRPr="00F92F2C" w:rsidRDefault="008D455D">
          <w:pPr>
            <w:pStyle w:val="16"/>
            <w:rPr>
              <w:rFonts w:asciiTheme="minorHAnsi" w:eastAsiaTheme="minorEastAsia" w:hAnsiTheme="minorHAnsi" w:cstheme="minorBidi"/>
              <w:b/>
              <w:bCs/>
              <w:kern w:val="2"/>
              <w:sz w:val="22"/>
              <w:szCs w:val="22"/>
              <w:lang w:eastAsia="el-GR"/>
              <w14:ligatures w14:val="standardContextual"/>
            </w:rPr>
          </w:pPr>
          <w:r w:rsidRPr="002335C1">
            <w:fldChar w:fldCharType="begin"/>
          </w:r>
          <w:r w:rsidRPr="002335C1">
            <w:instrText xml:space="preserve"> TOC \o "1-3" \h \z \u </w:instrText>
          </w:r>
          <w:r w:rsidRPr="002335C1">
            <w:fldChar w:fldCharType="separate"/>
          </w:r>
          <w:hyperlink w:anchor="_Toc153461774" w:history="1">
            <w:r w:rsidR="00784567" w:rsidRPr="00F92F2C">
              <w:rPr>
                <w:rStyle w:val="-"/>
                <w:b/>
                <w:bCs/>
              </w:rPr>
              <w:t>1.</w:t>
            </w:r>
            <w:r w:rsidR="00784567" w:rsidRPr="00F92F2C">
              <w:rPr>
                <w:rFonts w:asciiTheme="minorHAnsi" w:eastAsiaTheme="minorEastAsia" w:hAnsiTheme="minorHAnsi" w:cstheme="minorBidi"/>
                <w:b/>
                <w:bCs/>
                <w:kern w:val="2"/>
                <w:sz w:val="22"/>
                <w:szCs w:val="22"/>
                <w:lang w:eastAsia="el-GR"/>
                <w14:ligatures w14:val="standardContextual"/>
              </w:rPr>
              <w:tab/>
            </w:r>
            <w:r w:rsidR="00784567" w:rsidRPr="00F92F2C">
              <w:rPr>
                <w:rStyle w:val="-"/>
                <w:b/>
                <w:bCs/>
              </w:rPr>
              <w:t>ΘΕΜΑΤΑ ΑΝΑΠΤΥΞΙΑΚΩΝ – ΧΡΗΜΑΤΟΔΟΤΙΚΩΝ ΠΡΟΓΡΑΜΜΑΤΩΝ</w:t>
            </w:r>
            <w:r w:rsidR="00784567" w:rsidRPr="00F92F2C">
              <w:rPr>
                <w:b/>
                <w:bCs/>
                <w:webHidden/>
              </w:rPr>
              <w:tab/>
            </w:r>
            <w:r w:rsidR="00784567" w:rsidRPr="00F92F2C">
              <w:rPr>
                <w:b/>
                <w:bCs/>
                <w:webHidden/>
              </w:rPr>
              <w:fldChar w:fldCharType="begin"/>
            </w:r>
            <w:r w:rsidR="00784567" w:rsidRPr="00F92F2C">
              <w:rPr>
                <w:b/>
                <w:bCs/>
                <w:webHidden/>
              </w:rPr>
              <w:instrText xml:space="preserve"> PAGEREF _Toc153461774 \h </w:instrText>
            </w:r>
            <w:r w:rsidR="00784567" w:rsidRPr="00F92F2C">
              <w:rPr>
                <w:b/>
                <w:bCs/>
                <w:webHidden/>
              </w:rPr>
            </w:r>
            <w:r w:rsidR="00784567" w:rsidRPr="00F92F2C">
              <w:rPr>
                <w:b/>
                <w:bCs/>
                <w:webHidden/>
              </w:rPr>
              <w:fldChar w:fldCharType="separate"/>
            </w:r>
            <w:r w:rsidR="00784567" w:rsidRPr="00F92F2C">
              <w:rPr>
                <w:b/>
                <w:bCs/>
                <w:webHidden/>
              </w:rPr>
              <w:t>3</w:t>
            </w:r>
            <w:r w:rsidR="00784567" w:rsidRPr="00F92F2C">
              <w:rPr>
                <w:b/>
                <w:bCs/>
                <w:webHidden/>
              </w:rPr>
              <w:fldChar w:fldCharType="end"/>
            </w:r>
          </w:hyperlink>
        </w:p>
        <w:p w14:paraId="1DE88417" w14:textId="11494F78" w:rsidR="00784567" w:rsidRPr="00F92F2C" w:rsidRDefault="00000000">
          <w:pPr>
            <w:pStyle w:val="26"/>
            <w:rPr>
              <w:rFonts w:asciiTheme="minorHAnsi" w:eastAsiaTheme="minorEastAsia" w:hAnsiTheme="minorHAnsi" w:cstheme="minorBidi"/>
              <w:b/>
              <w:kern w:val="2"/>
              <w:sz w:val="22"/>
              <w:szCs w:val="22"/>
              <w:lang w:eastAsia="el-GR"/>
              <w14:ligatures w14:val="standardContextual"/>
            </w:rPr>
          </w:pPr>
          <w:hyperlink w:anchor="_Toc153461775" w:history="1">
            <w:r w:rsidR="00784567" w:rsidRPr="00F92F2C">
              <w:rPr>
                <w:rStyle w:val="-"/>
                <w:b/>
              </w:rPr>
              <w:t>Α. Προδημοσίευση Δράσης: «Ενίσχυση της ίδρυσης και Λειτουργίας νέων Μικρομεσαίων Επιχειρήσεων»</w:t>
            </w:r>
            <w:r w:rsidR="00784567" w:rsidRPr="00F92F2C">
              <w:rPr>
                <w:b/>
                <w:webHidden/>
              </w:rPr>
              <w:tab/>
            </w:r>
            <w:r w:rsidR="00784567" w:rsidRPr="00F92F2C">
              <w:rPr>
                <w:b/>
                <w:webHidden/>
              </w:rPr>
              <w:fldChar w:fldCharType="begin"/>
            </w:r>
            <w:r w:rsidR="00784567" w:rsidRPr="00F92F2C">
              <w:rPr>
                <w:b/>
                <w:webHidden/>
              </w:rPr>
              <w:instrText xml:space="preserve"> PAGEREF _Toc153461775 \h </w:instrText>
            </w:r>
            <w:r w:rsidR="00784567" w:rsidRPr="00F92F2C">
              <w:rPr>
                <w:b/>
                <w:webHidden/>
              </w:rPr>
            </w:r>
            <w:r w:rsidR="00784567" w:rsidRPr="00F92F2C">
              <w:rPr>
                <w:b/>
                <w:webHidden/>
              </w:rPr>
              <w:fldChar w:fldCharType="separate"/>
            </w:r>
            <w:r w:rsidR="00784567" w:rsidRPr="00F92F2C">
              <w:rPr>
                <w:b/>
                <w:webHidden/>
              </w:rPr>
              <w:t>3</w:t>
            </w:r>
            <w:r w:rsidR="00784567" w:rsidRPr="00F92F2C">
              <w:rPr>
                <w:b/>
                <w:webHidden/>
              </w:rPr>
              <w:fldChar w:fldCharType="end"/>
            </w:r>
          </w:hyperlink>
        </w:p>
        <w:p w14:paraId="7C2015A2" w14:textId="06F1F65A" w:rsidR="00784567" w:rsidRPr="00F92F2C" w:rsidRDefault="00000000">
          <w:pPr>
            <w:pStyle w:val="26"/>
            <w:rPr>
              <w:rFonts w:asciiTheme="minorHAnsi" w:eastAsiaTheme="minorEastAsia" w:hAnsiTheme="minorHAnsi" w:cstheme="minorBidi"/>
              <w:b/>
              <w:kern w:val="2"/>
              <w:sz w:val="22"/>
              <w:szCs w:val="22"/>
              <w:lang w:eastAsia="el-GR"/>
              <w14:ligatures w14:val="standardContextual"/>
            </w:rPr>
          </w:pPr>
          <w:hyperlink w:anchor="_Toc153461776" w:history="1">
            <w:r w:rsidR="00784567" w:rsidRPr="00F92F2C">
              <w:rPr>
                <w:rStyle w:val="-"/>
                <w:b/>
              </w:rPr>
              <w:t>Β. Προδημοσίευση Δράσης: «Ενίσχυση της Ίδρυσης και Λειτουργίας Νέων Μικρομεσαίων Τουριστικών Επιχειρήσεων»</w:t>
            </w:r>
            <w:r w:rsidR="00784567" w:rsidRPr="00F92F2C">
              <w:rPr>
                <w:b/>
                <w:webHidden/>
              </w:rPr>
              <w:tab/>
            </w:r>
            <w:r w:rsidR="00784567" w:rsidRPr="00F92F2C">
              <w:rPr>
                <w:b/>
                <w:webHidden/>
              </w:rPr>
              <w:fldChar w:fldCharType="begin"/>
            </w:r>
            <w:r w:rsidR="00784567" w:rsidRPr="00F92F2C">
              <w:rPr>
                <w:b/>
                <w:webHidden/>
              </w:rPr>
              <w:instrText xml:space="preserve"> PAGEREF _Toc153461776 \h </w:instrText>
            </w:r>
            <w:r w:rsidR="00784567" w:rsidRPr="00F92F2C">
              <w:rPr>
                <w:b/>
                <w:webHidden/>
              </w:rPr>
            </w:r>
            <w:r w:rsidR="00784567" w:rsidRPr="00F92F2C">
              <w:rPr>
                <w:b/>
                <w:webHidden/>
              </w:rPr>
              <w:fldChar w:fldCharType="separate"/>
            </w:r>
            <w:r w:rsidR="00784567" w:rsidRPr="00F92F2C">
              <w:rPr>
                <w:b/>
                <w:webHidden/>
              </w:rPr>
              <w:t>7</w:t>
            </w:r>
            <w:r w:rsidR="00784567" w:rsidRPr="00F92F2C">
              <w:rPr>
                <w:b/>
                <w:webHidden/>
              </w:rPr>
              <w:fldChar w:fldCharType="end"/>
            </w:r>
          </w:hyperlink>
        </w:p>
        <w:p w14:paraId="75EAD94A" w14:textId="038AD104" w:rsidR="00784567" w:rsidRPr="00F92F2C" w:rsidRDefault="00000000">
          <w:pPr>
            <w:pStyle w:val="16"/>
            <w:rPr>
              <w:rFonts w:asciiTheme="minorHAnsi" w:eastAsiaTheme="minorEastAsia" w:hAnsiTheme="minorHAnsi" w:cstheme="minorBidi"/>
              <w:b/>
              <w:bCs/>
              <w:kern w:val="2"/>
              <w:sz w:val="22"/>
              <w:szCs w:val="22"/>
              <w:lang w:eastAsia="el-GR"/>
              <w14:ligatures w14:val="standardContextual"/>
            </w:rPr>
          </w:pPr>
          <w:hyperlink w:anchor="_Toc153461777" w:history="1">
            <w:r w:rsidR="00784567" w:rsidRPr="00F92F2C">
              <w:rPr>
                <w:rStyle w:val="-"/>
                <w:b/>
                <w:bCs/>
              </w:rPr>
              <w:t>2.</w:t>
            </w:r>
            <w:r w:rsidR="00784567" w:rsidRPr="00F92F2C">
              <w:rPr>
                <w:rFonts w:asciiTheme="minorHAnsi" w:eastAsiaTheme="minorEastAsia" w:hAnsiTheme="minorHAnsi" w:cstheme="minorBidi"/>
                <w:b/>
                <w:bCs/>
                <w:kern w:val="2"/>
                <w:sz w:val="22"/>
                <w:szCs w:val="22"/>
                <w:lang w:eastAsia="el-GR"/>
                <w14:ligatures w14:val="standardContextual"/>
              </w:rPr>
              <w:tab/>
            </w:r>
            <w:r w:rsidR="00784567" w:rsidRPr="00F92F2C">
              <w:rPr>
                <w:rStyle w:val="-"/>
                <w:b/>
                <w:bCs/>
              </w:rPr>
              <w:t>ΘΕΜΑΤΑ ΧΩΡΟΤΑΞΙΑΣ – ΠΟΛΕΟΔΟΜΙΚΑ ΘΕΜΑΤΑ</w:t>
            </w:r>
            <w:r w:rsidR="00784567" w:rsidRPr="00F92F2C">
              <w:rPr>
                <w:b/>
                <w:bCs/>
                <w:webHidden/>
              </w:rPr>
              <w:tab/>
            </w:r>
            <w:r w:rsidR="00784567" w:rsidRPr="00F92F2C">
              <w:rPr>
                <w:b/>
                <w:bCs/>
                <w:webHidden/>
              </w:rPr>
              <w:fldChar w:fldCharType="begin"/>
            </w:r>
            <w:r w:rsidR="00784567" w:rsidRPr="00F92F2C">
              <w:rPr>
                <w:b/>
                <w:bCs/>
                <w:webHidden/>
              </w:rPr>
              <w:instrText xml:space="preserve"> PAGEREF _Toc153461777 \h </w:instrText>
            </w:r>
            <w:r w:rsidR="00784567" w:rsidRPr="00F92F2C">
              <w:rPr>
                <w:b/>
                <w:bCs/>
                <w:webHidden/>
              </w:rPr>
            </w:r>
            <w:r w:rsidR="00784567" w:rsidRPr="00F92F2C">
              <w:rPr>
                <w:b/>
                <w:bCs/>
                <w:webHidden/>
              </w:rPr>
              <w:fldChar w:fldCharType="separate"/>
            </w:r>
            <w:r w:rsidR="00784567" w:rsidRPr="00F92F2C">
              <w:rPr>
                <w:b/>
                <w:bCs/>
                <w:webHidden/>
              </w:rPr>
              <w:t>12</w:t>
            </w:r>
            <w:r w:rsidR="00784567" w:rsidRPr="00F92F2C">
              <w:rPr>
                <w:b/>
                <w:bCs/>
                <w:webHidden/>
              </w:rPr>
              <w:fldChar w:fldCharType="end"/>
            </w:r>
          </w:hyperlink>
        </w:p>
        <w:p w14:paraId="4D9EEC62" w14:textId="215299B3" w:rsidR="00784567" w:rsidRPr="00F92F2C" w:rsidRDefault="00000000">
          <w:pPr>
            <w:pStyle w:val="26"/>
            <w:rPr>
              <w:rFonts w:asciiTheme="minorHAnsi" w:eastAsiaTheme="minorEastAsia" w:hAnsiTheme="minorHAnsi" w:cstheme="minorBidi"/>
              <w:b/>
              <w:kern w:val="2"/>
              <w:sz w:val="22"/>
              <w:szCs w:val="22"/>
              <w:lang w:eastAsia="el-GR"/>
              <w14:ligatures w14:val="standardContextual"/>
            </w:rPr>
          </w:pPr>
          <w:hyperlink w:anchor="_Toc153461778" w:history="1">
            <w:r w:rsidR="00784567" w:rsidRPr="00F92F2C">
              <w:rPr>
                <w:rStyle w:val="-"/>
                <w:b/>
              </w:rPr>
              <w:t>Α. Νόμος 5069/2023 «Όροι δόμησης, κατασκευής, επιτρεπόμενες χρήσεις γης για κέντρα δεδομένων, χωροταξικές και πολεοδομικές ρυθμίσεις, αξιοποίηση πόρων Πράσινου Ταμείου, λοιπές περιβαλλοντικές  και ενεργειακές διατάξεις και άλλες επείγουσες ρυθμίσεις»</w:t>
            </w:r>
            <w:r w:rsidR="00784567" w:rsidRPr="00F92F2C">
              <w:rPr>
                <w:b/>
                <w:webHidden/>
              </w:rPr>
              <w:tab/>
            </w:r>
            <w:r w:rsidR="00784567" w:rsidRPr="00F92F2C">
              <w:rPr>
                <w:b/>
                <w:webHidden/>
              </w:rPr>
              <w:fldChar w:fldCharType="begin"/>
            </w:r>
            <w:r w:rsidR="00784567" w:rsidRPr="00F92F2C">
              <w:rPr>
                <w:b/>
                <w:webHidden/>
              </w:rPr>
              <w:instrText xml:space="preserve"> PAGEREF _Toc153461778 \h </w:instrText>
            </w:r>
            <w:r w:rsidR="00784567" w:rsidRPr="00F92F2C">
              <w:rPr>
                <w:b/>
                <w:webHidden/>
              </w:rPr>
            </w:r>
            <w:r w:rsidR="00784567" w:rsidRPr="00F92F2C">
              <w:rPr>
                <w:b/>
                <w:webHidden/>
              </w:rPr>
              <w:fldChar w:fldCharType="separate"/>
            </w:r>
            <w:r w:rsidR="00784567" w:rsidRPr="00F92F2C">
              <w:rPr>
                <w:b/>
                <w:webHidden/>
              </w:rPr>
              <w:t>12</w:t>
            </w:r>
            <w:r w:rsidR="00784567" w:rsidRPr="00F92F2C">
              <w:rPr>
                <w:b/>
                <w:webHidden/>
              </w:rPr>
              <w:fldChar w:fldCharType="end"/>
            </w:r>
          </w:hyperlink>
        </w:p>
        <w:p w14:paraId="64DF5938" w14:textId="7E310AE9" w:rsidR="00784567" w:rsidRPr="00F92F2C" w:rsidRDefault="00000000">
          <w:pPr>
            <w:pStyle w:val="26"/>
            <w:rPr>
              <w:rFonts w:asciiTheme="minorHAnsi" w:eastAsiaTheme="minorEastAsia" w:hAnsiTheme="minorHAnsi" w:cstheme="minorBidi"/>
              <w:b/>
              <w:kern w:val="2"/>
              <w:sz w:val="22"/>
              <w:szCs w:val="22"/>
              <w:lang w:eastAsia="el-GR"/>
              <w14:ligatures w14:val="standardContextual"/>
            </w:rPr>
          </w:pPr>
          <w:hyperlink w:anchor="_Toc153461779" w:history="1">
            <w:r w:rsidR="00784567" w:rsidRPr="00F92F2C">
              <w:rPr>
                <w:rStyle w:val="-"/>
                <w:b/>
              </w:rPr>
              <w:t>Β. «Διαβατήριο Ανακαίνισης Κτιρίου»</w:t>
            </w:r>
            <w:r w:rsidR="00784567" w:rsidRPr="00F92F2C">
              <w:rPr>
                <w:b/>
                <w:webHidden/>
              </w:rPr>
              <w:tab/>
            </w:r>
            <w:r w:rsidR="00784567" w:rsidRPr="00F92F2C">
              <w:rPr>
                <w:b/>
                <w:webHidden/>
              </w:rPr>
              <w:fldChar w:fldCharType="begin"/>
            </w:r>
            <w:r w:rsidR="00784567" w:rsidRPr="00F92F2C">
              <w:rPr>
                <w:b/>
                <w:webHidden/>
              </w:rPr>
              <w:instrText xml:space="preserve"> PAGEREF _Toc153461779 \h </w:instrText>
            </w:r>
            <w:r w:rsidR="00784567" w:rsidRPr="00F92F2C">
              <w:rPr>
                <w:b/>
                <w:webHidden/>
              </w:rPr>
            </w:r>
            <w:r w:rsidR="00784567" w:rsidRPr="00F92F2C">
              <w:rPr>
                <w:b/>
                <w:webHidden/>
              </w:rPr>
              <w:fldChar w:fldCharType="separate"/>
            </w:r>
            <w:r w:rsidR="00784567" w:rsidRPr="00F92F2C">
              <w:rPr>
                <w:b/>
                <w:webHidden/>
              </w:rPr>
              <w:t>14</w:t>
            </w:r>
            <w:r w:rsidR="00784567" w:rsidRPr="00F92F2C">
              <w:rPr>
                <w:b/>
                <w:webHidden/>
              </w:rPr>
              <w:fldChar w:fldCharType="end"/>
            </w:r>
          </w:hyperlink>
        </w:p>
        <w:p w14:paraId="676EAF94" w14:textId="37FA6E64" w:rsidR="00784567" w:rsidRPr="00F92F2C" w:rsidRDefault="00000000">
          <w:pPr>
            <w:pStyle w:val="16"/>
            <w:rPr>
              <w:rFonts w:asciiTheme="minorHAnsi" w:eastAsiaTheme="minorEastAsia" w:hAnsiTheme="minorHAnsi" w:cstheme="minorBidi"/>
              <w:b/>
              <w:bCs/>
              <w:kern w:val="2"/>
              <w:sz w:val="22"/>
              <w:szCs w:val="22"/>
              <w:lang w:eastAsia="el-GR"/>
              <w14:ligatures w14:val="standardContextual"/>
            </w:rPr>
          </w:pPr>
          <w:hyperlink w:anchor="_Toc153461780" w:history="1">
            <w:r w:rsidR="00784567" w:rsidRPr="00F92F2C">
              <w:rPr>
                <w:rStyle w:val="-"/>
                <w:b/>
                <w:bCs/>
              </w:rPr>
              <w:t>3.</w:t>
            </w:r>
            <w:r w:rsidR="00784567" w:rsidRPr="00F92F2C">
              <w:rPr>
                <w:rFonts w:asciiTheme="minorHAnsi" w:eastAsiaTheme="minorEastAsia" w:hAnsiTheme="minorHAnsi" w:cstheme="minorBidi"/>
                <w:b/>
                <w:bCs/>
                <w:kern w:val="2"/>
                <w:sz w:val="22"/>
                <w:szCs w:val="22"/>
                <w:lang w:eastAsia="el-GR"/>
                <w14:ligatures w14:val="standardContextual"/>
              </w:rPr>
              <w:tab/>
            </w:r>
            <w:r w:rsidR="00784567" w:rsidRPr="00F92F2C">
              <w:rPr>
                <w:rStyle w:val="-"/>
                <w:b/>
                <w:bCs/>
              </w:rPr>
              <w:t>ΘΕΜΑΤΑ ΕΠΙΧΕΙΡΗΜΑΤΙΚΩΝ ΠΑΡΚΩΝ (ΕΠ) / ΟΡΓΑΝΩΜΕΝΩΝ ΥΠΟΔΟΧΕΩΝ ΜΕΤΑΠΟΙΗΤΙΚΩΝ &amp; ΕΠΙΧΕΙΡΗΜΑΤΙΚΩΝ ΔΡΑΣΤΗΡΙΟΤΗΤΩΝ (ΟΥΜΕΔ) ΚΑΙ ΕΦΟΔΙΑΣΤΙΚΗΣ</w:t>
            </w:r>
            <w:r w:rsidR="00784567" w:rsidRPr="00F92F2C">
              <w:rPr>
                <w:b/>
                <w:bCs/>
                <w:webHidden/>
              </w:rPr>
              <w:tab/>
            </w:r>
            <w:r w:rsidR="00784567" w:rsidRPr="00F92F2C">
              <w:rPr>
                <w:b/>
                <w:bCs/>
                <w:webHidden/>
              </w:rPr>
              <w:fldChar w:fldCharType="begin"/>
            </w:r>
            <w:r w:rsidR="00784567" w:rsidRPr="00F92F2C">
              <w:rPr>
                <w:b/>
                <w:bCs/>
                <w:webHidden/>
              </w:rPr>
              <w:instrText xml:space="preserve"> PAGEREF _Toc153461780 \h </w:instrText>
            </w:r>
            <w:r w:rsidR="00784567" w:rsidRPr="00F92F2C">
              <w:rPr>
                <w:b/>
                <w:bCs/>
                <w:webHidden/>
              </w:rPr>
            </w:r>
            <w:r w:rsidR="00784567" w:rsidRPr="00F92F2C">
              <w:rPr>
                <w:b/>
                <w:bCs/>
                <w:webHidden/>
              </w:rPr>
              <w:fldChar w:fldCharType="separate"/>
            </w:r>
            <w:r w:rsidR="00784567" w:rsidRPr="00F92F2C">
              <w:rPr>
                <w:b/>
                <w:bCs/>
                <w:webHidden/>
              </w:rPr>
              <w:t>16</w:t>
            </w:r>
            <w:r w:rsidR="00784567" w:rsidRPr="00F92F2C">
              <w:rPr>
                <w:b/>
                <w:bCs/>
                <w:webHidden/>
              </w:rPr>
              <w:fldChar w:fldCharType="end"/>
            </w:r>
          </w:hyperlink>
        </w:p>
        <w:p w14:paraId="1C52B2BC" w14:textId="6A40B348" w:rsidR="00784567" w:rsidRPr="00F92F2C" w:rsidRDefault="00000000">
          <w:pPr>
            <w:pStyle w:val="26"/>
            <w:rPr>
              <w:rFonts w:asciiTheme="minorHAnsi" w:eastAsiaTheme="minorEastAsia" w:hAnsiTheme="minorHAnsi" w:cstheme="minorBidi"/>
              <w:b/>
              <w:kern w:val="2"/>
              <w:sz w:val="22"/>
              <w:szCs w:val="22"/>
              <w:lang w:eastAsia="el-GR"/>
              <w14:ligatures w14:val="standardContextual"/>
            </w:rPr>
          </w:pPr>
          <w:hyperlink w:anchor="_Toc153461781" w:history="1">
            <w:r w:rsidR="00784567" w:rsidRPr="00F92F2C">
              <w:rPr>
                <w:rStyle w:val="-"/>
                <w:b/>
              </w:rPr>
              <w:t>Α. Ανάπτυξη Επιχειρηματικού Πάρκου Φυλής</w:t>
            </w:r>
            <w:r w:rsidR="00784567" w:rsidRPr="00F92F2C">
              <w:rPr>
                <w:b/>
                <w:webHidden/>
              </w:rPr>
              <w:tab/>
            </w:r>
            <w:r w:rsidR="00784567" w:rsidRPr="00F92F2C">
              <w:rPr>
                <w:b/>
                <w:webHidden/>
              </w:rPr>
              <w:fldChar w:fldCharType="begin"/>
            </w:r>
            <w:r w:rsidR="00784567" w:rsidRPr="00F92F2C">
              <w:rPr>
                <w:b/>
                <w:webHidden/>
              </w:rPr>
              <w:instrText xml:space="preserve"> PAGEREF _Toc153461781 \h </w:instrText>
            </w:r>
            <w:r w:rsidR="00784567" w:rsidRPr="00F92F2C">
              <w:rPr>
                <w:b/>
                <w:webHidden/>
              </w:rPr>
            </w:r>
            <w:r w:rsidR="00784567" w:rsidRPr="00F92F2C">
              <w:rPr>
                <w:b/>
                <w:webHidden/>
              </w:rPr>
              <w:fldChar w:fldCharType="separate"/>
            </w:r>
            <w:r w:rsidR="00784567" w:rsidRPr="00F92F2C">
              <w:rPr>
                <w:b/>
                <w:webHidden/>
              </w:rPr>
              <w:t>16</w:t>
            </w:r>
            <w:r w:rsidR="00784567" w:rsidRPr="00F92F2C">
              <w:rPr>
                <w:b/>
                <w:webHidden/>
              </w:rPr>
              <w:fldChar w:fldCharType="end"/>
            </w:r>
          </w:hyperlink>
        </w:p>
        <w:p w14:paraId="2B9F9457" w14:textId="69A6373A" w:rsidR="00784567" w:rsidRPr="00F92F2C" w:rsidRDefault="00000000">
          <w:pPr>
            <w:pStyle w:val="16"/>
            <w:rPr>
              <w:rFonts w:asciiTheme="minorHAnsi" w:eastAsiaTheme="minorEastAsia" w:hAnsiTheme="minorHAnsi" w:cstheme="minorBidi"/>
              <w:b/>
              <w:bCs/>
              <w:kern w:val="2"/>
              <w:sz w:val="22"/>
              <w:szCs w:val="22"/>
              <w:lang w:eastAsia="el-GR"/>
              <w14:ligatures w14:val="standardContextual"/>
            </w:rPr>
          </w:pPr>
          <w:hyperlink w:anchor="_Toc153461782" w:history="1">
            <w:r w:rsidR="00784567" w:rsidRPr="00F92F2C">
              <w:rPr>
                <w:rStyle w:val="-"/>
                <w:b/>
                <w:bCs/>
              </w:rPr>
              <w:t>4.</w:t>
            </w:r>
            <w:r w:rsidR="00784567" w:rsidRPr="00F92F2C">
              <w:rPr>
                <w:rFonts w:asciiTheme="minorHAnsi" w:eastAsiaTheme="minorEastAsia" w:hAnsiTheme="minorHAnsi" w:cstheme="minorBidi"/>
                <w:b/>
                <w:bCs/>
                <w:kern w:val="2"/>
                <w:sz w:val="22"/>
                <w:szCs w:val="22"/>
                <w:lang w:eastAsia="el-GR"/>
                <w14:ligatures w14:val="standardContextual"/>
              </w:rPr>
              <w:tab/>
            </w:r>
            <w:r w:rsidR="00784567" w:rsidRPr="00F92F2C">
              <w:rPr>
                <w:rStyle w:val="-"/>
                <w:b/>
                <w:bCs/>
              </w:rPr>
              <w:t>ΘΕΜΑΤΑ ΔΙΟΙΚΗΣΗΣ, ΟΡΓΑΝΩΣΗΣ ΚΑΙ ΑΝΑΠΤΥΞΗΣ ΕΠΙΧΕΙΡΗΣΕΩΝ ΚΑΙ ΦΟΡΕΩΝ, ΕΣΩΤΕΡΙΚΟΣ ΕΛΕΓΧΟΣ ΣΕ ΙΔΙΩΤΙΚΟ ΚΑΙ ΔΗΜΟΣΙΟ ΤΟΜΕΑ</w:t>
            </w:r>
            <w:r w:rsidR="00784567" w:rsidRPr="00F92F2C">
              <w:rPr>
                <w:b/>
                <w:bCs/>
                <w:webHidden/>
              </w:rPr>
              <w:tab/>
            </w:r>
            <w:r w:rsidR="00784567" w:rsidRPr="00F92F2C">
              <w:rPr>
                <w:b/>
                <w:bCs/>
                <w:webHidden/>
              </w:rPr>
              <w:fldChar w:fldCharType="begin"/>
            </w:r>
            <w:r w:rsidR="00784567" w:rsidRPr="00F92F2C">
              <w:rPr>
                <w:b/>
                <w:bCs/>
                <w:webHidden/>
              </w:rPr>
              <w:instrText xml:space="preserve"> PAGEREF _Toc153461782 \h </w:instrText>
            </w:r>
            <w:r w:rsidR="00784567" w:rsidRPr="00F92F2C">
              <w:rPr>
                <w:b/>
                <w:bCs/>
                <w:webHidden/>
              </w:rPr>
            </w:r>
            <w:r w:rsidR="00784567" w:rsidRPr="00F92F2C">
              <w:rPr>
                <w:b/>
                <w:bCs/>
                <w:webHidden/>
              </w:rPr>
              <w:fldChar w:fldCharType="separate"/>
            </w:r>
            <w:r w:rsidR="00784567" w:rsidRPr="00F92F2C">
              <w:rPr>
                <w:b/>
                <w:bCs/>
                <w:webHidden/>
              </w:rPr>
              <w:t>18</w:t>
            </w:r>
            <w:r w:rsidR="00784567" w:rsidRPr="00F92F2C">
              <w:rPr>
                <w:b/>
                <w:bCs/>
                <w:webHidden/>
              </w:rPr>
              <w:fldChar w:fldCharType="end"/>
            </w:r>
          </w:hyperlink>
        </w:p>
        <w:p w14:paraId="240A905E" w14:textId="5257FA67" w:rsidR="00784567" w:rsidRPr="00F92F2C" w:rsidRDefault="00000000">
          <w:pPr>
            <w:pStyle w:val="26"/>
            <w:rPr>
              <w:rFonts w:asciiTheme="minorHAnsi" w:eastAsiaTheme="minorEastAsia" w:hAnsiTheme="minorHAnsi" w:cstheme="minorBidi"/>
              <w:b/>
              <w:kern w:val="2"/>
              <w:sz w:val="22"/>
              <w:szCs w:val="22"/>
              <w:lang w:eastAsia="el-GR"/>
              <w14:ligatures w14:val="standardContextual"/>
            </w:rPr>
          </w:pPr>
          <w:hyperlink w:anchor="_Toc153461783" w:history="1">
            <w:r w:rsidR="00784567" w:rsidRPr="00F92F2C">
              <w:rPr>
                <w:rStyle w:val="-"/>
                <w:b/>
              </w:rPr>
              <w:t>Α. Πώς ο εσωτερικός έλεγχος βελτιώνει την παρακολούθηση και την αποτίμηση των κινδύνων στη συμβολή τους σε θέματα Εταιρικής Διακυβέρνησης</w:t>
            </w:r>
            <w:r w:rsidR="00784567" w:rsidRPr="00F92F2C">
              <w:rPr>
                <w:b/>
                <w:webHidden/>
              </w:rPr>
              <w:tab/>
            </w:r>
            <w:r w:rsidR="00784567" w:rsidRPr="00F92F2C">
              <w:rPr>
                <w:b/>
                <w:webHidden/>
              </w:rPr>
              <w:fldChar w:fldCharType="begin"/>
            </w:r>
            <w:r w:rsidR="00784567" w:rsidRPr="00F92F2C">
              <w:rPr>
                <w:b/>
                <w:webHidden/>
              </w:rPr>
              <w:instrText xml:space="preserve"> PAGEREF _Toc153461783 \h </w:instrText>
            </w:r>
            <w:r w:rsidR="00784567" w:rsidRPr="00F92F2C">
              <w:rPr>
                <w:b/>
                <w:webHidden/>
              </w:rPr>
            </w:r>
            <w:r w:rsidR="00784567" w:rsidRPr="00F92F2C">
              <w:rPr>
                <w:b/>
                <w:webHidden/>
              </w:rPr>
              <w:fldChar w:fldCharType="separate"/>
            </w:r>
            <w:r w:rsidR="00784567" w:rsidRPr="00F92F2C">
              <w:rPr>
                <w:b/>
                <w:webHidden/>
              </w:rPr>
              <w:t>18</w:t>
            </w:r>
            <w:r w:rsidR="00784567" w:rsidRPr="00F92F2C">
              <w:rPr>
                <w:b/>
                <w:webHidden/>
              </w:rPr>
              <w:fldChar w:fldCharType="end"/>
            </w:r>
          </w:hyperlink>
        </w:p>
        <w:p w14:paraId="6251AC8E" w14:textId="445139EB" w:rsidR="001F66DA" w:rsidRPr="002335C1" w:rsidRDefault="008D455D" w:rsidP="002335C1">
          <w:pPr>
            <w:pStyle w:val="26"/>
            <w:sectPr w:rsidR="001F66DA" w:rsidRPr="002335C1" w:rsidSect="00C142C6">
              <w:headerReference w:type="default" r:id="rId8"/>
              <w:footerReference w:type="default" r:id="rId9"/>
              <w:headerReference w:type="first" r:id="rId10"/>
              <w:footerReference w:type="first" r:id="rId11"/>
              <w:pgSz w:w="11906" w:h="16838"/>
              <w:pgMar w:top="1843" w:right="1558" w:bottom="1440" w:left="1800" w:header="709" w:footer="708" w:gutter="0"/>
              <w:cols w:space="708"/>
              <w:titlePg/>
              <w:docGrid w:linePitch="360"/>
            </w:sectPr>
          </w:pPr>
          <w:r w:rsidRPr="002335C1">
            <w:fldChar w:fldCharType="end"/>
          </w:r>
        </w:p>
      </w:sdtContent>
    </w:sdt>
    <w:p w14:paraId="6E2CB9E4" w14:textId="77777777" w:rsidR="00E273C0" w:rsidRPr="002335C1" w:rsidRDefault="00E273C0" w:rsidP="00E273C0">
      <w:pPr>
        <w:pStyle w:val="10"/>
        <w:numPr>
          <w:ilvl w:val="8"/>
          <w:numId w:val="9"/>
        </w:numPr>
        <w:shd w:val="clear" w:color="auto" w:fill="D9E2F3" w:themeFill="accent1" w:themeFillTint="33"/>
        <w:spacing w:before="240" w:line="288" w:lineRule="auto"/>
        <w:ind w:left="0" w:right="43" w:firstLine="0"/>
        <w:jc w:val="center"/>
      </w:pPr>
      <w:bookmarkStart w:id="0" w:name="_Toc97293135"/>
      <w:bookmarkStart w:id="1" w:name="_Toc145088579"/>
      <w:bookmarkStart w:id="2" w:name="_Toc153461774"/>
      <w:bookmarkStart w:id="3" w:name="_Toc127284520"/>
      <w:r w:rsidRPr="002335C1">
        <w:lastRenderedPageBreak/>
        <w:t xml:space="preserve">ΘΕΜΑΤΑ </w:t>
      </w:r>
      <w:bookmarkEnd w:id="0"/>
      <w:bookmarkEnd w:id="1"/>
      <w:r w:rsidRPr="002335C1">
        <w:t>ΑΝΑΠΤΥΞΙΑΚΩΝ – ΧΡΗΜΑΤΟΔΟΤΙΚΩΝ ΠΡΟΓΡΑΜΜΑΤΩΝ</w:t>
      </w:r>
      <w:bookmarkEnd w:id="2"/>
    </w:p>
    <w:p w14:paraId="44E446B4" w14:textId="77777777" w:rsidR="00E273C0" w:rsidRPr="002335C1" w:rsidRDefault="00E273C0" w:rsidP="00E273C0">
      <w:pPr>
        <w:pStyle w:val="110"/>
        <w:shd w:val="clear" w:color="auto" w:fill="FFFFFF" w:themeFill="background1"/>
        <w:tabs>
          <w:tab w:val="left" w:pos="284"/>
        </w:tabs>
        <w:spacing w:after="0" w:line="240" w:lineRule="auto"/>
        <w:ind w:left="284" w:right="266"/>
        <w:contextualSpacing w:val="0"/>
        <w:jc w:val="both"/>
        <w:rPr>
          <w:rFonts w:ascii="Times New Roman" w:hAnsi="Times New Roman"/>
          <w:b/>
          <w:i/>
          <w:iCs/>
          <w:sz w:val="4"/>
          <w:szCs w:val="4"/>
        </w:rPr>
      </w:pPr>
    </w:p>
    <w:p w14:paraId="0479505E" w14:textId="77777777" w:rsidR="00E273C0" w:rsidRPr="002335C1" w:rsidRDefault="00E273C0" w:rsidP="00E273C0">
      <w:pPr>
        <w:pStyle w:val="20"/>
        <w:shd w:val="clear" w:color="auto" w:fill="D9D9D9" w:themeFill="background1" w:themeFillShade="D9"/>
        <w:spacing w:before="0" w:after="120" w:line="360" w:lineRule="auto"/>
        <w:ind w:right="45"/>
        <w:jc w:val="center"/>
        <w:rPr>
          <w:rFonts w:ascii="Times New Roman" w:hAnsi="Times New Roman" w:cs="Times New Roman"/>
          <w:b/>
          <w:bCs/>
          <w:color w:val="auto"/>
          <w:sz w:val="24"/>
          <w:szCs w:val="24"/>
        </w:rPr>
      </w:pPr>
      <w:bookmarkStart w:id="4" w:name="_Toc119053815"/>
      <w:bookmarkStart w:id="5" w:name="_Toc145088580"/>
      <w:bookmarkStart w:id="6" w:name="_Toc153461775"/>
      <w:r w:rsidRPr="002335C1">
        <w:rPr>
          <w:rFonts w:ascii="Times New Roman" w:hAnsi="Times New Roman" w:cs="Times New Roman"/>
          <w:b/>
          <w:bCs/>
          <w:color w:val="auto"/>
          <w:sz w:val="24"/>
          <w:szCs w:val="24"/>
        </w:rPr>
        <w:t xml:space="preserve">Α. </w:t>
      </w:r>
      <w:bookmarkEnd w:id="4"/>
      <w:bookmarkEnd w:id="5"/>
      <w:r w:rsidRPr="002335C1">
        <w:rPr>
          <w:rFonts w:ascii="Times New Roman" w:hAnsi="Times New Roman" w:cs="Times New Roman"/>
          <w:b/>
          <w:bCs/>
          <w:color w:val="auto"/>
          <w:sz w:val="24"/>
          <w:szCs w:val="24"/>
        </w:rPr>
        <w:t>Προδημοσίευση Δράσης: «Ενίσχυση της ίδρυσης και Λειτουργίας νέων Μικρομεσαίων Επιχειρήσεων»</w:t>
      </w:r>
      <w:bookmarkEnd w:id="6"/>
    </w:p>
    <w:p w14:paraId="4959E2B6" w14:textId="39E612BB" w:rsidR="00E273C0" w:rsidRPr="00763F2C" w:rsidRDefault="00E273C0" w:rsidP="00763F2C">
      <w:pPr>
        <w:spacing w:after="120" w:line="288" w:lineRule="auto"/>
        <w:jc w:val="both"/>
        <w:rPr>
          <w:rFonts w:ascii="Times New Roman" w:hAnsi="Times New Roman" w:cs="Times New Roman"/>
          <w:sz w:val="24"/>
          <w:szCs w:val="24"/>
        </w:rPr>
      </w:pPr>
      <w:r w:rsidRPr="00763F2C">
        <w:rPr>
          <w:rFonts w:ascii="Times New Roman" w:hAnsi="Times New Roman" w:cs="Times New Roman"/>
          <w:sz w:val="24"/>
          <w:szCs w:val="24"/>
        </w:rPr>
        <w:t>Το Υπουργείο Εθνικής Οικονομίας και Οικονομικών, λειτουργώντας ως αρωγός νέων επιχειρηματικών σχημάτων υψηλής προστιθέμενης αξίας που:</w:t>
      </w:r>
    </w:p>
    <w:p w14:paraId="185B3D68" w14:textId="77777777" w:rsidR="00E273C0" w:rsidRPr="00763F2C" w:rsidRDefault="00E273C0" w:rsidP="00763F2C">
      <w:pPr>
        <w:spacing w:after="120" w:line="288" w:lineRule="auto"/>
        <w:jc w:val="both"/>
        <w:rPr>
          <w:rFonts w:ascii="Times New Roman" w:hAnsi="Times New Roman" w:cs="Times New Roman"/>
          <w:sz w:val="24"/>
          <w:szCs w:val="24"/>
        </w:rPr>
      </w:pPr>
      <w:r w:rsidRPr="00763F2C">
        <w:rPr>
          <w:rFonts w:ascii="Times New Roman" w:hAnsi="Times New Roman" w:cs="Times New Roman"/>
          <w:sz w:val="24"/>
          <w:szCs w:val="24"/>
        </w:rPr>
        <w:t>α) παρέχουν ανταγωνιστικά και ποιοτικά προϊόντα και υπηρεσίες,</w:t>
      </w:r>
    </w:p>
    <w:p w14:paraId="7F4F77B9" w14:textId="77777777" w:rsidR="00E273C0" w:rsidRPr="00763F2C" w:rsidRDefault="00E273C0" w:rsidP="00763F2C">
      <w:pPr>
        <w:spacing w:after="120" w:line="288" w:lineRule="auto"/>
        <w:jc w:val="both"/>
        <w:rPr>
          <w:rFonts w:ascii="Times New Roman" w:hAnsi="Times New Roman" w:cs="Times New Roman"/>
          <w:sz w:val="24"/>
          <w:szCs w:val="24"/>
        </w:rPr>
      </w:pPr>
      <w:r w:rsidRPr="00763F2C">
        <w:rPr>
          <w:rFonts w:ascii="Times New Roman" w:hAnsi="Times New Roman" w:cs="Times New Roman"/>
          <w:sz w:val="24"/>
          <w:szCs w:val="24"/>
        </w:rPr>
        <w:t>β) αξιοποιούν τα συγκριτικά πλεονεκτήματα της Χώρας,</w:t>
      </w:r>
    </w:p>
    <w:p w14:paraId="26B0F636" w14:textId="77777777" w:rsidR="00E273C0" w:rsidRPr="00763F2C" w:rsidRDefault="00E273C0" w:rsidP="00763F2C">
      <w:pPr>
        <w:spacing w:after="120" w:line="288" w:lineRule="auto"/>
        <w:jc w:val="both"/>
        <w:rPr>
          <w:rFonts w:ascii="Times New Roman" w:hAnsi="Times New Roman" w:cs="Times New Roman"/>
          <w:sz w:val="24"/>
          <w:szCs w:val="24"/>
        </w:rPr>
      </w:pPr>
      <w:r w:rsidRPr="00763F2C">
        <w:rPr>
          <w:rFonts w:ascii="Times New Roman" w:hAnsi="Times New Roman" w:cs="Times New Roman"/>
          <w:sz w:val="24"/>
          <w:szCs w:val="24"/>
        </w:rPr>
        <w:t>γ) επενδύουν ιδίους πόρους στη δραστηριότητα που προτίθενται να ασκήσουν και</w:t>
      </w:r>
    </w:p>
    <w:p w14:paraId="6DE22EC9" w14:textId="77777777" w:rsidR="00E273C0" w:rsidRPr="00763F2C" w:rsidRDefault="00E273C0" w:rsidP="00763F2C">
      <w:pPr>
        <w:spacing w:after="120" w:line="288" w:lineRule="auto"/>
        <w:jc w:val="both"/>
        <w:rPr>
          <w:rFonts w:ascii="Times New Roman" w:hAnsi="Times New Roman" w:cs="Times New Roman"/>
          <w:sz w:val="24"/>
          <w:szCs w:val="24"/>
        </w:rPr>
      </w:pPr>
      <w:r w:rsidRPr="00763F2C">
        <w:rPr>
          <w:rFonts w:ascii="Times New Roman" w:hAnsi="Times New Roman" w:cs="Times New Roman"/>
          <w:sz w:val="24"/>
          <w:szCs w:val="24"/>
        </w:rPr>
        <w:t>δ) δημιουργούν νέες θέσεις απασχόλησης,</w:t>
      </w:r>
    </w:p>
    <w:p w14:paraId="1929C591" w14:textId="77777777" w:rsidR="00E273C0" w:rsidRPr="00763F2C" w:rsidRDefault="00E273C0" w:rsidP="00763F2C">
      <w:pPr>
        <w:spacing w:after="120" w:line="288" w:lineRule="auto"/>
        <w:jc w:val="both"/>
        <w:rPr>
          <w:rFonts w:ascii="Times New Roman" w:hAnsi="Times New Roman" w:cs="Times New Roman"/>
          <w:b/>
          <w:bCs/>
          <w:sz w:val="24"/>
          <w:szCs w:val="24"/>
        </w:rPr>
      </w:pPr>
      <w:r w:rsidRPr="00763F2C">
        <w:rPr>
          <w:rFonts w:ascii="Times New Roman" w:hAnsi="Times New Roman" w:cs="Times New Roman"/>
          <w:sz w:val="24"/>
          <w:szCs w:val="24"/>
        </w:rPr>
        <w:t>ανέλαβε την πρωτοβουλία για τον σχεδιασμό της νέας Δράσης ενίσχυσης επιχειρήσεων με τίτλο "</w:t>
      </w:r>
      <w:r w:rsidRPr="00763F2C">
        <w:rPr>
          <w:rFonts w:ascii="Times New Roman" w:hAnsi="Times New Roman" w:cs="Times New Roman"/>
          <w:b/>
          <w:bCs/>
          <w:sz w:val="24"/>
          <w:szCs w:val="24"/>
        </w:rPr>
        <w:t>Ενίσχυση της Ίδρυσης και Λειτουργίας νέων Μικρομεσαίων Επιχειρήσεων</w:t>
      </w:r>
      <w:r w:rsidRPr="00763F2C">
        <w:rPr>
          <w:rFonts w:ascii="Times New Roman" w:hAnsi="Times New Roman" w:cs="Times New Roman"/>
          <w:sz w:val="24"/>
          <w:szCs w:val="24"/>
        </w:rPr>
        <w:t>" που θα υλοποιηθεί και στις δεκατρείς (13) Διοικητικές Περιφέρειες της Χώρας.</w:t>
      </w:r>
    </w:p>
    <w:p w14:paraId="728CF88E" w14:textId="77777777" w:rsidR="00E273C0" w:rsidRPr="00763F2C" w:rsidRDefault="00E273C0" w:rsidP="00763F2C">
      <w:pPr>
        <w:spacing w:after="120" w:line="288" w:lineRule="auto"/>
        <w:jc w:val="both"/>
        <w:rPr>
          <w:rFonts w:ascii="Times New Roman" w:hAnsi="Times New Roman" w:cs="Times New Roman"/>
          <w:sz w:val="24"/>
          <w:szCs w:val="24"/>
        </w:rPr>
      </w:pPr>
      <w:r w:rsidRPr="00763F2C">
        <w:rPr>
          <w:rFonts w:ascii="Times New Roman" w:hAnsi="Times New Roman" w:cs="Times New Roman"/>
          <w:sz w:val="24"/>
          <w:szCs w:val="24"/>
        </w:rPr>
        <w:t xml:space="preserve">Η Δράση αφορά στην ενίσχυση της επιχειρηματικότητας, μέσω της δημιουργίας νέων πολύ μικρών, μικρών και μεσαίων επιχειρήσεων, σε επιλεγμένους ΚΑΔ όλων των κλάδων της οικονομίας, </w:t>
      </w:r>
      <w:r w:rsidRPr="00763F2C">
        <w:rPr>
          <w:rFonts w:ascii="Times New Roman" w:hAnsi="Times New Roman" w:cs="Times New Roman"/>
          <w:b/>
          <w:sz w:val="24"/>
          <w:szCs w:val="24"/>
        </w:rPr>
        <w:t>πλην της εστίασης, του λιανικού εμπορίου και του</w:t>
      </w:r>
      <w:r w:rsidRPr="00763F2C">
        <w:rPr>
          <w:rFonts w:ascii="Times New Roman" w:hAnsi="Times New Roman" w:cs="Times New Roman"/>
          <w:sz w:val="24"/>
          <w:szCs w:val="24"/>
        </w:rPr>
        <w:t xml:space="preserve"> </w:t>
      </w:r>
      <w:r w:rsidRPr="00763F2C">
        <w:rPr>
          <w:rFonts w:ascii="Times New Roman" w:hAnsi="Times New Roman" w:cs="Times New Roman"/>
          <w:b/>
          <w:sz w:val="24"/>
          <w:szCs w:val="24"/>
        </w:rPr>
        <w:t>τουρισμού.</w:t>
      </w:r>
    </w:p>
    <w:p w14:paraId="25285839" w14:textId="77777777" w:rsidR="00E273C0" w:rsidRPr="00763F2C" w:rsidRDefault="00E273C0" w:rsidP="00763F2C">
      <w:pPr>
        <w:spacing w:after="120" w:line="288" w:lineRule="auto"/>
        <w:jc w:val="both"/>
        <w:rPr>
          <w:rFonts w:ascii="Times New Roman" w:hAnsi="Times New Roman" w:cs="Times New Roman"/>
          <w:b/>
          <w:sz w:val="24"/>
          <w:szCs w:val="24"/>
          <w:u w:val="single"/>
        </w:rPr>
      </w:pPr>
      <w:r w:rsidRPr="00763F2C">
        <w:rPr>
          <w:rFonts w:ascii="Times New Roman" w:hAnsi="Times New Roman" w:cs="Times New Roman"/>
          <w:b/>
          <w:sz w:val="24"/>
          <w:szCs w:val="24"/>
          <w:u w:val="single"/>
        </w:rPr>
        <w:t>Προϋπολογισμός Δράσης</w:t>
      </w:r>
    </w:p>
    <w:p w14:paraId="15BC19DA" w14:textId="49E82264" w:rsidR="00E273C0" w:rsidRPr="00763F2C" w:rsidRDefault="00E273C0" w:rsidP="00763F2C">
      <w:pPr>
        <w:spacing w:after="120" w:line="288" w:lineRule="auto"/>
        <w:jc w:val="both"/>
        <w:rPr>
          <w:rFonts w:ascii="Times New Roman" w:hAnsi="Times New Roman" w:cs="Times New Roman"/>
          <w:sz w:val="24"/>
          <w:szCs w:val="24"/>
        </w:rPr>
      </w:pPr>
      <w:r w:rsidRPr="00763F2C">
        <w:rPr>
          <w:rFonts w:ascii="Times New Roman" w:hAnsi="Times New Roman" w:cs="Times New Roman"/>
          <w:sz w:val="24"/>
          <w:szCs w:val="24"/>
        </w:rPr>
        <w:t xml:space="preserve">Η Δράση θα υλοποιηθεί με πόρους του Προγράμματος «Ανταγωνιστικότητα» του ΕΣΠΑ 2021 – 2027 συνολικού ύψους </w:t>
      </w:r>
      <w:r w:rsidRPr="00763F2C">
        <w:rPr>
          <w:rFonts w:ascii="Times New Roman" w:hAnsi="Times New Roman" w:cs="Times New Roman"/>
          <w:b/>
          <w:sz w:val="24"/>
          <w:szCs w:val="24"/>
        </w:rPr>
        <w:t xml:space="preserve">190.000.000€ </w:t>
      </w:r>
      <w:r w:rsidRPr="00763F2C">
        <w:rPr>
          <w:rFonts w:ascii="Times New Roman" w:hAnsi="Times New Roman" w:cs="Times New Roman"/>
          <w:sz w:val="24"/>
          <w:szCs w:val="24"/>
        </w:rPr>
        <w:t>για το σύνολο της Χώρας.</w:t>
      </w:r>
      <w:r w:rsidR="006C36EA" w:rsidRPr="00763F2C">
        <w:rPr>
          <w:rFonts w:ascii="Times New Roman" w:hAnsi="Times New Roman" w:cs="Times New Roman"/>
          <w:sz w:val="24"/>
          <w:szCs w:val="24"/>
        </w:rPr>
        <w:t xml:space="preserve"> </w:t>
      </w:r>
      <w:r w:rsidRPr="00763F2C">
        <w:rPr>
          <w:rFonts w:ascii="Times New Roman" w:hAnsi="Times New Roman" w:cs="Times New Roman"/>
          <w:sz w:val="24"/>
          <w:szCs w:val="24"/>
        </w:rPr>
        <w:t>Η Δράση συγχρηματοδοτείται από την Ευρωπαϊκή Ένωση, ειδικότερα από το Ευρωπαϊκό Ταμείο Περιφερειακής Ανάπτυξης</w:t>
      </w:r>
      <w:r w:rsidR="006C36EA" w:rsidRPr="00763F2C">
        <w:rPr>
          <w:rFonts w:ascii="Times New Roman" w:hAnsi="Times New Roman" w:cs="Times New Roman"/>
          <w:sz w:val="24"/>
          <w:szCs w:val="24"/>
        </w:rPr>
        <w:t xml:space="preserve"> </w:t>
      </w:r>
      <w:r w:rsidRPr="00763F2C">
        <w:rPr>
          <w:rFonts w:ascii="Times New Roman" w:hAnsi="Times New Roman" w:cs="Times New Roman"/>
          <w:sz w:val="24"/>
          <w:szCs w:val="24"/>
        </w:rPr>
        <w:t>(ΕΤΠΑ) και από το Ελληνικό Δημόσιο.</w:t>
      </w:r>
    </w:p>
    <w:p w14:paraId="6C3870BF" w14:textId="77777777" w:rsidR="00E273C0" w:rsidRPr="00763F2C" w:rsidRDefault="00E273C0" w:rsidP="00763F2C">
      <w:pPr>
        <w:spacing w:after="120" w:line="288" w:lineRule="auto"/>
        <w:jc w:val="both"/>
        <w:rPr>
          <w:rFonts w:ascii="Times New Roman" w:hAnsi="Times New Roman" w:cs="Times New Roman"/>
          <w:b/>
          <w:sz w:val="24"/>
          <w:szCs w:val="24"/>
          <w:u w:val="single"/>
        </w:rPr>
      </w:pPr>
      <w:r w:rsidRPr="00763F2C">
        <w:rPr>
          <w:rFonts w:ascii="Times New Roman" w:hAnsi="Times New Roman" w:cs="Times New Roman"/>
          <w:b/>
          <w:sz w:val="24"/>
          <w:szCs w:val="24"/>
          <w:u w:val="single"/>
        </w:rPr>
        <w:t>Δικαιούχοι</w:t>
      </w:r>
    </w:p>
    <w:p w14:paraId="4C4A4433" w14:textId="77777777" w:rsidR="00E273C0" w:rsidRPr="00763F2C" w:rsidRDefault="00E273C0" w:rsidP="00763F2C">
      <w:pPr>
        <w:spacing w:after="120" w:line="288" w:lineRule="auto"/>
        <w:jc w:val="both"/>
        <w:rPr>
          <w:rFonts w:ascii="Times New Roman" w:hAnsi="Times New Roman" w:cs="Times New Roman"/>
          <w:sz w:val="24"/>
          <w:szCs w:val="24"/>
        </w:rPr>
      </w:pPr>
      <w:r w:rsidRPr="00763F2C">
        <w:rPr>
          <w:rFonts w:ascii="Times New Roman" w:hAnsi="Times New Roman" w:cs="Times New Roman"/>
          <w:sz w:val="24"/>
          <w:szCs w:val="24"/>
        </w:rPr>
        <w:t xml:space="preserve">Στη Δράση δύναται να υποβάλλουν πρόταση </w:t>
      </w:r>
      <w:r w:rsidRPr="00763F2C">
        <w:rPr>
          <w:rFonts w:ascii="Times New Roman" w:hAnsi="Times New Roman" w:cs="Times New Roman"/>
          <w:b/>
          <w:sz w:val="24"/>
          <w:szCs w:val="24"/>
        </w:rPr>
        <w:t>υπό ίδρυση και νεοσύστατες μεσαίες, μικρές και πολύ μικρές επιχειρήσεις</w:t>
      </w:r>
      <w:r w:rsidRPr="00763F2C">
        <w:rPr>
          <w:rFonts w:ascii="Times New Roman" w:hAnsi="Times New Roman" w:cs="Times New Roman"/>
          <w:sz w:val="24"/>
          <w:szCs w:val="24"/>
        </w:rPr>
        <w:t xml:space="preserve">, όπως αυτές ορίζονται στη Σύσταση της Επιτροπής 2003/361/ΕΚ. Με τον όρο νεοσύστατες ορίζονται οι επιχειρήσεις για τις οποίες </w:t>
      </w:r>
      <w:r w:rsidRPr="00763F2C">
        <w:rPr>
          <w:rFonts w:ascii="Times New Roman" w:hAnsi="Times New Roman" w:cs="Times New Roman"/>
          <w:b/>
          <w:sz w:val="24"/>
          <w:szCs w:val="24"/>
        </w:rPr>
        <w:t>δεν έχει παρέλθει 12μηνο συνεχούς λειτουργίας από την</w:t>
      </w:r>
      <w:r w:rsidRPr="00763F2C">
        <w:rPr>
          <w:rFonts w:ascii="Times New Roman" w:hAnsi="Times New Roman" w:cs="Times New Roman"/>
          <w:sz w:val="24"/>
          <w:szCs w:val="24"/>
        </w:rPr>
        <w:t xml:space="preserve"> </w:t>
      </w:r>
      <w:r w:rsidRPr="00763F2C">
        <w:rPr>
          <w:rFonts w:ascii="Times New Roman" w:hAnsi="Times New Roman" w:cs="Times New Roman"/>
          <w:b/>
          <w:sz w:val="24"/>
          <w:szCs w:val="24"/>
        </w:rPr>
        <w:t>ημερομηνία έναρξης της επιχείρησης έως και την ημερομηνία προκήρυξης της δράσης</w:t>
      </w:r>
      <w:r w:rsidRPr="00763F2C">
        <w:rPr>
          <w:rFonts w:ascii="Times New Roman" w:hAnsi="Times New Roman" w:cs="Times New Roman"/>
          <w:sz w:val="24"/>
          <w:szCs w:val="24"/>
        </w:rPr>
        <w:t>.</w:t>
      </w:r>
    </w:p>
    <w:p w14:paraId="58273942" w14:textId="77777777" w:rsidR="00E273C0" w:rsidRPr="00763F2C" w:rsidRDefault="00E273C0" w:rsidP="00763F2C">
      <w:pPr>
        <w:spacing w:after="120" w:line="288" w:lineRule="auto"/>
        <w:jc w:val="both"/>
        <w:rPr>
          <w:rFonts w:ascii="Times New Roman" w:hAnsi="Times New Roman" w:cs="Times New Roman"/>
          <w:b/>
          <w:sz w:val="24"/>
          <w:szCs w:val="24"/>
          <w:u w:val="single"/>
        </w:rPr>
      </w:pPr>
      <w:r w:rsidRPr="00763F2C">
        <w:rPr>
          <w:rFonts w:ascii="Times New Roman" w:hAnsi="Times New Roman" w:cs="Times New Roman"/>
          <w:b/>
          <w:sz w:val="24"/>
          <w:szCs w:val="24"/>
          <w:u w:val="single"/>
        </w:rPr>
        <w:t>Επιλέξιμες Επιχειρήσεις και Προϋποθέσεις Συμμετοχής</w:t>
      </w:r>
    </w:p>
    <w:p w14:paraId="73CC85EB" w14:textId="77777777" w:rsidR="00E273C0" w:rsidRPr="00763F2C" w:rsidRDefault="00E273C0" w:rsidP="00763F2C">
      <w:pPr>
        <w:spacing w:after="120" w:line="288" w:lineRule="auto"/>
        <w:jc w:val="both"/>
        <w:rPr>
          <w:rFonts w:ascii="Times New Roman" w:hAnsi="Times New Roman" w:cs="Times New Roman"/>
          <w:sz w:val="24"/>
          <w:szCs w:val="24"/>
        </w:rPr>
      </w:pPr>
      <w:r w:rsidRPr="00763F2C">
        <w:rPr>
          <w:rFonts w:ascii="Times New Roman" w:hAnsi="Times New Roman" w:cs="Times New Roman"/>
          <w:sz w:val="24"/>
          <w:szCs w:val="24"/>
        </w:rPr>
        <w:t xml:space="preserve">Οι επιλεγμένοι επιλέξιμοι κωδικοί αριθμοί δραστηριοτήτων (ΚΑΔ) θα ορισθούν στην Αναλυτική Πρόσκληση της Δράσης. Σε αυτούς </w:t>
      </w:r>
      <w:r w:rsidRPr="00763F2C">
        <w:rPr>
          <w:rFonts w:ascii="Times New Roman" w:hAnsi="Times New Roman" w:cs="Times New Roman"/>
          <w:b/>
          <w:sz w:val="24"/>
          <w:szCs w:val="24"/>
        </w:rPr>
        <w:t>δεν θα περιλαμβάνονται εκείνοι που σχετίζονται με την ενίσχυση επιχειρήσεων στον κλάδο της Εστίασης, του</w:t>
      </w:r>
      <w:r w:rsidRPr="00763F2C">
        <w:rPr>
          <w:rFonts w:ascii="Times New Roman" w:hAnsi="Times New Roman" w:cs="Times New Roman"/>
          <w:sz w:val="24"/>
          <w:szCs w:val="24"/>
        </w:rPr>
        <w:t xml:space="preserve"> </w:t>
      </w:r>
      <w:r w:rsidRPr="00763F2C">
        <w:rPr>
          <w:rFonts w:ascii="Times New Roman" w:hAnsi="Times New Roman" w:cs="Times New Roman"/>
          <w:b/>
          <w:sz w:val="24"/>
          <w:szCs w:val="24"/>
        </w:rPr>
        <w:t>Λιανικού Εμπορίου και του Τουρισμού.</w:t>
      </w:r>
    </w:p>
    <w:p w14:paraId="083A8CA0" w14:textId="77777777" w:rsidR="00E273C0" w:rsidRPr="00763F2C" w:rsidRDefault="00E273C0" w:rsidP="00763F2C">
      <w:pPr>
        <w:spacing w:after="120" w:line="288" w:lineRule="auto"/>
        <w:jc w:val="both"/>
        <w:rPr>
          <w:rFonts w:ascii="Times New Roman" w:hAnsi="Times New Roman" w:cs="Times New Roman"/>
          <w:sz w:val="24"/>
          <w:szCs w:val="24"/>
        </w:rPr>
      </w:pPr>
      <w:r w:rsidRPr="00763F2C">
        <w:rPr>
          <w:rFonts w:ascii="Times New Roman" w:hAnsi="Times New Roman" w:cs="Times New Roman"/>
          <w:sz w:val="24"/>
          <w:szCs w:val="24"/>
        </w:rPr>
        <w:t>Οι βασικές προϋποθέσεις συμμετοχής των δυνητικά ωφελούμενων επιχειρήσεων είναι οι ακόλουθες:</w:t>
      </w:r>
    </w:p>
    <w:p w14:paraId="49317A2A" w14:textId="77777777" w:rsidR="00E273C0" w:rsidRPr="00763F2C" w:rsidRDefault="00E273C0" w:rsidP="00763F2C">
      <w:pPr>
        <w:pStyle w:val="a7"/>
        <w:numPr>
          <w:ilvl w:val="0"/>
          <w:numId w:val="24"/>
        </w:numPr>
        <w:spacing w:after="120" w:line="288" w:lineRule="auto"/>
        <w:jc w:val="both"/>
        <w:rPr>
          <w:rFonts w:ascii="Times New Roman" w:hAnsi="Times New Roman" w:cs="Times New Roman"/>
          <w:sz w:val="24"/>
          <w:szCs w:val="24"/>
          <w:lang w:val="el-GR"/>
        </w:rPr>
      </w:pPr>
      <w:r w:rsidRPr="00763F2C">
        <w:rPr>
          <w:rFonts w:ascii="Times New Roman" w:hAnsi="Times New Roman" w:cs="Times New Roman"/>
          <w:sz w:val="24"/>
          <w:szCs w:val="24"/>
          <w:lang w:val="el-GR"/>
        </w:rPr>
        <w:lastRenderedPageBreak/>
        <w:t>Να πραγματοποιήσουν επένδυση αποκλειστικά σε μία Περιφέρεια.</w:t>
      </w:r>
    </w:p>
    <w:p w14:paraId="0A288543" w14:textId="77777777" w:rsidR="00E273C0" w:rsidRPr="00763F2C" w:rsidRDefault="00E273C0" w:rsidP="00763F2C">
      <w:pPr>
        <w:pStyle w:val="a7"/>
        <w:numPr>
          <w:ilvl w:val="0"/>
          <w:numId w:val="24"/>
        </w:numPr>
        <w:spacing w:after="120" w:line="288" w:lineRule="auto"/>
        <w:jc w:val="both"/>
        <w:rPr>
          <w:rFonts w:ascii="Times New Roman" w:hAnsi="Times New Roman" w:cs="Times New Roman"/>
          <w:sz w:val="24"/>
          <w:szCs w:val="24"/>
          <w:lang w:val="el-GR"/>
        </w:rPr>
      </w:pPr>
      <w:r w:rsidRPr="00763F2C">
        <w:rPr>
          <w:rFonts w:ascii="Times New Roman" w:hAnsi="Times New Roman" w:cs="Times New Roman"/>
          <w:sz w:val="24"/>
          <w:szCs w:val="24"/>
          <w:lang w:val="el-GR"/>
        </w:rPr>
        <w:t>Να δραστηριοποιηθούν αποκλειστικά σε επιλέξιμο/</w:t>
      </w:r>
      <w:proofErr w:type="spellStart"/>
      <w:r w:rsidRPr="00763F2C">
        <w:rPr>
          <w:rFonts w:ascii="Times New Roman" w:hAnsi="Times New Roman" w:cs="Times New Roman"/>
          <w:sz w:val="24"/>
          <w:szCs w:val="24"/>
          <w:lang w:val="el-GR"/>
        </w:rPr>
        <w:t>ους</w:t>
      </w:r>
      <w:proofErr w:type="spellEnd"/>
      <w:r w:rsidRPr="00763F2C">
        <w:rPr>
          <w:rFonts w:ascii="Times New Roman" w:hAnsi="Times New Roman" w:cs="Times New Roman"/>
          <w:sz w:val="24"/>
          <w:szCs w:val="24"/>
          <w:lang w:val="el-GR"/>
        </w:rPr>
        <w:t xml:space="preserve"> ΚΑΔ, όπως αυτός/</w:t>
      </w:r>
      <w:proofErr w:type="spellStart"/>
      <w:r w:rsidRPr="00763F2C">
        <w:rPr>
          <w:rFonts w:ascii="Times New Roman" w:hAnsi="Times New Roman" w:cs="Times New Roman"/>
          <w:sz w:val="24"/>
          <w:szCs w:val="24"/>
          <w:lang w:val="el-GR"/>
        </w:rPr>
        <w:t>οί</w:t>
      </w:r>
      <w:proofErr w:type="spellEnd"/>
      <w:r w:rsidRPr="00763F2C">
        <w:rPr>
          <w:rFonts w:ascii="Times New Roman" w:hAnsi="Times New Roman" w:cs="Times New Roman"/>
          <w:sz w:val="24"/>
          <w:szCs w:val="24"/>
          <w:lang w:val="el-GR"/>
        </w:rPr>
        <w:t xml:space="preserve"> θα ορίζεται/</w:t>
      </w:r>
      <w:proofErr w:type="spellStart"/>
      <w:r w:rsidRPr="00763F2C">
        <w:rPr>
          <w:rFonts w:ascii="Times New Roman" w:hAnsi="Times New Roman" w:cs="Times New Roman"/>
          <w:sz w:val="24"/>
          <w:szCs w:val="24"/>
          <w:lang w:val="el-GR"/>
        </w:rPr>
        <w:t>ονται</w:t>
      </w:r>
      <w:proofErr w:type="spellEnd"/>
      <w:r w:rsidRPr="00763F2C">
        <w:rPr>
          <w:rFonts w:ascii="Times New Roman" w:hAnsi="Times New Roman" w:cs="Times New Roman"/>
          <w:sz w:val="24"/>
          <w:szCs w:val="24"/>
          <w:lang w:val="el-GR"/>
        </w:rPr>
        <w:t xml:space="preserve"> στην Αναλυτική</w:t>
      </w:r>
    </w:p>
    <w:p w14:paraId="4F8D1350" w14:textId="77777777" w:rsidR="00E273C0" w:rsidRPr="00763F2C" w:rsidRDefault="00E273C0" w:rsidP="00763F2C">
      <w:pPr>
        <w:pStyle w:val="a7"/>
        <w:numPr>
          <w:ilvl w:val="0"/>
          <w:numId w:val="24"/>
        </w:numPr>
        <w:spacing w:after="120" w:line="288" w:lineRule="auto"/>
        <w:jc w:val="both"/>
        <w:rPr>
          <w:rFonts w:ascii="Times New Roman" w:hAnsi="Times New Roman" w:cs="Times New Roman"/>
          <w:sz w:val="24"/>
          <w:szCs w:val="24"/>
        </w:rPr>
      </w:pPr>
      <w:r w:rsidRPr="00763F2C">
        <w:rPr>
          <w:rFonts w:ascii="Times New Roman" w:hAnsi="Times New Roman" w:cs="Times New Roman"/>
          <w:sz w:val="24"/>
          <w:szCs w:val="24"/>
          <w:lang w:val="el-GR"/>
        </w:rPr>
        <w:t xml:space="preserve">Πρόσκληση που αναμένεται να εκδοθεί </w:t>
      </w:r>
      <w:proofErr w:type="spellStart"/>
      <w:r w:rsidRPr="00763F2C">
        <w:rPr>
          <w:rFonts w:ascii="Times New Roman" w:hAnsi="Times New Roman" w:cs="Times New Roman"/>
          <w:sz w:val="24"/>
          <w:szCs w:val="24"/>
          <w:lang w:val="el-GR"/>
        </w:rPr>
        <w:t>καθόλη</w:t>
      </w:r>
      <w:proofErr w:type="spellEnd"/>
      <w:r w:rsidRPr="00763F2C">
        <w:rPr>
          <w:rFonts w:ascii="Times New Roman" w:hAnsi="Times New Roman" w:cs="Times New Roman"/>
          <w:sz w:val="24"/>
          <w:szCs w:val="24"/>
          <w:lang w:val="el-GR"/>
        </w:rPr>
        <w:t xml:space="preserve"> τη διάρκεια υλοποίησης του επενδυτικού τους σχεδίου. </w:t>
      </w:r>
      <w:proofErr w:type="spellStart"/>
      <w:r w:rsidRPr="00763F2C">
        <w:rPr>
          <w:rFonts w:ascii="Times New Roman" w:hAnsi="Times New Roman" w:cs="Times New Roman"/>
          <w:sz w:val="24"/>
          <w:szCs w:val="24"/>
        </w:rPr>
        <w:t>Οι</w:t>
      </w:r>
      <w:proofErr w:type="spellEnd"/>
    </w:p>
    <w:p w14:paraId="722AB1D6" w14:textId="77777777" w:rsidR="00E273C0" w:rsidRPr="00763F2C" w:rsidRDefault="00E273C0" w:rsidP="00763F2C">
      <w:pPr>
        <w:pStyle w:val="a7"/>
        <w:numPr>
          <w:ilvl w:val="0"/>
          <w:numId w:val="24"/>
        </w:numPr>
        <w:spacing w:after="120" w:line="288" w:lineRule="auto"/>
        <w:jc w:val="both"/>
        <w:rPr>
          <w:rFonts w:ascii="Times New Roman" w:hAnsi="Times New Roman" w:cs="Times New Roman"/>
          <w:sz w:val="24"/>
          <w:szCs w:val="24"/>
          <w:lang w:val="el-GR"/>
        </w:rPr>
      </w:pPr>
      <w:r w:rsidRPr="00763F2C">
        <w:rPr>
          <w:rFonts w:ascii="Times New Roman" w:hAnsi="Times New Roman" w:cs="Times New Roman"/>
          <w:sz w:val="24"/>
          <w:szCs w:val="24"/>
          <w:lang w:val="el-GR"/>
        </w:rPr>
        <w:t>νεοσύστατες να έχουν έναρξη μόνο σε επιλέξιμους ΚΑΔ της Δράσης.</w:t>
      </w:r>
    </w:p>
    <w:p w14:paraId="6AF54D69" w14:textId="77777777" w:rsidR="00E273C0" w:rsidRPr="00763F2C" w:rsidRDefault="00E273C0" w:rsidP="00763F2C">
      <w:pPr>
        <w:pStyle w:val="a7"/>
        <w:numPr>
          <w:ilvl w:val="0"/>
          <w:numId w:val="24"/>
        </w:numPr>
        <w:spacing w:after="120" w:line="288" w:lineRule="auto"/>
        <w:jc w:val="both"/>
        <w:rPr>
          <w:rFonts w:ascii="Times New Roman" w:hAnsi="Times New Roman" w:cs="Times New Roman"/>
          <w:sz w:val="24"/>
          <w:szCs w:val="24"/>
          <w:lang w:val="el-GR"/>
        </w:rPr>
      </w:pPr>
      <w:r w:rsidRPr="00763F2C">
        <w:rPr>
          <w:rFonts w:ascii="Times New Roman" w:hAnsi="Times New Roman" w:cs="Times New Roman"/>
          <w:sz w:val="24"/>
          <w:szCs w:val="24"/>
          <w:lang w:val="el-GR"/>
        </w:rPr>
        <w:t xml:space="preserve">Να προσκομίσουν ακριβή στοιχεία και δεδομένα </w:t>
      </w:r>
      <w:proofErr w:type="spellStart"/>
      <w:r w:rsidRPr="00763F2C">
        <w:rPr>
          <w:rFonts w:ascii="Times New Roman" w:hAnsi="Times New Roman" w:cs="Times New Roman"/>
          <w:sz w:val="24"/>
          <w:szCs w:val="24"/>
          <w:lang w:val="el-GR"/>
        </w:rPr>
        <w:t>χωροθέτησης</w:t>
      </w:r>
      <w:proofErr w:type="spellEnd"/>
      <w:r w:rsidRPr="00763F2C">
        <w:rPr>
          <w:rFonts w:ascii="Times New Roman" w:hAnsi="Times New Roman" w:cs="Times New Roman"/>
          <w:sz w:val="24"/>
          <w:szCs w:val="24"/>
          <w:lang w:val="el-GR"/>
        </w:rPr>
        <w:t xml:space="preserve"> του τόπου υλοποίησης της επένδυσης επί συγκεκριμένου ακινήτου (γήπεδο, κτίριο ή άλλου είδους αυτοτελής χώρος).</w:t>
      </w:r>
    </w:p>
    <w:p w14:paraId="5FA799EC" w14:textId="77777777" w:rsidR="00E273C0" w:rsidRPr="00763F2C" w:rsidRDefault="00E273C0" w:rsidP="00763F2C">
      <w:pPr>
        <w:pStyle w:val="a7"/>
        <w:numPr>
          <w:ilvl w:val="0"/>
          <w:numId w:val="24"/>
        </w:numPr>
        <w:spacing w:after="120" w:line="288" w:lineRule="auto"/>
        <w:jc w:val="both"/>
        <w:rPr>
          <w:rFonts w:ascii="Times New Roman" w:hAnsi="Times New Roman" w:cs="Times New Roman"/>
          <w:sz w:val="24"/>
          <w:szCs w:val="24"/>
          <w:lang w:val="el-GR"/>
        </w:rPr>
      </w:pPr>
      <w:r w:rsidRPr="00763F2C">
        <w:rPr>
          <w:rFonts w:ascii="Times New Roman" w:hAnsi="Times New Roman" w:cs="Times New Roman"/>
          <w:sz w:val="24"/>
          <w:szCs w:val="24"/>
          <w:lang w:val="el-GR"/>
        </w:rPr>
        <w:t>Να διαθέτουν εγκεκριμένη άδεια δόμησης ή κατ’ ελάχιστον κατατεθειμένη αίτηση έκδοσης αυτής σε περιπτώσεις ανέγερσης και αποπεράτωσης κτιρίων από την ημερομηνία έναρξης ηλεκτρονικής υποβολής που θα ορισθεί στην προκήρυξη</w:t>
      </w:r>
    </w:p>
    <w:p w14:paraId="3BC8D86A" w14:textId="77777777" w:rsidR="00E273C0" w:rsidRPr="00763F2C" w:rsidRDefault="00E273C0" w:rsidP="00763F2C">
      <w:pPr>
        <w:pStyle w:val="a7"/>
        <w:numPr>
          <w:ilvl w:val="0"/>
          <w:numId w:val="24"/>
        </w:numPr>
        <w:spacing w:after="120" w:line="288" w:lineRule="auto"/>
        <w:jc w:val="both"/>
        <w:rPr>
          <w:rFonts w:ascii="Times New Roman" w:hAnsi="Times New Roman" w:cs="Times New Roman"/>
          <w:sz w:val="24"/>
          <w:szCs w:val="24"/>
          <w:lang w:val="el-GR"/>
        </w:rPr>
      </w:pPr>
      <w:r w:rsidRPr="00763F2C">
        <w:rPr>
          <w:rFonts w:ascii="Times New Roman" w:hAnsi="Times New Roman" w:cs="Times New Roman"/>
          <w:sz w:val="24"/>
          <w:szCs w:val="24"/>
          <w:lang w:val="el-GR"/>
        </w:rPr>
        <w:t>Να προσκομίσουν στοιχεία των δικαιωμάτων χρήσης (κυριότητα, επικαρπία, μίσθωση) που κατέχουν επί του ακινήτου.</w:t>
      </w:r>
    </w:p>
    <w:p w14:paraId="232320A5" w14:textId="77777777" w:rsidR="00E273C0" w:rsidRPr="00763F2C" w:rsidRDefault="00E273C0" w:rsidP="00763F2C">
      <w:pPr>
        <w:pStyle w:val="a7"/>
        <w:numPr>
          <w:ilvl w:val="0"/>
          <w:numId w:val="24"/>
        </w:numPr>
        <w:spacing w:after="120" w:line="288" w:lineRule="auto"/>
        <w:jc w:val="both"/>
        <w:rPr>
          <w:rFonts w:ascii="Times New Roman" w:hAnsi="Times New Roman" w:cs="Times New Roman"/>
          <w:sz w:val="24"/>
          <w:szCs w:val="24"/>
          <w:lang w:val="el-GR"/>
        </w:rPr>
      </w:pPr>
      <w:r w:rsidRPr="00763F2C">
        <w:rPr>
          <w:rFonts w:ascii="Times New Roman" w:hAnsi="Times New Roman" w:cs="Times New Roman"/>
          <w:sz w:val="24"/>
          <w:szCs w:val="24"/>
          <w:lang w:val="el-GR"/>
        </w:rPr>
        <w:t>Να προσκομίσουν Βεβαίωση Χρήσης γης για τον ανωτέρω τόπο υλοποίησης της επένδυσης.</w:t>
      </w:r>
    </w:p>
    <w:p w14:paraId="15A80E05" w14:textId="77777777" w:rsidR="00E273C0" w:rsidRPr="00763F2C" w:rsidRDefault="00E273C0" w:rsidP="00763F2C">
      <w:pPr>
        <w:pStyle w:val="a7"/>
        <w:numPr>
          <w:ilvl w:val="0"/>
          <w:numId w:val="24"/>
        </w:numPr>
        <w:spacing w:after="120" w:line="288" w:lineRule="auto"/>
        <w:jc w:val="both"/>
        <w:rPr>
          <w:rFonts w:ascii="Times New Roman" w:hAnsi="Times New Roman" w:cs="Times New Roman"/>
          <w:sz w:val="24"/>
          <w:szCs w:val="24"/>
          <w:lang w:val="el-GR"/>
        </w:rPr>
      </w:pPr>
      <w:r w:rsidRPr="00763F2C">
        <w:rPr>
          <w:rFonts w:ascii="Times New Roman" w:hAnsi="Times New Roman" w:cs="Times New Roman"/>
          <w:sz w:val="24"/>
          <w:szCs w:val="24"/>
          <w:lang w:val="el-GR"/>
        </w:rPr>
        <w:t>Να προσκομίσουν αποδεικτικά στοιχεία εξασφάλισης της Ιδιωτικής Συμμετοχής σε ποσοστό που θα ορισθεί στην Αναλυτική Πρόσκληση.</w:t>
      </w:r>
    </w:p>
    <w:p w14:paraId="6B2E9282" w14:textId="77777777" w:rsidR="00E273C0" w:rsidRPr="00763F2C" w:rsidRDefault="00E273C0" w:rsidP="00763F2C">
      <w:pPr>
        <w:pStyle w:val="a7"/>
        <w:numPr>
          <w:ilvl w:val="0"/>
          <w:numId w:val="24"/>
        </w:numPr>
        <w:spacing w:after="120" w:line="288" w:lineRule="auto"/>
        <w:jc w:val="both"/>
        <w:rPr>
          <w:rFonts w:ascii="Times New Roman" w:hAnsi="Times New Roman" w:cs="Times New Roman"/>
          <w:sz w:val="24"/>
          <w:szCs w:val="24"/>
          <w:lang w:val="el-GR"/>
        </w:rPr>
      </w:pPr>
      <w:r w:rsidRPr="00763F2C">
        <w:rPr>
          <w:rFonts w:ascii="Times New Roman" w:hAnsi="Times New Roman" w:cs="Times New Roman"/>
          <w:sz w:val="24"/>
          <w:szCs w:val="24"/>
          <w:lang w:val="el-GR"/>
        </w:rPr>
        <w:t>Να πληρούν τις προϋποθέσεις εφαρμογής του Καν. ΕΕ 1407/2013 (</w:t>
      </w:r>
      <w:r w:rsidRPr="00763F2C">
        <w:rPr>
          <w:rFonts w:ascii="Times New Roman" w:hAnsi="Times New Roman" w:cs="Times New Roman"/>
          <w:sz w:val="24"/>
          <w:szCs w:val="24"/>
        </w:rPr>
        <w:t>De</w:t>
      </w:r>
      <w:r w:rsidRPr="00763F2C">
        <w:rPr>
          <w:rFonts w:ascii="Times New Roman" w:hAnsi="Times New Roman" w:cs="Times New Roman"/>
          <w:sz w:val="24"/>
          <w:szCs w:val="24"/>
          <w:lang w:val="el-GR"/>
        </w:rPr>
        <w:t xml:space="preserve"> </w:t>
      </w:r>
      <w:r w:rsidRPr="00763F2C">
        <w:rPr>
          <w:rFonts w:ascii="Times New Roman" w:hAnsi="Times New Roman" w:cs="Times New Roman"/>
          <w:sz w:val="24"/>
          <w:szCs w:val="24"/>
        </w:rPr>
        <w:t>Minimis</w:t>
      </w:r>
      <w:r w:rsidRPr="00763F2C">
        <w:rPr>
          <w:rFonts w:ascii="Times New Roman" w:hAnsi="Times New Roman" w:cs="Times New Roman"/>
          <w:sz w:val="24"/>
          <w:szCs w:val="24"/>
          <w:lang w:val="el-GR"/>
        </w:rPr>
        <w:t>) στον οποίο στηρίζεται η Δράση.</w:t>
      </w:r>
    </w:p>
    <w:p w14:paraId="74B76402" w14:textId="77777777" w:rsidR="00E273C0" w:rsidRPr="00763F2C" w:rsidRDefault="00E273C0" w:rsidP="00763F2C">
      <w:pPr>
        <w:spacing w:after="120" w:line="288" w:lineRule="auto"/>
        <w:jc w:val="both"/>
        <w:rPr>
          <w:rFonts w:ascii="Times New Roman" w:hAnsi="Times New Roman" w:cs="Times New Roman"/>
          <w:sz w:val="24"/>
          <w:szCs w:val="24"/>
        </w:rPr>
      </w:pPr>
      <w:r w:rsidRPr="00763F2C">
        <w:rPr>
          <w:rFonts w:ascii="Times New Roman" w:hAnsi="Times New Roman" w:cs="Times New Roman"/>
          <w:sz w:val="24"/>
          <w:szCs w:val="24"/>
        </w:rPr>
        <w:t>Το σύνολο των προϋποθέσεων συμμετοχής θα ορισθούν στην Αναλυτική Πρόσκληση της Δράσης. Επισημαίνεται ότι:</w:t>
      </w:r>
    </w:p>
    <w:p w14:paraId="3A849863" w14:textId="77777777" w:rsidR="00E273C0" w:rsidRPr="00763F2C" w:rsidRDefault="00E273C0" w:rsidP="00763F2C">
      <w:pPr>
        <w:pStyle w:val="a7"/>
        <w:numPr>
          <w:ilvl w:val="0"/>
          <w:numId w:val="28"/>
        </w:numPr>
        <w:spacing w:after="120" w:line="288" w:lineRule="auto"/>
        <w:jc w:val="both"/>
        <w:rPr>
          <w:rFonts w:ascii="Times New Roman" w:hAnsi="Times New Roman" w:cs="Times New Roman"/>
          <w:sz w:val="24"/>
          <w:szCs w:val="24"/>
          <w:lang w:val="el-GR"/>
        </w:rPr>
      </w:pPr>
      <w:r w:rsidRPr="00763F2C">
        <w:rPr>
          <w:rFonts w:ascii="Times New Roman" w:hAnsi="Times New Roman" w:cs="Times New Roman"/>
          <w:sz w:val="24"/>
          <w:szCs w:val="24"/>
          <w:lang w:val="el-GR"/>
        </w:rPr>
        <w:t>θα πρέπει να παραμείνει ίδια η εταιρική/μετοχική σύνθεση του επενδυτικού σχεδίου κατά την υλοποίηση, μέχρι την ολοκλήρωση του φυσικού και οικονομικού αντικειμένου και την αποπληρωμή της επένδυσης και για μία πενταετία από αυτήν</w:t>
      </w:r>
    </w:p>
    <w:p w14:paraId="0BD6EAF4" w14:textId="77777777" w:rsidR="00E273C0" w:rsidRPr="00763F2C" w:rsidRDefault="00E273C0" w:rsidP="00763F2C">
      <w:pPr>
        <w:pStyle w:val="a7"/>
        <w:numPr>
          <w:ilvl w:val="0"/>
          <w:numId w:val="28"/>
        </w:numPr>
        <w:spacing w:after="120" w:line="288" w:lineRule="auto"/>
        <w:jc w:val="both"/>
        <w:rPr>
          <w:rFonts w:ascii="Times New Roman" w:hAnsi="Times New Roman" w:cs="Times New Roman"/>
          <w:sz w:val="24"/>
          <w:szCs w:val="24"/>
          <w:lang w:val="el-GR"/>
        </w:rPr>
      </w:pPr>
      <w:r w:rsidRPr="00763F2C">
        <w:rPr>
          <w:rFonts w:ascii="Times New Roman" w:hAnsi="Times New Roman" w:cs="Times New Roman"/>
          <w:sz w:val="24"/>
          <w:szCs w:val="24"/>
          <w:lang w:val="el-GR"/>
        </w:rPr>
        <w:t>δεν είναι επιτρεπτή η συμμετοχή Φυσικού/Νομικού Προσώπου ως εταίρου/μετόχου σε περισσότερες από μία υποβαλλόμενες αιτήσεις χρηματοδότησης</w:t>
      </w:r>
    </w:p>
    <w:p w14:paraId="4F005613" w14:textId="77777777" w:rsidR="00E273C0" w:rsidRPr="00763F2C" w:rsidRDefault="00E273C0" w:rsidP="00763F2C">
      <w:pPr>
        <w:pStyle w:val="a7"/>
        <w:numPr>
          <w:ilvl w:val="0"/>
          <w:numId w:val="28"/>
        </w:numPr>
        <w:spacing w:after="120" w:line="288" w:lineRule="auto"/>
        <w:jc w:val="both"/>
        <w:rPr>
          <w:rFonts w:ascii="Times New Roman" w:hAnsi="Times New Roman" w:cs="Times New Roman"/>
          <w:sz w:val="24"/>
          <w:szCs w:val="24"/>
          <w:lang w:val="el-GR"/>
        </w:rPr>
      </w:pPr>
      <w:r w:rsidRPr="00763F2C">
        <w:rPr>
          <w:rFonts w:ascii="Times New Roman" w:hAnsi="Times New Roman" w:cs="Times New Roman"/>
          <w:sz w:val="24"/>
          <w:szCs w:val="24"/>
          <w:lang w:val="el-GR"/>
        </w:rPr>
        <w:t>δεν είναι επιτρεπτή η συμμετοχή Φυσικού/ Νομικού Προσώπου ως εταίρου αν διαθέτει ήδη επιχειρηματική δραστηριότητα σε λειτουργία στον ΚΑΔ (2ψηφια ανάλυση) της επένδυσης στην ίδια ή σε άλλη περιφέρεια.</w:t>
      </w:r>
    </w:p>
    <w:p w14:paraId="5AF30306" w14:textId="77777777" w:rsidR="00E273C0" w:rsidRPr="00763F2C" w:rsidRDefault="00E273C0" w:rsidP="00763F2C">
      <w:pPr>
        <w:pStyle w:val="a7"/>
        <w:numPr>
          <w:ilvl w:val="0"/>
          <w:numId w:val="28"/>
        </w:numPr>
        <w:spacing w:after="120" w:line="288" w:lineRule="auto"/>
        <w:jc w:val="both"/>
        <w:rPr>
          <w:rFonts w:ascii="Times New Roman" w:hAnsi="Times New Roman" w:cs="Times New Roman"/>
          <w:sz w:val="24"/>
          <w:szCs w:val="24"/>
          <w:lang w:val="el-GR"/>
        </w:rPr>
      </w:pPr>
      <w:r w:rsidRPr="00763F2C">
        <w:rPr>
          <w:rFonts w:ascii="Times New Roman" w:hAnsi="Times New Roman" w:cs="Times New Roman"/>
          <w:sz w:val="24"/>
          <w:szCs w:val="24"/>
          <w:lang w:val="el-GR"/>
        </w:rPr>
        <w:t>δεν είναι επιτρεπτή η ουσιώδης αλλαγή του φυσικού αντικειμένου του έργου και του σχετικού ΚΑΔ επένδυσης κατά την υλοποίηση, μέχρι την ολοκλήρωση του φυσικού και οικονομικού αντικειμένου και την αποπληρωμή της επένδυσης και για μία πενταετία από αυτήν. Για παράδειγμα δεν είναι επιτρεπτή η αλλαγή δραστηριότητας από ΚΑΔ Μεταποίησης σε ΚΑΔ Υπηρεσιών και το αντίστροφο</w:t>
      </w:r>
    </w:p>
    <w:p w14:paraId="37C7DB24" w14:textId="77777777" w:rsidR="00E273C0" w:rsidRPr="00763F2C" w:rsidRDefault="00E273C0" w:rsidP="00763F2C">
      <w:pPr>
        <w:spacing w:after="120" w:line="288" w:lineRule="auto"/>
        <w:jc w:val="both"/>
        <w:rPr>
          <w:rFonts w:ascii="Times New Roman" w:hAnsi="Times New Roman" w:cs="Times New Roman"/>
          <w:b/>
          <w:bCs/>
          <w:sz w:val="24"/>
          <w:szCs w:val="24"/>
          <w:u w:val="single"/>
        </w:rPr>
      </w:pPr>
    </w:p>
    <w:p w14:paraId="1F22AB64" w14:textId="77777777" w:rsidR="006B0ACF" w:rsidRPr="00763F2C" w:rsidRDefault="006B0ACF" w:rsidP="00763F2C">
      <w:pPr>
        <w:spacing w:after="120" w:line="288" w:lineRule="auto"/>
        <w:jc w:val="both"/>
        <w:rPr>
          <w:rFonts w:ascii="Times New Roman" w:hAnsi="Times New Roman" w:cs="Times New Roman"/>
          <w:b/>
          <w:bCs/>
          <w:sz w:val="24"/>
          <w:szCs w:val="24"/>
          <w:u w:val="single"/>
        </w:rPr>
      </w:pPr>
      <w:r w:rsidRPr="00763F2C">
        <w:rPr>
          <w:rFonts w:ascii="Times New Roman" w:hAnsi="Times New Roman" w:cs="Times New Roman"/>
          <w:b/>
          <w:bCs/>
          <w:sz w:val="24"/>
          <w:szCs w:val="24"/>
          <w:u w:val="single"/>
        </w:rPr>
        <w:br w:type="page"/>
      </w:r>
    </w:p>
    <w:p w14:paraId="092EC561" w14:textId="397D834B" w:rsidR="00E273C0" w:rsidRPr="00763F2C" w:rsidRDefault="00E273C0" w:rsidP="00763F2C">
      <w:pPr>
        <w:spacing w:after="120" w:line="288" w:lineRule="auto"/>
        <w:jc w:val="both"/>
        <w:rPr>
          <w:rFonts w:ascii="Times New Roman" w:hAnsi="Times New Roman" w:cs="Times New Roman"/>
          <w:b/>
          <w:bCs/>
          <w:sz w:val="24"/>
          <w:szCs w:val="24"/>
          <w:u w:val="single"/>
        </w:rPr>
      </w:pPr>
      <w:r w:rsidRPr="00763F2C">
        <w:rPr>
          <w:rFonts w:ascii="Times New Roman" w:hAnsi="Times New Roman" w:cs="Times New Roman"/>
          <w:b/>
          <w:bCs/>
          <w:sz w:val="24"/>
          <w:szCs w:val="24"/>
          <w:u w:val="single"/>
        </w:rPr>
        <w:lastRenderedPageBreak/>
        <w:t>Προϋπολογισμός επενδυτικών σχεδίων – Ποσοστό ενίσχυσης</w:t>
      </w:r>
    </w:p>
    <w:p w14:paraId="6256D0C9" w14:textId="77777777" w:rsidR="00E273C0" w:rsidRPr="00763F2C" w:rsidRDefault="00E273C0" w:rsidP="00763F2C">
      <w:pPr>
        <w:spacing w:after="120" w:line="288" w:lineRule="auto"/>
        <w:jc w:val="both"/>
        <w:rPr>
          <w:rFonts w:ascii="Times New Roman" w:hAnsi="Times New Roman" w:cs="Times New Roman"/>
          <w:sz w:val="24"/>
          <w:szCs w:val="24"/>
        </w:rPr>
      </w:pPr>
      <w:r w:rsidRPr="00763F2C">
        <w:rPr>
          <w:rFonts w:ascii="Times New Roman" w:hAnsi="Times New Roman" w:cs="Times New Roman"/>
          <w:sz w:val="24"/>
          <w:szCs w:val="24"/>
        </w:rPr>
        <w:t>Ο επιχορηγούμενος προϋπολογισμός κάθε επενδυτικού σχεδίου κυμαίνεται από 40.000€ έως 400.000€. Η επιχορήγηση θα ανέρχεται σε ποσοστό 45% επί των υποβαλλόμενων δαπανών. Το ποσοστό ενίσχυσης δύναται να προσαυξάνεται κατά:</w:t>
      </w:r>
    </w:p>
    <w:p w14:paraId="379491DA" w14:textId="77777777" w:rsidR="00E273C0" w:rsidRPr="00763F2C" w:rsidRDefault="00E273C0" w:rsidP="00763F2C">
      <w:pPr>
        <w:spacing w:after="120" w:line="288" w:lineRule="auto"/>
        <w:jc w:val="both"/>
        <w:rPr>
          <w:rFonts w:ascii="Times New Roman" w:hAnsi="Times New Roman" w:cs="Times New Roman"/>
          <w:sz w:val="24"/>
          <w:szCs w:val="24"/>
        </w:rPr>
      </w:pPr>
      <w:r w:rsidRPr="00763F2C">
        <w:rPr>
          <w:rFonts w:ascii="Times New Roman" w:hAnsi="Times New Roman" w:cs="Times New Roman"/>
          <w:sz w:val="24"/>
          <w:szCs w:val="24"/>
        </w:rPr>
        <w:t xml:space="preserve">(α) </w:t>
      </w:r>
      <w:r w:rsidRPr="00763F2C">
        <w:rPr>
          <w:rFonts w:ascii="Times New Roman" w:hAnsi="Times New Roman" w:cs="Times New Roman"/>
          <w:b/>
          <w:bCs/>
          <w:sz w:val="24"/>
          <w:szCs w:val="24"/>
        </w:rPr>
        <w:t>10%</w:t>
      </w:r>
      <w:r w:rsidRPr="00763F2C">
        <w:rPr>
          <w:rFonts w:ascii="Times New Roman" w:hAnsi="Times New Roman" w:cs="Times New Roman"/>
          <w:sz w:val="24"/>
          <w:szCs w:val="24"/>
        </w:rPr>
        <w:t xml:space="preserve"> εφόσον η επένδυση πραγματοποιηθεί σε απομακρυσμένη ή πυρόπληκτη ή πλημμυροπαθή περιοχή ή μικρά νησιά και</w:t>
      </w:r>
    </w:p>
    <w:p w14:paraId="59AC2213" w14:textId="77777777" w:rsidR="00E273C0" w:rsidRPr="00763F2C" w:rsidRDefault="00E273C0" w:rsidP="00763F2C">
      <w:pPr>
        <w:spacing w:after="120" w:line="288" w:lineRule="auto"/>
        <w:jc w:val="both"/>
        <w:rPr>
          <w:rFonts w:ascii="Times New Roman" w:hAnsi="Times New Roman" w:cs="Times New Roman"/>
          <w:sz w:val="24"/>
          <w:szCs w:val="24"/>
        </w:rPr>
      </w:pPr>
      <w:r w:rsidRPr="00763F2C">
        <w:rPr>
          <w:rFonts w:ascii="Times New Roman" w:hAnsi="Times New Roman" w:cs="Times New Roman"/>
          <w:sz w:val="24"/>
          <w:szCs w:val="24"/>
        </w:rPr>
        <w:t>(β) επιπλέον κατά 5% με την επίτευξη του στόχου της απασχόλησης τουλάχιστον 1 ΕΜΕ, τον πρώτο χρόνο μετά την ολοκλήρωση της επένδυσης</w:t>
      </w:r>
    </w:p>
    <w:p w14:paraId="3BA4107D" w14:textId="77777777" w:rsidR="00E273C0" w:rsidRPr="00763F2C" w:rsidRDefault="00E273C0" w:rsidP="00763F2C">
      <w:pPr>
        <w:spacing w:after="120" w:line="288" w:lineRule="auto"/>
        <w:jc w:val="both"/>
        <w:rPr>
          <w:rFonts w:ascii="Times New Roman" w:hAnsi="Times New Roman" w:cs="Times New Roman"/>
          <w:b/>
          <w:bCs/>
          <w:sz w:val="24"/>
          <w:szCs w:val="24"/>
          <w:u w:val="single"/>
        </w:rPr>
      </w:pPr>
      <w:r w:rsidRPr="00763F2C">
        <w:rPr>
          <w:rFonts w:ascii="Times New Roman" w:hAnsi="Times New Roman" w:cs="Times New Roman"/>
          <w:b/>
          <w:bCs/>
          <w:sz w:val="24"/>
          <w:szCs w:val="24"/>
          <w:u w:val="single"/>
        </w:rPr>
        <w:t>Ενισχυόμενες Δαπάνες</w:t>
      </w:r>
    </w:p>
    <w:p w14:paraId="2019603B" w14:textId="77777777" w:rsidR="00E273C0" w:rsidRPr="00763F2C" w:rsidRDefault="00E273C0" w:rsidP="00763F2C">
      <w:pPr>
        <w:spacing w:after="120" w:line="288" w:lineRule="auto"/>
        <w:jc w:val="both"/>
        <w:rPr>
          <w:rFonts w:ascii="Times New Roman" w:hAnsi="Times New Roman" w:cs="Times New Roman"/>
          <w:sz w:val="24"/>
          <w:szCs w:val="24"/>
        </w:rPr>
      </w:pPr>
      <w:r w:rsidRPr="00763F2C">
        <w:rPr>
          <w:rFonts w:ascii="Times New Roman" w:hAnsi="Times New Roman" w:cs="Times New Roman"/>
          <w:sz w:val="24"/>
          <w:szCs w:val="24"/>
        </w:rPr>
        <w:t>Οι δαπάνες που θα μπορούν να ενταχθούν προς ενίσχυση αναμένεται να εντάσσονται στις κάτωθι κατηγορίες:</w:t>
      </w:r>
    </w:p>
    <w:p w14:paraId="088D8297" w14:textId="77777777" w:rsidR="00E273C0" w:rsidRPr="00763F2C" w:rsidRDefault="00E273C0" w:rsidP="00763F2C">
      <w:pPr>
        <w:pStyle w:val="a7"/>
        <w:numPr>
          <w:ilvl w:val="0"/>
          <w:numId w:val="27"/>
        </w:numPr>
        <w:spacing w:after="120" w:line="288" w:lineRule="auto"/>
        <w:jc w:val="both"/>
        <w:rPr>
          <w:rFonts w:ascii="Times New Roman" w:hAnsi="Times New Roman" w:cs="Times New Roman"/>
          <w:sz w:val="24"/>
          <w:szCs w:val="24"/>
        </w:rPr>
      </w:pPr>
      <w:r w:rsidRPr="00763F2C">
        <w:rPr>
          <w:rFonts w:ascii="Times New Roman" w:hAnsi="Times New Roman" w:cs="Times New Roman"/>
          <w:sz w:val="24"/>
          <w:szCs w:val="24"/>
        </w:rPr>
        <w:t>Κτίρια, Εγκαταστάσεις και Περιβάλλον Χώρος</w:t>
      </w:r>
    </w:p>
    <w:p w14:paraId="37D79573" w14:textId="77777777" w:rsidR="00E273C0" w:rsidRPr="00763F2C" w:rsidRDefault="00E273C0" w:rsidP="00763F2C">
      <w:pPr>
        <w:pStyle w:val="a7"/>
        <w:numPr>
          <w:ilvl w:val="0"/>
          <w:numId w:val="27"/>
        </w:numPr>
        <w:spacing w:after="120" w:line="288" w:lineRule="auto"/>
        <w:jc w:val="both"/>
        <w:rPr>
          <w:rFonts w:ascii="Times New Roman" w:hAnsi="Times New Roman" w:cs="Times New Roman"/>
          <w:sz w:val="24"/>
          <w:szCs w:val="24"/>
        </w:rPr>
      </w:pPr>
      <w:r w:rsidRPr="00763F2C">
        <w:rPr>
          <w:rFonts w:ascii="Times New Roman" w:hAnsi="Times New Roman" w:cs="Times New Roman"/>
          <w:sz w:val="24"/>
          <w:szCs w:val="24"/>
        </w:rPr>
        <w:t>Μηχανήματα – Εξοπλισμός</w:t>
      </w:r>
    </w:p>
    <w:p w14:paraId="648D3843" w14:textId="77777777" w:rsidR="00E273C0" w:rsidRPr="00763F2C" w:rsidRDefault="00E273C0" w:rsidP="00763F2C">
      <w:pPr>
        <w:pStyle w:val="a7"/>
        <w:numPr>
          <w:ilvl w:val="0"/>
          <w:numId w:val="27"/>
        </w:numPr>
        <w:spacing w:after="120" w:line="288" w:lineRule="auto"/>
        <w:jc w:val="both"/>
        <w:rPr>
          <w:rFonts w:ascii="Times New Roman" w:hAnsi="Times New Roman" w:cs="Times New Roman"/>
          <w:sz w:val="24"/>
          <w:szCs w:val="24"/>
        </w:rPr>
      </w:pPr>
      <w:r w:rsidRPr="00763F2C">
        <w:rPr>
          <w:rFonts w:ascii="Times New Roman" w:hAnsi="Times New Roman" w:cs="Times New Roman"/>
          <w:sz w:val="24"/>
          <w:szCs w:val="24"/>
        </w:rPr>
        <w:t>Ψηφιακός Εξοπλισμός και Λογισμικό</w:t>
      </w:r>
    </w:p>
    <w:p w14:paraId="18B45A3A" w14:textId="77777777" w:rsidR="00E273C0" w:rsidRPr="00763F2C" w:rsidRDefault="00E273C0" w:rsidP="00763F2C">
      <w:pPr>
        <w:pStyle w:val="a7"/>
        <w:numPr>
          <w:ilvl w:val="0"/>
          <w:numId w:val="27"/>
        </w:numPr>
        <w:spacing w:after="120" w:line="288" w:lineRule="auto"/>
        <w:jc w:val="both"/>
        <w:rPr>
          <w:rFonts w:ascii="Times New Roman" w:hAnsi="Times New Roman" w:cs="Times New Roman"/>
          <w:sz w:val="24"/>
          <w:szCs w:val="24"/>
        </w:rPr>
      </w:pPr>
      <w:r w:rsidRPr="00763F2C">
        <w:rPr>
          <w:rFonts w:ascii="Times New Roman" w:hAnsi="Times New Roman" w:cs="Times New Roman"/>
          <w:sz w:val="24"/>
          <w:szCs w:val="24"/>
        </w:rPr>
        <w:t>Λοιπός Εξοπλισμός</w:t>
      </w:r>
    </w:p>
    <w:p w14:paraId="59F62E86" w14:textId="77777777" w:rsidR="00E273C0" w:rsidRPr="00763F2C" w:rsidRDefault="00E273C0" w:rsidP="00763F2C">
      <w:pPr>
        <w:pStyle w:val="a7"/>
        <w:numPr>
          <w:ilvl w:val="0"/>
          <w:numId w:val="27"/>
        </w:numPr>
        <w:spacing w:after="120" w:line="288" w:lineRule="auto"/>
        <w:jc w:val="both"/>
        <w:rPr>
          <w:rFonts w:ascii="Times New Roman" w:hAnsi="Times New Roman" w:cs="Times New Roman"/>
          <w:sz w:val="24"/>
          <w:szCs w:val="24"/>
          <w:lang w:val="el-GR"/>
        </w:rPr>
      </w:pPr>
      <w:r w:rsidRPr="00763F2C">
        <w:rPr>
          <w:rFonts w:ascii="Times New Roman" w:hAnsi="Times New Roman" w:cs="Times New Roman"/>
          <w:sz w:val="24"/>
          <w:szCs w:val="24"/>
          <w:lang w:val="el-GR"/>
        </w:rPr>
        <w:t>Ενισχύσεις πρώτης λειτουργίας (εκκίνησης ΜΜΕ)</w:t>
      </w:r>
    </w:p>
    <w:p w14:paraId="5463A125" w14:textId="77777777" w:rsidR="00E273C0" w:rsidRPr="00763F2C" w:rsidRDefault="00E273C0" w:rsidP="00763F2C">
      <w:pPr>
        <w:pStyle w:val="a7"/>
        <w:numPr>
          <w:ilvl w:val="0"/>
          <w:numId w:val="27"/>
        </w:numPr>
        <w:spacing w:after="120" w:line="288" w:lineRule="auto"/>
        <w:jc w:val="both"/>
        <w:rPr>
          <w:rFonts w:ascii="Times New Roman" w:hAnsi="Times New Roman" w:cs="Times New Roman"/>
          <w:sz w:val="24"/>
          <w:szCs w:val="24"/>
        </w:rPr>
      </w:pPr>
      <w:r w:rsidRPr="00763F2C">
        <w:rPr>
          <w:rFonts w:ascii="Times New Roman" w:hAnsi="Times New Roman" w:cs="Times New Roman"/>
          <w:sz w:val="24"/>
          <w:szCs w:val="24"/>
        </w:rPr>
        <w:t>Δαπ</w:t>
      </w:r>
      <w:proofErr w:type="spellStart"/>
      <w:r w:rsidRPr="00763F2C">
        <w:rPr>
          <w:rFonts w:ascii="Times New Roman" w:hAnsi="Times New Roman" w:cs="Times New Roman"/>
          <w:sz w:val="24"/>
          <w:szCs w:val="24"/>
        </w:rPr>
        <w:t>άνες</w:t>
      </w:r>
      <w:proofErr w:type="spellEnd"/>
      <w:r w:rsidRPr="00763F2C">
        <w:rPr>
          <w:rFonts w:ascii="Times New Roman" w:hAnsi="Times New Roman" w:cs="Times New Roman"/>
          <w:sz w:val="24"/>
          <w:szCs w:val="24"/>
        </w:rPr>
        <w:t xml:space="preserve"> </w:t>
      </w:r>
      <w:proofErr w:type="spellStart"/>
      <w:r w:rsidRPr="00763F2C">
        <w:rPr>
          <w:rFonts w:ascii="Times New Roman" w:hAnsi="Times New Roman" w:cs="Times New Roman"/>
          <w:sz w:val="24"/>
          <w:szCs w:val="24"/>
        </w:rPr>
        <w:t>Προ</w:t>
      </w:r>
      <w:proofErr w:type="spellEnd"/>
      <w:r w:rsidRPr="00763F2C">
        <w:rPr>
          <w:rFonts w:ascii="Times New Roman" w:hAnsi="Times New Roman" w:cs="Times New Roman"/>
          <w:sz w:val="24"/>
          <w:szCs w:val="24"/>
        </w:rPr>
        <w:t xml:space="preserve">βολής και </w:t>
      </w:r>
      <w:proofErr w:type="spellStart"/>
      <w:r w:rsidRPr="00763F2C">
        <w:rPr>
          <w:rFonts w:ascii="Times New Roman" w:hAnsi="Times New Roman" w:cs="Times New Roman"/>
          <w:sz w:val="24"/>
          <w:szCs w:val="24"/>
        </w:rPr>
        <w:t>Εξωστρέφει</w:t>
      </w:r>
      <w:proofErr w:type="spellEnd"/>
      <w:r w:rsidRPr="00763F2C">
        <w:rPr>
          <w:rFonts w:ascii="Times New Roman" w:hAnsi="Times New Roman" w:cs="Times New Roman"/>
          <w:sz w:val="24"/>
          <w:szCs w:val="24"/>
        </w:rPr>
        <w:t>ας</w:t>
      </w:r>
    </w:p>
    <w:p w14:paraId="0D29F9D0" w14:textId="77777777" w:rsidR="00E273C0" w:rsidRPr="00763F2C" w:rsidRDefault="00E273C0" w:rsidP="00763F2C">
      <w:pPr>
        <w:pStyle w:val="a7"/>
        <w:numPr>
          <w:ilvl w:val="0"/>
          <w:numId w:val="27"/>
        </w:numPr>
        <w:spacing w:after="120" w:line="288" w:lineRule="auto"/>
        <w:jc w:val="both"/>
        <w:rPr>
          <w:rFonts w:ascii="Times New Roman" w:hAnsi="Times New Roman" w:cs="Times New Roman"/>
          <w:sz w:val="24"/>
          <w:szCs w:val="24"/>
        </w:rPr>
      </w:pPr>
      <w:r w:rsidRPr="00763F2C">
        <w:rPr>
          <w:rFonts w:ascii="Times New Roman" w:hAnsi="Times New Roman" w:cs="Times New Roman"/>
          <w:sz w:val="24"/>
          <w:szCs w:val="24"/>
        </w:rPr>
        <w:t>Τεχνικές Μελέτες</w:t>
      </w:r>
    </w:p>
    <w:p w14:paraId="1E614D39" w14:textId="77777777" w:rsidR="00E273C0" w:rsidRPr="00763F2C" w:rsidRDefault="00E273C0" w:rsidP="00763F2C">
      <w:pPr>
        <w:pStyle w:val="a7"/>
        <w:numPr>
          <w:ilvl w:val="0"/>
          <w:numId w:val="27"/>
        </w:numPr>
        <w:spacing w:after="120" w:line="288" w:lineRule="auto"/>
        <w:jc w:val="both"/>
        <w:rPr>
          <w:rFonts w:ascii="Times New Roman" w:hAnsi="Times New Roman" w:cs="Times New Roman"/>
          <w:sz w:val="24"/>
          <w:szCs w:val="24"/>
        </w:rPr>
      </w:pPr>
      <w:r w:rsidRPr="00763F2C">
        <w:rPr>
          <w:rFonts w:ascii="Times New Roman" w:hAnsi="Times New Roman" w:cs="Times New Roman"/>
          <w:sz w:val="24"/>
          <w:szCs w:val="24"/>
        </w:rPr>
        <w:t>Συμβουλευτικές Υπηρεσίες</w:t>
      </w:r>
    </w:p>
    <w:p w14:paraId="15DC4114" w14:textId="77777777" w:rsidR="00E273C0" w:rsidRPr="00763F2C" w:rsidRDefault="00E273C0" w:rsidP="00763F2C">
      <w:pPr>
        <w:pStyle w:val="a7"/>
        <w:numPr>
          <w:ilvl w:val="0"/>
          <w:numId w:val="27"/>
        </w:numPr>
        <w:spacing w:after="120" w:line="288" w:lineRule="auto"/>
        <w:jc w:val="both"/>
        <w:rPr>
          <w:rFonts w:ascii="Times New Roman" w:hAnsi="Times New Roman" w:cs="Times New Roman"/>
          <w:sz w:val="24"/>
          <w:szCs w:val="24"/>
        </w:rPr>
      </w:pPr>
      <w:r w:rsidRPr="00763F2C">
        <w:rPr>
          <w:rFonts w:ascii="Times New Roman" w:hAnsi="Times New Roman" w:cs="Times New Roman"/>
          <w:sz w:val="24"/>
          <w:szCs w:val="24"/>
        </w:rPr>
        <w:t>Μεταφορικά Μέσα</w:t>
      </w:r>
    </w:p>
    <w:p w14:paraId="3DB946AD" w14:textId="77777777" w:rsidR="00E273C0" w:rsidRPr="00763F2C" w:rsidRDefault="00E273C0" w:rsidP="00763F2C">
      <w:pPr>
        <w:pStyle w:val="a7"/>
        <w:numPr>
          <w:ilvl w:val="0"/>
          <w:numId w:val="27"/>
        </w:numPr>
        <w:spacing w:after="120" w:line="288" w:lineRule="auto"/>
        <w:jc w:val="both"/>
        <w:rPr>
          <w:rFonts w:ascii="Times New Roman" w:hAnsi="Times New Roman" w:cs="Times New Roman"/>
          <w:sz w:val="24"/>
          <w:szCs w:val="24"/>
          <w:lang w:val="el-GR"/>
        </w:rPr>
      </w:pPr>
      <w:r w:rsidRPr="00763F2C">
        <w:rPr>
          <w:rFonts w:ascii="Times New Roman" w:hAnsi="Times New Roman" w:cs="Times New Roman"/>
          <w:sz w:val="24"/>
          <w:szCs w:val="24"/>
          <w:lang w:val="el-GR"/>
        </w:rPr>
        <w:t>Έμμεσες δαπάνες (έως 7% επί των επιλέξιμων άμεσων δαπανών του επενδυτικού σχεδίου)</w:t>
      </w:r>
    </w:p>
    <w:p w14:paraId="07D92D59" w14:textId="77777777" w:rsidR="00E273C0" w:rsidRPr="00763F2C" w:rsidRDefault="00E273C0" w:rsidP="00763F2C">
      <w:pPr>
        <w:spacing w:after="120" w:line="288" w:lineRule="auto"/>
        <w:jc w:val="both"/>
        <w:rPr>
          <w:rFonts w:ascii="Times New Roman" w:hAnsi="Times New Roman" w:cs="Times New Roman"/>
          <w:sz w:val="24"/>
          <w:szCs w:val="24"/>
        </w:rPr>
      </w:pPr>
      <w:r w:rsidRPr="00763F2C">
        <w:rPr>
          <w:rFonts w:ascii="Times New Roman" w:hAnsi="Times New Roman" w:cs="Times New Roman"/>
          <w:sz w:val="24"/>
          <w:szCs w:val="24"/>
        </w:rPr>
        <w:t xml:space="preserve">Οι επιλέξιμες κατηγορίες δαπανών καθώς και το μέγιστο ανώτατο όριο αυτών, θα ορισθούν στην Αναλυτική Πρόσκληση της Δράσης. Ως ημερομηνία έναρξης </w:t>
      </w:r>
      <w:proofErr w:type="spellStart"/>
      <w:r w:rsidRPr="00763F2C">
        <w:rPr>
          <w:rFonts w:ascii="Times New Roman" w:hAnsi="Times New Roman" w:cs="Times New Roman"/>
          <w:sz w:val="24"/>
          <w:szCs w:val="24"/>
        </w:rPr>
        <w:t>επιλεξιμότητας</w:t>
      </w:r>
      <w:proofErr w:type="spellEnd"/>
      <w:r w:rsidRPr="00763F2C">
        <w:rPr>
          <w:rFonts w:ascii="Times New Roman" w:hAnsi="Times New Roman" w:cs="Times New Roman"/>
          <w:sz w:val="24"/>
          <w:szCs w:val="24"/>
        </w:rPr>
        <w:t xml:space="preserve"> δαπανών ορίζεται η ημερομηνία προκήρυξης της Δράσης.</w:t>
      </w:r>
    </w:p>
    <w:p w14:paraId="31AD6249" w14:textId="77777777" w:rsidR="00E273C0" w:rsidRPr="00763F2C" w:rsidRDefault="00E273C0" w:rsidP="00763F2C">
      <w:pPr>
        <w:spacing w:after="120" w:line="288" w:lineRule="auto"/>
        <w:jc w:val="both"/>
        <w:rPr>
          <w:rFonts w:ascii="Times New Roman" w:hAnsi="Times New Roman" w:cs="Times New Roman"/>
          <w:b/>
          <w:bCs/>
          <w:sz w:val="24"/>
          <w:szCs w:val="24"/>
          <w:u w:val="single"/>
        </w:rPr>
      </w:pPr>
      <w:r w:rsidRPr="00763F2C">
        <w:rPr>
          <w:rFonts w:ascii="Times New Roman" w:hAnsi="Times New Roman" w:cs="Times New Roman"/>
          <w:b/>
          <w:bCs/>
          <w:sz w:val="24"/>
          <w:szCs w:val="24"/>
          <w:u w:val="single"/>
        </w:rPr>
        <w:t>Υποβολή – Αξιολόγηση – Ένταξη – Υλοποίηση</w:t>
      </w:r>
    </w:p>
    <w:p w14:paraId="63A051C6" w14:textId="77777777" w:rsidR="00E273C0" w:rsidRPr="00763F2C" w:rsidRDefault="00E273C0" w:rsidP="00763F2C">
      <w:pPr>
        <w:spacing w:after="120" w:line="288" w:lineRule="auto"/>
        <w:jc w:val="both"/>
        <w:rPr>
          <w:rFonts w:ascii="Times New Roman" w:hAnsi="Times New Roman" w:cs="Times New Roman"/>
          <w:sz w:val="24"/>
          <w:szCs w:val="24"/>
        </w:rPr>
      </w:pPr>
      <w:r w:rsidRPr="00763F2C">
        <w:rPr>
          <w:rFonts w:ascii="Times New Roman" w:hAnsi="Times New Roman" w:cs="Times New Roman"/>
          <w:sz w:val="24"/>
          <w:szCs w:val="24"/>
        </w:rPr>
        <w:t>Οι αιτήσεις χρηματοδότησης θα υποβάλλονται μόνον ηλεκτρονικά χωρίς την προσκόμιση φυσικού φάκελου δικαιολογητικών μέσω του Ολοκληρωμένου Πληροφοριακού Συστήματος Διαχείρισης Κρατικών Ενισχύσεων (ΟΠΣΚΕ). Η προθεσμία και ο τρόπος υποβολής, τα απαιτούμενα δικαιολογητικά, οι υποχρεώσεις των δικαιούχων καθώς και οι λοιποί όροι υλοποίησης θα περιγράφουν στην Αναλυτική Πρόσκληση της Δράσης.</w:t>
      </w:r>
    </w:p>
    <w:p w14:paraId="186E0F2B" w14:textId="77777777" w:rsidR="00E273C0" w:rsidRPr="00763F2C" w:rsidRDefault="00E273C0" w:rsidP="00763F2C">
      <w:pPr>
        <w:spacing w:after="120" w:line="288" w:lineRule="auto"/>
        <w:jc w:val="both"/>
        <w:rPr>
          <w:rFonts w:ascii="Times New Roman" w:hAnsi="Times New Roman" w:cs="Times New Roman"/>
          <w:b/>
          <w:bCs/>
          <w:sz w:val="24"/>
          <w:szCs w:val="24"/>
        </w:rPr>
      </w:pPr>
      <w:r w:rsidRPr="00763F2C">
        <w:rPr>
          <w:rFonts w:ascii="Times New Roman" w:hAnsi="Times New Roman" w:cs="Times New Roman"/>
          <w:b/>
          <w:bCs/>
          <w:sz w:val="24"/>
          <w:szCs w:val="24"/>
        </w:rPr>
        <w:t xml:space="preserve">Κατά την αξιολόγηση και τον έλεγχο των αιτήσεων θα γίνουν διασταυρώσεις μέσω Εθνικών Βάσεων Δεδομένων ώστε να επαληθευθεί η ακρίβεια των στοιχείων που περιέχονται σε αυτές και να αποφευχθούν φαινόμενα απάτης σε βάρος του </w:t>
      </w:r>
      <w:proofErr w:type="spellStart"/>
      <w:r w:rsidRPr="00763F2C">
        <w:rPr>
          <w:rFonts w:ascii="Times New Roman" w:hAnsi="Times New Roman" w:cs="Times New Roman"/>
          <w:b/>
          <w:bCs/>
          <w:sz w:val="24"/>
          <w:szCs w:val="24"/>
        </w:rPr>
        <w:t>ενωσιακού</w:t>
      </w:r>
      <w:proofErr w:type="spellEnd"/>
      <w:r w:rsidRPr="00763F2C">
        <w:rPr>
          <w:rFonts w:ascii="Times New Roman" w:hAnsi="Times New Roman" w:cs="Times New Roman"/>
          <w:b/>
          <w:bCs/>
          <w:sz w:val="24"/>
          <w:szCs w:val="24"/>
        </w:rPr>
        <w:t xml:space="preserve"> προϋπολογισμού.</w:t>
      </w:r>
    </w:p>
    <w:p w14:paraId="6C9D5F1C" w14:textId="5CDAAD15" w:rsidR="00E273C0" w:rsidRPr="00763F2C" w:rsidRDefault="00E273C0" w:rsidP="00763F2C">
      <w:pPr>
        <w:spacing w:after="120" w:line="288" w:lineRule="auto"/>
        <w:jc w:val="both"/>
        <w:rPr>
          <w:rFonts w:ascii="Times New Roman" w:hAnsi="Times New Roman" w:cs="Times New Roman"/>
          <w:sz w:val="24"/>
          <w:szCs w:val="24"/>
          <w:highlight w:val="yellow"/>
        </w:rPr>
      </w:pPr>
      <w:r w:rsidRPr="00763F2C">
        <w:rPr>
          <w:rFonts w:ascii="Times New Roman" w:hAnsi="Times New Roman" w:cs="Times New Roman"/>
          <w:sz w:val="24"/>
          <w:szCs w:val="24"/>
        </w:rPr>
        <w:t xml:space="preserve">Η μεθοδολογία που θα εφαρμοστεί για την αξιολόγηση της δράσης είναι η </w:t>
      </w:r>
      <w:r w:rsidRPr="00763F2C">
        <w:rPr>
          <w:rFonts w:ascii="Times New Roman" w:hAnsi="Times New Roman" w:cs="Times New Roman"/>
          <w:b/>
          <w:bCs/>
          <w:sz w:val="24"/>
          <w:szCs w:val="24"/>
        </w:rPr>
        <w:t>Συγκριτική Αξιολόγηση</w:t>
      </w:r>
      <w:r w:rsidRPr="00763F2C">
        <w:rPr>
          <w:rFonts w:ascii="Times New Roman" w:hAnsi="Times New Roman" w:cs="Times New Roman"/>
          <w:sz w:val="24"/>
          <w:szCs w:val="24"/>
        </w:rPr>
        <w:t>.</w:t>
      </w:r>
      <w:r w:rsidR="006C36EA" w:rsidRPr="00763F2C">
        <w:rPr>
          <w:rFonts w:ascii="Times New Roman" w:hAnsi="Times New Roman" w:cs="Times New Roman"/>
          <w:sz w:val="24"/>
          <w:szCs w:val="24"/>
        </w:rPr>
        <w:t xml:space="preserve"> </w:t>
      </w:r>
      <w:r w:rsidRPr="00763F2C">
        <w:rPr>
          <w:rFonts w:ascii="Times New Roman" w:hAnsi="Times New Roman" w:cs="Times New Roman"/>
          <w:sz w:val="24"/>
          <w:szCs w:val="24"/>
        </w:rPr>
        <w:t xml:space="preserve">Αρχικά, θα διενεργείται έλεγχος προϋποθέσεων συμμετοχής και στη </w:t>
      </w:r>
      <w:r w:rsidRPr="00763F2C">
        <w:rPr>
          <w:rFonts w:ascii="Times New Roman" w:hAnsi="Times New Roman" w:cs="Times New Roman"/>
          <w:sz w:val="24"/>
          <w:szCs w:val="24"/>
        </w:rPr>
        <w:lastRenderedPageBreak/>
        <w:t>συνέχεια θα βαθμολογούνται βάσει κριτηρίων που θα ορισθούν στην αναλυτική Πρόσκληση και στα αντίστοιχα παραρτήματα αυτής. Ενδεικτικά, δύνανται να περιλαμβάνονται τα ακόλουθα:</w:t>
      </w:r>
    </w:p>
    <w:p w14:paraId="6C569E4B" w14:textId="77777777" w:rsidR="00E273C0" w:rsidRPr="00763F2C" w:rsidRDefault="00E273C0" w:rsidP="00763F2C">
      <w:pPr>
        <w:pStyle w:val="a7"/>
        <w:numPr>
          <w:ilvl w:val="0"/>
          <w:numId w:val="26"/>
        </w:numPr>
        <w:spacing w:after="120" w:line="288" w:lineRule="auto"/>
        <w:jc w:val="both"/>
        <w:rPr>
          <w:rFonts w:ascii="Times New Roman" w:hAnsi="Times New Roman" w:cs="Times New Roman"/>
          <w:sz w:val="24"/>
          <w:szCs w:val="24"/>
          <w:lang w:val="el-GR"/>
        </w:rPr>
      </w:pPr>
      <w:r w:rsidRPr="00763F2C">
        <w:rPr>
          <w:rFonts w:ascii="Times New Roman" w:hAnsi="Times New Roman" w:cs="Times New Roman"/>
          <w:sz w:val="24"/>
          <w:szCs w:val="24"/>
          <w:lang w:val="el-GR"/>
        </w:rPr>
        <w:t>η περιγραφή, σαφήνεια, πληρότητα και βιωσιμότητα του επενδυτικού σχεδίου</w:t>
      </w:r>
    </w:p>
    <w:p w14:paraId="52039D74" w14:textId="77777777" w:rsidR="00E273C0" w:rsidRPr="00763F2C" w:rsidRDefault="00E273C0" w:rsidP="00763F2C">
      <w:pPr>
        <w:pStyle w:val="a7"/>
        <w:numPr>
          <w:ilvl w:val="0"/>
          <w:numId w:val="26"/>
        </w:numPr>
        <w:spacing w:after="120" w:line="288" w:lineRule="auto"/>
        <w:jc w:val="both"/>
        <w:rPr>
          <w:rFonts w:ascii="Times New Roman" w:hAnsi="Times New Roman" w:cs="Times New Roman"/>
          <w:sz w:val="24"/>
          <w:szCs w:val="24"/>
          <w:lang w:val="el-GR"/>
        </w:rPr>
      </w:pPr>
      <w:r w:rsidRPr="00763F2C">
        <w:rPr>
          <w:rFonts w:ascii="Times New Roman" w:hAnsi="Times New Roman" w:cs="Times New Roman"/>
          <w:sz w:val="24"/>
          <w:szCs w:val="24"/>
          <w:lang w:val="el-GR"/>
        </w:rPr>
        <w:t>η εμπειρία και συνάφεια των γνώσεων εταίρων / μετόχων της επιχείρησης για την υλοποίηση του επενδυτικού σχεδίου</w:t>
      </w:r>
    </w:p>
    <w:p w14:paraId="6FBC4EDE" w14:textId="77777777" w:rsidR="00E273C0" w:rsidRPr="00763F2C" w:rsidRDefault="00E273C0" w:rsidP="00763F2C">
      <w:pPr>
        <w:pStyle w:val="a7"/>
        <w:numPr>
          <w:ilvl w:val="0"/>
          <w:numId w:val="26"/>
        </w:numPr>
        <w:spacing w:after="120" w:line="288" w:lineRule="auto"/>
        <w:jc w:val="both"/>
        <w:rPr>
          <w:rFonts w:ascii="Times New Roman" w:hAnsi="Times New Roman" w:cs="Times New Roman"/>
          <w:sz w:val="24"/>
          <w:szCs w:val="24"/>
          <w:lang w:val="el-GR"/>
        </w:rPr>
      </w:pPr>
      <w:r w:rsidRPr="00763F2C">
        <w:rPr>
          <w:rFonts w:ascii="Times New Roman" w:hAnsi="Times New Roman" w:cs="Times New Roman"/>
          <w:sz w:val="24"/>
          <w:szCs w:val="24"/>
          <w:lang w:val="el-GR"/>
        </w:rPr>
        <w:t>η εξασφάλιση Ιδιωτικής Συμμετοχής με βαθμολόγηση της διαθεσιμότητας των Κεφαλαίων των εταίρων / μετόχων</w:t>
      </w:r>
    </w:p>
    <w:p w14:paraId="262A91C9" w14:textId="77777777" w:rsidR="00E273C0" w:rsidRPr="00763F2C" w:rsidRDefault="00E273C0" w:rsidP="00763F2C">
      <w:pPr>
        <w:pStyle w:val="a7"/>
        <w:numPr>
          <w:ilvl w:val="0"/>
          <w:numId w:val="26"/>
        </w:numPr>
        <w:spacing w:after="120" w:line="288" w:lineRule="auto"/>
        <w:jc w:val="both"/>
        <w:rPr>
          <w:rFonts w:ascii="Times New Roman" w:hAnsi="Times New Roman" w:cs="Times New Roman"/>
          <w:sz w:val="24"/>
          <w:szCs w:val="24"/>
          <w:lang w:val="el-GR"/>
        </w:rPr>
      </w:pPr>
      <w:r w:rsidRPr="00763F2C">
        <w:rPr>
          <w:rFonts w:ascii="Times New Roman" w:hAnsi="Times New Roman" w:cs="Times New Roman"/>
          <w:sz w:val="24"/>
          <w:szCs w:val="24"/>
          <w:lang w:val="el-GR"/>
        </w:rPr>
        <w:t>η ωριμότητα του επενδυτικού σχεδίου όσον αφορά στις απαιτούμενες άδειες για την έναρξη υλοποίησης του</w:t>
      </w:r>
    </w:p>
    <w:p w14:paraId="4A279EAA" w14:textId="77777777" w:rsidR="00E273C0" w:rsidRPr="00763F2C" w:rsidRDefault="00E273C0" w:rsidP="00763F2C">
      <w:pPr>
        <w:pStyle w:val="a7"/>
        <w:numPr>
          <w:ilvl w:val="0"/>
          <w:numId w:val="26"/>
        </w:numPr>
        <w:spacing w:after="120" w:line="288" w:lineRule="auto"/>
        <w:jc w:val="both"/>
        <w:rPr>
          <w:rFonts w:ascii="Times New Roman" w:hAnsi="Times New Roman" w:cs="Times New Roman"/>
          <w:sz w:val="24"/>
          <w:szCs w:val="24"/>
          <w:lang w:val="el-GR"/>
        </w:rPr>
      </w:pPr>
      <w:r w:rsidRPr="00763F2C">
        <w:rPr>
          <w:rFonts w:ascii="Times New Roman" w:hAnsi="Times New Roman" w:cs="Times New Roman"/>
          <w:sz w:val="24"/>
          <w:szCs w:val="24"/>
          <w:lang w:val="el-GR"/>
        </w:rPr>
        <w:t>η συνέπεια με την Εθνική Στρατηγική Έξυπνης Εξειδίκευσης 2021-2027</w:t>
      </w:r>
    </w:p>
    <w:p w14:paraId="6CFEC702" w14:textId="77777777" w:rsidR="00E273C0" w:rsidRPr="00763F2C" w:rsidRDefault="00E273C0" w:rsidP="00763F2C">
      <w:pPr>
        <w:pStyle w:val="a7"/>
        <w:numPr>
          <w:ilvl w:val="0"/>
          <w:numId w:val="26"/>
        </w:numPr>
        <w:spacing w:after="120" w:line="288" w:lineRule="auto"/>
        <w:jc w:val="both"/>
        <w:rPr>
          <w:rFonts w:ascii="Times New Roman" w:hAnsi="Times New Roman" w:cs="Times New Roman"/>
          <w:sz w:val="24"/>
          <w:szCs w:val="24"/>
          <w:lang w:val="el-GR"/>
        </w:rPr>
      </w:pPr>
      <w:r w:rsidRPr="00763F2C">
        <w:rPr>
          <w:rFonts w:ascii="Times New Roman" w:hAnsi="Times New Roman" w:cs="Times New Roman"/>
          <w:sz w:val="24"/>
          <w:szCs w:val="24"/>
          <w:lang w:val="el-GR"/>
        </w:rPr>
        <w:t xml:space="preserve">η </w:t>
      </w:r>
      <w:proofErr w:type="spellStart"/>
      <w:r w:rsidRPr="00763F2C">
        <w:rPr>
          <w:rFonts w:ascii="Times New Roman" w:hAnsi="Times New Roman" w:cs="Times New Roman"/>
          <w:sz w:val="24"/>
          <w:szCs w:val="24"/>
          <w:lang w:val="el-GR"/>
        </w:rPr>
        <w:t>ρεαλιστικότητα</w:t>
      </w:r>
      <w:proofErr w:type="spellEnd"/>
      <w:r w:rsidRPr="00763F2C">
        <w:rPr>
          <w:rFonts w:ascii="Times New Roman" w:hAnsi="Times New Roman" w:cs="Times New Roman"/>
          <w:sz w:val="24"/>
          <w:szCs w:val="24"/>
          <w:lang w:val="el-GR"/>
        </w:rPr>
        <w:t xml:space="preserve"> του χρονοδιαγράμματος υλοποίησης.</w:t>
      </w:r>
    </w:p>
    <w:p w14:paraId="05257D1C" w14:textId="1015D853" w:rsidR="00E273C0" w:rsidRPr="00763F2C" w:rsidRDefault="00E273C0" w:rsidP="00763F2C">
      <w:pPr>
        <w:spacing w:after="120" w:line="288" w:lineRule="auto"/>
        <w:jc w:val="both"/>
        <w:rPr>
          <w:rFonts w:ascii="Times New Roman" w:hAnsi="Times New Roman" w:cs="Times New Roman"/>
          <w:b/>
          <w:bCs/>
          <w:sz w:val="24"/>
          <w:szCs w:val="24"/>
        </w:rPr>
      </w:pPr>
      <w:r w:rsidRPr="00763F2C">
        <w:rPr>
          <w:rFonts w:ascii="Times New Roman" w:hAnsi="Times New Roman" w:cs="Times New Roman"/>
          <w:b/>
          <w:bCs/>
          <w:sz w:val="24"/>
          <w:szCs w:val="24"/>
        </w:rPr>
        <w:t>Ελάχιστη αποδεκτή συνολική βαθμολογία για την έγκριση ενός επενδυτικού σχεδίου ορίζεται ο βαθμός 60.</w:t>
      </w:r>
    </w:p>
    <w:p w14:paraId="0A3D4583" w14:textId="77777777" w:rsidR="00E273C0" w:rsidRDefault="00E273C0" w:rsidP="00E273C0">
      <w:pPr>
        <w:jc w:val="both"/>
        <w:rPr>
          <w:rFonts w:ascii="Times New Roman" w:hAnsi="Times New Roman" w:cs="Times New Roman"/>
          <w:b/>
          <w:bCs/>
          <w:sz w:val="24"/>
          <w:szCs w:val="24"/>
        </w:rPr>
      </w:pPr>
    </w:p>
    <w:p w14:paraId="67F41162" w14:textId="77777777" w:rsidR="00763F2C" w:rsidRDefault="00763F2C" w:rsidP="00E273C0">
      <w:pPr>
        <w:jc w:val="both"/>
        <w:rPr>
          <w:rFonts w:ascii="Times New Roman" w:hAnsi="Times New Roman" w:cs="Times New Roman"/>
          <w:b/>
          <w:bCs/>
          <w:sz w:val="24"/>
          <w:szCs w:val="24"/>
        </w:rPr>
      </w:pPr>
    </w:p>
    <w:p w14:paraId="0BD619DE" w14:textId="77777777" w:rsidR="00763F2C" w:rsidRDefault="00763F2C" w:rsidP="00E273C0">
      <w:pPr>
        <w:jc w:val="both"/>
        <w:rPr>
          <w:rFonts w:ascii="Times New Roman" w:hAnsi="Times New Roman" w:cs="Times New Roman"/>
          <w:b/>
          <w:bCs/>
          <w:sz w:val="24"/>
          <w:szCs w:val="24"/>
        </w:rPr>
      </w:pPr>
    </w:p>
    <w:p w14:paraId="0342954E" w14:textId="77777777" w:rsidR="00763F2C" w:rsidRDefault="00763F2C" w:rsidP="00E273C0">
      <w:pPr>
        <w:jc w:val="both"/>
        <w:rPr>
          <w:rFonts w:ascii="Times New Roman" w:hAnsi="Times New Roman" w:cs="Times New Roman"/>
          <w:b/>
          <w:bCs/>
          <w:sz w:val="24"/>
          <w:szCs w:val="24"/>
        </w:rPr>
      </w:pPr>
    </w:p>
    <w:p w14:paraId="0C430848" w14:textId="77777777" w:rsidR="00763F2C" w:rsidRDefault="00763F2C" w:rsidP="00E273C0">
      <w:pPr>
        <w:jc w:val="both"/>
        <w:rPr>
          <w:rFonts w:ascii="Times New Roman" w:hAnsi="Times New Roman" w:cs="Times New Roman"/>
          <w:b/>
          <w:bCs/>
          <w:sz w:val="24"/>
          <w:szCs w:val="24"/>
        </w:rPr>
      </w:pPr>
    </w:p>
    <w:p w14:paraId="7DB36E95" w14:textId="77777777" w:rsidR="00763F2C" w:rsidRDefault="00763F2C" w:rsidP="00E273C0">
      <w:pPr>
        <w:jc w:val="both"/>
        <w:rPr>
          <w:rFonts w:ascii="Times New Roman" w:hAnsi="Times New Roman" w:cs="Times New Roman"/>
          <w:b/>
          <w:bCs/>
          <w:sz w:val="24"/>
          <w:szCs w:val="24"/>
        </w:rPr>
      </w:pPr>
    </w:p>
    <w:p w14:paraId="0E4F9A48" w14:textId="77777777" w:rsidR="00763F2C" w:rsidRDefault="00763F2C" w:rsidP="00E273C0">
      <w:pPr>
        <w:jc w:val="both"/>
        <w:rPr>
          <w:rFonts w:ascii="Times New Roman" w:hAnsi="Times New Roman" w:cs="Times New Roman"/>
          <w:b/>
          <w:bCs/>
          <w:sz w:val="24"/>
          <w:szCs w:val="24"/>
        </w:rPr>
      </w:pPr>
    </w:p>
    <w:p w14:paraId="664A3A02" w14:textId="77777777" w:rsidR="00763F2C" w:rsidRDefault="00763F2C" w:rsidP="00E273C0">
      <w:pPr>
        <w:jc w:val="both"/>
        <w:rPr>
          <w:rFonts w:ascii="Times New Roman" w:hAnsi="Times New Roman" w:cs="Times New Roman"/>
          <w:b/>
          <w:bCs/>
          <w:sz w:val="24"/>
          <w:szCs w:val="24"/>
        </w:rPr>
      </w:pPr>
    </w:p>
    <w:p w14:paraId="077B8B0B" w14:textId="77777777" w:rsidR="00763F2C" w:rsidRDefault="00763F2C" w:rsidP="00E273C0">
      <w:pPr>
        <w:jc w:val="both"/>
        <w:rPr>
          <w:rFonts w:ascii="Times New Roman" w:hAnsi="Times New Roman" w:cs="Times New Roman"/>
          <w:b/>
          <w:bCs/>
          <w:sz w:val="24"/>
          <w:szCs w:val="24"/>
        </w:rPr>
      </w:pPr>
    </w:p>
    <w:p w14:paraId="32199C50" w14:textId="77777777" w:rsidR="00763F2C" w:rsidRDefault="00763F2C" w:rsidP="00E273C0">
      <w:pPr>
        <w:jc w:val="both"/>
        <w:rPr>
          <w:rFonts w:ascii="Times New Roman" w:hAnsi="Times New Roman" w:cs="Times New Roman"/>
          <w:b/>
          <w:bCs/>
          <w:sz w:val="24"/>
          <w:szCs w:val="24"/>
        </w:rPr>
      </w:pPr>
    </w:p>
    <w:p w14:paraId="79E9C909" w14:textId="77777777" w:rsidR="00763F2C" w:rsidRDefault="00763F2C" w:rsidP="00E273C0">
      <w:pPr>
        <w:jc w:val="both"/>
        <w:rPr>
          <w:rFonts w:ascii="Times New Roman" w:hAnsi="Times New Roman" w:cs="Times New Roman"/>
          <w:b/>
          <w:bCs/>
          <w:sz w:val="24"/>
          <w:szCs w:val="24"/>
        </w:rPr>
      </w:pPr>
    </w:p>
    <w:p w14:paraId="70EE7DA7" w14:textId="77777777" w:rsidR="00763F2C" w:rsidRDefault="00763F2C" w:rsidP="00E273C0">
      <w:pPr>
        <w:jc w:val="both"/>
        <w:rPr>
          <w:rFonts w:ascii="Times New Roman" w:hAnsi="Times New Roman" w:cs="Times New Roman"/>
          <w:b/>
          <w:bCs/>
          <w:sz w:val="24"/>
          <w:szCs w:val="24"/>
        </w:rPr>
      </w:pPr>
    </w:p>
    <w:p w14:paraId="39EC87D3" w14:textId="77777777" w:rsidR="00763F2C" w:rsidRDefault="00763F2C" w:rsidP="00E273C0">
      <w:pPr>
        <w:jc w:val="both"/>
        <w:rPr>
          <w:rFonts w:ascii="Times New Roman" w:hAnsi="Times New Roman" w:cs="Times New Roman"/>
          <w:b/>
          <w:bCs/>
          <w:sz w:val="24"/>
          <w:szCs w:val="24"/>
        </w:rPr>
      </w:pPr>
    </w:p>
    <w:p w14:paraId="74CB3DE6" w14:textId="77777777" w:rsidR="00763F2C" w:rsidRDefault="00763F2C" w:rsidP="00E273C0">
      <w:pPr>
        <w:jc w:val="both"/>
        <w:rPr>
          <w:rFonts w:ascii="Times New Roman" w:hAnsi="Times New Roman" w:cs="Times New Roman"/>
          <w:b/>
          <w:bCs/>
          <w:sz w:val="24"/>
          <w:szCs w:val="24"/>
        </w:rPr>
      </w:pPr>
    </w:p>
    <w:p w14:paraId="144AC627" w14:textId="77777777" w:rsidR="00763F2C" w:rsidRDefault="00763F2C" w:rsidP="00E273C0">
      <w:pPr>
        <w:jc w:val="both"/>
        <w:rPr>
          <w:rFonts w:ascii="Times New Roman" w:hAnsi="Times New Roman" w:cs="Times New Roman"/>
          <w:b/>
          <w:bCs/>
          <w:sz w:val="24"/>
          <w:szCs w:val="24"/>
        </w:rPr>
      </w:pPr>
    </w:p>
    <w:p w14:paraId="4339E4BE" w14:textId="77777777" w:rsidR="00763F2C" w:rsidRDefault="00763F2C" w:rsidP="00E273C0">
      <w:pPr>
        <w:jc w:val="both"/>
        <w:rPr>
          <w:rFonts w:ascii="Times New Roman" w:hAnsi="Times New Roman" w:cs="Times New Roman"/>
          <w:b/>
          <w:bCs/>
          <w:sz w:val="24"/>
          <w:szCs w:val="24"/>
        </w:rPr>
      </w:pPr>
    </w:p>
    <w:p w14:paraId="6675F79E" w14:textId="77777777" w:rsidR="00763F2C" w:rsidRPr="002335C1" w:rsidRDefault="00763F2C" w:rsidP="00E273C0">
      <w:pPr>
        <w:jc w:val="both"/>
        <w:rPr>
          <w:rFonts w:ascii="Times New Roman" w:hAnsi="Times New Roman" w:cs="Times New Roman"/>
          <w:b/>
          <w:bCs/>
          <w:sz w:val="24"/>
          <w:szCs w:val="24"/>
        </w:rPr>
      </w:pPr>
    </w:p>
    <w:p w14:paraId="6BA057C0" w14:textId="77777777" w:rsidR="00E273C0" w:rsidRPr="002335C1" w:rsidRDefault="00E273C0" w:rsidP="00E273C0">
      <w:pPr>
        <w:pStyle w:val="20"/>
        <w:shd w:val="clear" w:color="auto" w:fill="D9D9D9" w:themeFill="background1" w:themeFillShade="D9"/>
        <w:spacing w:before="120" w:after="120" w:line="360" w:lineRule="auto"/>
        <w:ind w:right="45"/>
        <w:jc w:val="center"/>
        <w:rPr>
          <w:rFonts w:ascii="Times New Roman" w:hAnsi="Times New Roman" w:cs="Times New Roman"/>
          <w:b/>
          <w:bCs/>
          <w:color w:val="auto"/>
          <w:sz w:val="24"/>
          <w:szCs w:val="24"/>
        </w:rPr>
      </w:pPr>
      <w:bookmarkStart w:id="7" w:name="_Toc153461776"/>
      <w:r w:rsidRPr="002335C1">
        <w:rPr>
          <w:rFonts w:ascii="Times New Roman" w:hAnsi="Times New Roman" w:cs="Times New Roman"/>
          <w:b/>
          <w:bCs/>
          <w:color w:val="auto"/>
          <w:sz w:val="24"/>
          <w:szCs w:val="24"/>
        </w:rPr>
        <w:lastRenderedPageBreak/>
        <w:t>Β. Προδημοσίευση Δράσης: «Ενίσχυση της Ίδρυσης και Λειτουργίας Νέων Μικρομεσαίων Τουριστικών Επιχειρήσεων»</w:t>
      </w:r>
      <w:bookmarkEnd w:id="7"/>
    </w:p>
    <w:p w14:paraId="0153648E" w14:textId="6ED0FF5F" w:rsidR="00E273C0" w:rsidRPr="002335C1" w:rsidRDefault="00E273C0" w:rsidP="00763F2C">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 xml:space="preserve">Η τουριστική βιομηχανία εξακολουθεί να αποτελεί έναν από τους πιο βασικούς μοχλούς ανάπτυξης της ελληνικής οικονομίας. Οι επιδόσεις των τελευταίων ετών επιβεβαιώνουν τον κεντρικό ρόλο αυτής της οικονομικής δραστηριότητας στο εθνικό εισόδημα και την απασχόληση. </w:t>
      </w:r>
      <w:r w:rsidR="006B0ACF" w:rsidRPr="002335C1">
        <w:rPr>
          <w:rFonts w:ascii="Times New Roman" w:hAnsi="Times New Roman" w:cs="Times New Roman"/>
          <w:sz w:val="24"/>
          <w:szCs w:val="24"/>
        </w:rPr>
        <w:t>Το</w:t>
      </w:r>
      <w:r w:rsidRPr="002335C1">
        <w:rPr>
          <w:rFonts w:ascii="Times New Roman" w:hAnsi="Times New Roman" w:cs="Times New Roman"/>
          <w:sz w:val="24"/>
          <w:szCs w:val="24"/>
        </w:rPr>
        <w:t xml:space="preserve"> Υπουργείο Εθνικής Οικονομίας και Οικονομικών ακολουθεί πολιτική δυναμικής ενίσχυσης του τουριστικού προϊόντος της Χώρας, με βασικές προτεραιότητες:</w:t>
      </w:r>
    </w:p>
    <w:p w14:paraId="77453C2D" w14:textId="62E1DEBD" w:rsidR="00E273C0" w:rsidRPr="002335C1" w:rsidRDefault="00E273C0" w:rsidP="00763F2C">
      <w:pPr>
        <w:pStyle w:val="a7"/>
        <w:numPr>
          <w:ilvl w:val="0"/>
          <w:numId w:val="29"/>
        </w:numPr>
        <w:spacing w:after="120" w:line="288" w:lineRule="auto"/>
        <w:contextualSpacing w:val="0"/>
        <w:jc w:val="both"/>
        <w:rPr>
          <w:rFonts w:ascii="Times New Roman" w:hAnsi="Times New Roman" w:cs="Times New Roman"/>
          <w:sz w:val="24"/>
          <w:szCs w:val="24"/>
          <w:lang w:val="el-GR"/>
        </w:rPr>
      </w:pPr>
      <w:r w:rsidRPr="002335C1">
        <w:rPr>
          <w:rFonts w:ascii="Times New Roman" w:hAnsi="Times New Roman" w:cs="Times New Roman"/>
          <w:sz w:val="24"/>
          <w:szCs w:val="24"/>
          <w:lang w:val="el-GR"/>
        </w:rPr>
        <w:t>τη δημιουργία νέων επιχειρήσεων που θα προσφέρουν προϊόντα και υπηρεσίες υψηλής ποιότητας, διεθνώς</w:t>
      </w:r>
      <w:r w:rsidR="006B0ACF" w:rsidRPr="002335C1">
        <w:rPr>
          <w:rFonts w:ascii="Times New Roman" w:hAnsi="Times New Roman" w:cs="Times New Roman"/>
          <w:sz w:val="24"/>
          <w:szCs w:val="24"/>
          <w:lang w:val="el-GR"/>
        </w:rPr>
        <w:t xml:space="preserve"> </w:t>
      </w:r>
      <w:r w:rsidRPr="002335C1">
        <w:rPr>
          <w:rFonts w:ascii="Times New Roman" w:hAnsi="Times New Roman" w:cs="Times New Roman"/>
          <w:sz w:val="24"/>
          <w:szCs w:val="24"/>
          <w:lang w:val="el-GR"/>
        </w:rPr>
        <w:t>ανταγωνιστικά</w:t>
      </w:r>
    </w:p>
    <w:p w14:paraId="36228B14" w14:textId="0E2AE2FD" w:rsidR="00E273C0" w:rsidRPr="002335C1" w:rsidRDefault="00E273C0" w:rsidP="00763F2C">
      <w:pPr>
        <w:pStyle w:val="a7"/>
        <w:numPr>
          <w:ilvl w:val="0"/>
          <w:numId w:val="29"/>
        </w:numPr>
        <w:spacing w:after="120" w:line="288" w:lineRule="auto"/>
        <w:contextualSpacing w:val="0"/>
        <w:jc w:val="both"/>
        <w:rPr>
          <w:rFonts w:ascii="Times New Roman" w:hAnsi="Times New Roman" w:cs="Times New Roman"/>
          <w:sz w:val="24"/>
          <w:szCs w:val="24"/>
          <w:lang w:val="el-GR"/>
        </w:rPr>
      </w:pPr>
      <w:r w:rsidRPr="002335C1">
        <w:rPr>
          <w:rFonts w:ascii="Times New Roman" w:hAnsi="Times New Roman" w:cs="Times New Roman"/>
          <w:sz w:val="24"/>
          <w:szCs w:val="24"/>
          <w:lang w:val="el-GR"/>
        </w:rPr>
        <w:t>την επιμήκυνση της τουριστικής περιόδου με την ανάπτυξη νέων μορφών τουρισμού και νέων τουριστικών</w:t>
      </w:r>
      <w:r w:rsidR="006B0ACF" w:rsidRPr="002335C1">
        <w:rPr>
          <w:rFonts w:ascii="Times New Roman" w:hAnsi="Times New Roman" w:cs="Times New Roman"/>
          <w:sz w:val="24"/>
          <w:szCs w:val="24"/>
          <w:lang w:val="el-GR"/>
        </w:rPr>
        <w:t xml:space="preserve"> </w:t>
      </w:r>
      <w:r w:rsidRPr="002335C1">
        <w:rPr>
          <w:rFonts w:ascii="Times New Roman" w:hAnsi="Times New Roman" w:cs="Times New Roman"/>
          <w:sz w:val="24"/>
          <w:szCs w:val="24"/>
          <w:lang w:val="el-GR"/>
        </w:rPr>
        <w:t>υπηρεσιών υψηλής προστιθέμενης αξίας</w:t>
      </w:r>
    </w:p>
    <w:p w14:paraId="663E3F87" w14:textId="77777777" w:rsidR="00E273C0" w:rsidRPr="002335C1" w:rsidRDefault="00E273C0" w:rsidP="00763F2C">
      <w:pPr>
        <w:pStyle w:val="a7"/>
        <w:numPr>
          <w:ilvl w:val="0"/>
          <w:numId w:val="29"/>
        </w:numPr>
        <w:spacing w:after="120" w:line="288" w:lineRule="auto"/>
        <w:contextualSpacing w:val="0"/>
        <w:jc w:val="both"/>
        <w:rPr>
          <w:rFonts w:ascii="Times New Roman" w:hAnsi="Times New Roman" w:cs="Times New Roman"/>
          <w:sz w:val="24"/>
          <w:szCs w:val="24"/>
          <w:lang w:val="el-GR"/>
        </w:rPr>
      </w:pPr>
      <w:r w:rsidRPr="002335C1">
        <w:rPr>
          <w:rFonts w:ascii="Times New Roman" w:hAnsi="Times New Roman" w:cs="Times New Roman"/>
          <w:sz w:val="24"/>
          <w:szCs w:val="24"/>
          <w:lang w:val="el-GR"/>
        </w:rPr>
        <w:t>τη δημιουργία νέων θέσεων απασχόλησης.</w:t>
      </w:r>
    </w:p>
    <w:p w14:paraId="1CC0FCF0" w14:textId="77777777" w:rsidR="00E273C0" w:rsidRPr="002335C1" w:rsidRDefault="00E273C0" w:rsidP="00763F2C">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Η Δράση αφορά στην ενίσχυση της τουριστικής επιχειρηματικότητας, μέσω της δημιουργίας νέων πολύ μικρών, μικρών και μεσαίων επιχειρήσεων επιλεγμένων ΚΑΔ του τουρισμού.</w:t>
      </w:r>
    </w:p>
    <w:p w14:paraId="32B449B2" w14:textId="77777777" w:rsidR="00E273C0" w:rsidRPr="002335C1" w:rsidRDefault="00E273C0" w:rsidP="00763F2C">
      <w:pPr>
        <w:spacing w:after="120" w:line="288" w:lineRule="auto"/>
        <w:jc w:val="both"/>
        <w:rPr>
          <w:rFonts w:ascii="Times New Roman" w:hAnsi="Times New Roman" w:cs="Times New Roman"/>
          <w:b/>
          <w:bCs/>
          <w:sz w:val="24"/>
          <w:szCs w:val="24"/>
          <w:u w:val="single"/>
        </w:rPr>
      </w:pPr>
      <w:r w:rsidRPr="002335C1">
        <w:rPr>
          <w:rFonts w:ascii="Times New Roman" w:hAnsi="Times New Roman" w:cs="Times New Roman"/>
          <w:b/>
          <w:bCs/>
          <w:sz w:val="24"/>
          <w:szCs w:val="24"/>
          <w:u w:val="single"/>
        </w:rPr>
        <w:t>Προϋπολογισμός Δράσης</w:t>
      </w:r>
    </w:p>
    <w:p w14:paraId="497C0895" w14:textId="77777777" w:rsidR="00E273C0" w:rsidRPr="002335C1" w:rsidRDefault="00E273C0" w:rsidP="00763F2C">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 xml:space="preserve">Η Δράση θα υλοποιηθεί με πόρους του Προγράμματος «Ανταγωνιστικότητα» του ΕΣΠΑ 2021 – 2027 συνολικού ύψους </w:t>
      </w:r>
      <w:r w:rsidRPr="002335C1">
        <w:rPr>
          <w:rFonts w:ascii="Times New Roman" w:hAnsi="Times New Roman" w:cs="Times New Roman"/>
          <w:b/>
          <w:bCs/>
          <w:sz w:val="24"/>
          <w:szCs w:val="24"/>
        </w:rPr>
        <w:t>160.000.000 €</w:t>
      </w:r>
      <w:r w:rsidRPr="002335C1">
        <w:rPr>
          <w:rFonts w:ascii="Times New Roman" w:hAnsi="Times New Roman" w:cs="Times New Roman"/>
          <w:sz w:val="24"/>
          <w:szCs w:val="24"/>
        </w:rPr>
        <w:t xml:space="preserve"> για το σύνολο της Χώρας. Η Δράση συγχρηματοδοτείται από την Ευρωπαϊκή Ένωση, ειδικότερα από το Ευρωπαϊκό Ταμείο Περιφερειακής Ανάπτυξης (ΕΤΠΑ) και από το Ελληνικό Δημόσιο.</w:t>
      </w:r>
    </w:p>
    <w:p w14:paraId="36620A94" w14:textId="77777777" w:rsidR="00E273C0" w:rsidRPr="002335C1" w:rsidRDefault="00E273C0" w:rsidP="00763F2C">
      <w:pPr>
        <w:spacing w:after="120" w:line="288" w:lineRule="auto"/>
        <w:jc w:val="both"/>
        <w:rPr>
          <w:rFonts w:ascii="Times New Roman" w:hAnsi="Times New Roman" w:cs="Times New Roman"/>
          <w:b/>
          <w:bCs/>
          <w:sz w:val="24"/>
          <w:szCs w:val="24"/>
          <w:u w:val="single"/>
        </w:rPr>
      </w:pPr>
      <w:r w:rsidRPr="002335C1">
        <w:rPr>
          <w:rFonts w:ascii="Times New Roman" w:hAnsi="Times New Roman" w:cs="Times New Roman"/>
          <w:b/>
          <w:bCs/>
          <w:sz w:val="24"/>
          <w:szCs w:val="24"/>
          <w:u w:val="single"/>
        </w:rPr>
        <w:t>Δικαιούχοι</w:t>
      </w:r>
    </w:p>
    <w:p w14:paraId="6A3CB06C" w14:textId="77777777" w:rsidR="00E273C0" w:rsidRDefault="00E273C0" w:rsidP="00763F2C">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 xml:space="preserve">Στη Δράση δύναται να υποβάλλουν αίτηση χρηματοδότησης υπό ίδρυση και νεοσύστατες μεσαίες, μικρές και πολύ μικρές επιχειρήσεις που αναμένεται να δραστηριοποιηθούν στον κλάδο του τουρισμού, όπως αυτές ορίζονται στη Σύσταση της Επιτροπής 2003/361/ΕΚ. Με τον όρο νεοσύστατες ορίζονται οι επιχειρήσεις για τις οποίες </w:t>
      </w:r>
      <w:r w:rsidRPr="002335C1">
        <w:rPr>
          <w:rFonts w:ascii="Times New Roman" w:hAnsi="Times New Roman" w:cs="Times New Roman"/>
          <w:b/>
          <w:bCs/>
          <w:sz w:val="24"/>
          <w:szCs w:val="24"/>
        </w:rPr>
        <w:t>δεν έχει παρέλθει 12μηνο συνεχούς λειτουργίας από την ημερομηνία έναρξης της επιχείρησης έως και την ημερομηνία προκήρυξης της δράσης</w:t>
      </w:r>
      <w:r w:rsidRPr="002335C1">
        <w:rPr>
          <w:rFonts w:ascii="Times New Roman" w:hAnsi="Times New Roman" w:cs="Times New Roman"/>
          <w:sz w:val="24"/>
          <w:szCs w:val="24"/>
        </w:rPr>
        <w:t>.</w:t>
      </w:r>
    </w:p>
    <w:p w14:paraId="35490536" w14:textId="77777777" w:rsidR="00E273C0" w:rsidRPr="002335C1" w:rsidRDefault="00E273C0" w:rsidP="00763F2C">
      <w:pPr>
        <w:spacing w:after="120" w:line="288" w:lineRule="auto"/>
        <w:jc w:val="both"/>
        <w:rPr>
          <w:rFonts w:ascii="Times New Roman" w:hAnsi="Times New Roman" w:cs="Times New Roman"/>
          <w:b/>
          <w:bCs/>
          <w:sz w:val="24"/>
          <w:szCs w:val="24"/>
          <w:u w:val="single"/>
        </w:rPr>
      </w:pPr>
      <w:r w:rsidRPr="002335C1">
        <w:rPr>
          <w:rFonts w:ascii="Times New Roman" w:hAnsi="Times New Roman" w:cs="Times New Roman"/>
          <w:b/>
          <w:bCs/>
          <w:sz w:val="24"/>
          <w:szCs w:val="24"/>
          <w:u w:val="single"/>
        </w:rPr>
        <w:t>Επιλέξιμες Επιχειρήσεις και Προϋποθέσεις Συμμετοχής</w:t>
      </w:r>
    </w:p>
    <w:p w14:paraId="4D59CA9F" w14:textId="77777777" w:rsidR="00E273C0" w:rsidRPr="002335C1" w:rsidRDefault="00E273C0" w:rsidP="00763F2C">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Οι επιλέξιμοι κωδικοί αριθμοί δραστηριοτήτων (ΚΑΔ) θα ορισθούν στην Αναλυτική Πρόσκληση της Δράσης.</w:t>
      </w:r>
    </w:p>
    <w:p w14:paraId="08BF2615" w14:textId="77777777" w:rsidR="00E273C0" w:rsidRPr="002335C1" w:rsidRDefault="00E273C0" w:rsidP="00763F2C">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Οι βασικές προϋποθέσεις συμμετοχής των δυνητικά ωφελούμενων επιχειρήσεων είναι οι ακόλουθες:</w:t>
      </w:r>
    </w:p>
    <w:p w14:paraId="3774D670" w14:textId="6DD40C41" w:rsidR="00E273C0" w:rsidRPr="002335C1" w:rsidRDefault="00E273C0" w:rsidP="00763F2C">
      <w:pPr>
        <w:pStyle w:val="a7"/>
        <w:numPr>
          <w:ilvl w:val="0"/>
          <w:numId w:val="31"/>
        </w:numPr>
        <w:spacing w:after="120" w:line="288" w:lineRule="auto"/>
        <w:contextualSpacing w:val="0"/>
        <w:jc w:val="both"/>
        <w:rPr>
          <w:rFonts w:ascii="Times New Roman" w:hAnsi="Times New Roman" w:cs="Times New Roman"/>
          <w:sz w:val="24"/>
          <w:szCs w:val="24"/>
          <w:lang w:val="el-GR"/>
        </w:rPr>
      </w:pPr>
      <w:r w:rsidRPr="002335C1">
        <w:rPr>
          <w:rFonts w:ascii="Times New Roman" w:hAnsi="Times New Roman" w:cs="Times New Roman"/>
          <w:sz w:val="24"/>
          <w:szCs w:val="24"/>
          <w:lang w:val="el-GR"/>
        </w:rPr>
        <w:t>Να πραγματοποιήσουν επένδυση αποκλειστικά σε μία Περιφέρεια της χώρας. Εξαιρούνται σχέδια με τόπο</w:t>
      </w:r>
      <w:r w:rsidR="006B0ACF" w:rsidRPr="002335C1">
        <w:rPr>
          <w:rFonts w:ascii="Times New Roman" w:hAnsi="Times New Roman" w:cs="Times New Roman"/>
          <w:sz w:val="24"/>
          <w:szCs w:val="24"/>
          <w:lang w:val="el-GR"/>
        </w:rPr>
        <w:t xml:space="preserve"> </w:t>
      </w:r>
      <w:r w:rsidRPr="002335C1">
        <w:rPr>
          <w:rFonts w:ascii="Times New Roman" w:hAnsi="Times New Roman" w:cs="Times New Roman"/>
          <w:sz w:val="24"/>
          <w:szCs w:val="24"/>
          <w:lang w:val="el-GR"/>
        </w:rPr>
        <w:t>εγκατάστασης στην Περιφερειακή Ενότητα Μυκόνου και την Περιφερειακή Ενότητα Θήρας, στον Δήμο Θήρας, πλην</w:t>
      </w:r>
      <w:r w:rsidR="006B0ACF" w:rsidRPr="002335C1">
        <w:rPr>
          <w:rFonts w:ascii="Times New Roman" w:hAnsi="Times New Roman" w:cs="Times New Roman"/>
          <w:sz w:val="24"/>
          <w:szCs w:val="24"/>
          <w:lang w:val="el-GR"/>
        </w:rPr>
        <w:t xml:space="preserve"> </w:t>
      </w:r>
      <w:r w:rsidRPr="002335C1">
        <w:rPr>
          <w:rFonts w:ascii="Times New Roman" w:hAnsi="Times New Roman" w:cs="Times New Roman"/>
          <w:sz w:val="24"/>
          <w:szCs w:val="24"/>
          <w:lang w:val="el-GR"/>
        </w:rPr>
        <w:t xml:space="preserve">της Δημοτικής Κοινότητας </w:t>
      </w:r>
      <w:proofErr w:type="spellStart"/>
      <w:r w:rsidRPr="002335C1">
        <w:rPr>
          <w:rFonts w:ascii="Times New Roman" w:hAnsi="Times New Roman" w:cs="Times New Roman"/>
          <w:sz w:val="24"/>
          <w:szCs w:val="24"/>
          <w:lang w:val="el-GR"/>
        </w:rPr>
        <w:t>Θηρασίας</w:t>
      </w:r>
      <w:proofErr w:type="spellEnd"/>
      <w:r w:rsidRPr="002335C1">
        <w:rPr>
          <w:rFonts w:ascii="Times New Roman" w:hAnsi="Times New Roman" w:cs="Times New Roman"/>
          <w:sz w:val="24"/>
          <w:szCs w:val="24"/>
          <w:lang w:val="el-GR"/>
        </w:rPr>
        <w:t>.</w:t>
      </w:r>
    </w:p>
    <w:p w14:paraId="5234E682" w14:textId="5249CE08" w:rsidR="00E273C0" w:rsidRPr="002335C1" w:rsidRDefault="00E273C0" w:rsidP="00763F2C">
      <w:pPr>
        <w:pStyle w:val="a7"/>
        <w:numPr>
          <w:ilvl w:val="0"/>
          <w:numId w:val="31"/>
        </w:numPr>
        <w:spacing w:after="120" w:line="288" w:lineRule="auto"/>
        <w:contextualSpacing w:val="0"/>
        <w:jc w:val="both"/>
        <w:rPr>
          <w:rFonts w:ascii="Times New Roman" w:hAnsi="Times New Roman" w:cs="Times New Roman"/>
          <w:sz w:val="24"/>
          <w:szCs w:val="24"/>
          <w:lang w:val="el-GR"/>
        </w:rPr>
      </w:pPr>
      <w:r w:rsidRPr="002335C1">
        <w:rPr>
          <w:rFonts w:ascii="Times New Roman" w:hAnsi="Times New Roman" w:cs="Times New Roman"/>
          <w:sz w:val="24"/>
          <w:szCs w:val="24"/>
          <w:lang w:val="el-GR"/>
        </w:rPr>
        <w:lastRenderedPageBreak/>
        <w:t>Να δραστηριοποιηθούν αποκλειστικά σε επιλέξιμο/</w:t>
      </w:r>
      <w:proofErr w:type="spellStart"/>
      <w:r w:rsidRPr="002335C1">
        <w:rPr>
          <w:rFonts w:ascii="Times New Roman" w:hAnsi="Times New Roman" w:cs="Times New Roman"/>
          <w:sz w:val="24"/>
          <w:szCs w:val="24"/>
          <w:lang w:val="el-GR"/>
        </w:rPr>
        <w:t>ους</w:t>
      </w:r>
      <w:proofErr w:type="spellEnd"/>
      <w:r w:rsidRPr="002335C1">
        <w:rPr>
          <w:rFonts w:ascii="Times New Roman" w:hAnsi="Times New Roman" w:cs="Times New Roman"/>
          <w:sz w:val="24"/>
          <w:szCs w:val="24"/>
          <w:lang w:val="el-GR"/>
        </w:rPr>
        <w:t xml:space="preserve"> ΚΑΔ, όπως αυτός/</w:t>
      </w:r>
      <w:proofErr w:type="spellStart"/>
      <w:r w:rsidRPr="002335C1">
        <w:rPr>
          <w:rFonts w:ascii="Times New Roman" w:hAnsi="Times New Roman" w:cs="Times New Roman"/>
          <w:sz w:val="24"/>
          <w:szCs w:val="24"/>
          <w:lang w:val="el-GR"/>
        </w:rPr>
        <w:t>οί</w:t>
      </w:r>
      <w:proofErr w:type="spellEnd"/>
      <w:r w:rsidRPr="002335C1">
        <w:rPr>
          <w:rFonts w:ascii="Times New Roman" w:hAnsi="Times New Roman" w:cs="Times New Roman"/>
          <w:sz w:val="24"/>
          <w:szCs w:val="24"/>
          <w:lang w:val="el-GR"/>
        </w:rPr>
        <w:t xml:space="preserve"> θα ορίζεται/</w:t>
      </w:r>
      <w:proofErr w:type="spellStart"/>
      <w:r w:rsidRPr="002335C1">
        <w:rPr>
          <w:rFonts w:ascii="Times New Roman" w:hAnsi="Times New Roman" w:cs="Times New Roman"/>
          <w:sz w:val="24"/>
          <w:szCs w:val="24"/>
          <w:lang w:val="el-GR"/>
        </w:rPr>
        <w:t>ονται</w:t>
      </w:r>
      <w:proofErr w:type="spellEnd"/>
      <w:r w:rsidRPr="002335C1">
        <w:rPr>
          <w:rFonts w:ascii="Times New Roman" w:hAnsi="Times New Roman" w:cs="Times New Roman"/>
          <w:sz w:val="24"/>
          <w:szCs w:val="24"/>
          <w:lang w:val="el-GR"/>
        </w:rPr>
        <w:t xml:space="preserve"> στην Αναλυτική</w:t>
      </w:r>
      <w:r w:rsidR="006B0ACF" w:rsidRPr="002335C1">
        <w:rPr>
          <w:rFonts w:ascii="Times New Roman" w:hAnsi="Times New Roman" w:cs="Times New Roman"/>
          <w:sz w:val="24"/>
          <w:szCs w:val="24"/>
          <w:lang w:val="el-GR"/>
        </w:rPr>
        <w:t xml:space="preserve"> </w:t>
      </w:r>
      <w:r w:rsidRPr="002335C1">
        <w:rPr>
          <w:rFonts w:ascii="Times New Roman" w:hAnsi="Times New Roman" w:cs="Times New Roman"/>
          <w:sz w:val="24"/>
          <w:szCs w:val="24"/>
          <w:lang w:val="el-GR"/>
        </w:rPr>
        <w:t xml:space="preserve">Πρόσκληση που αναμένεται να εκδοθεί, </w:t>
      </w:r>
      <w:proofErr w:type="spellStart"/>
      <w:r w:rsidRPr="002335C1">
        <w:rPr>
          <w:rFonts w:ascii="Times New Roman" w:hAnsi="Times New Roman" w:cs="Times New Roman"/>
          <w:sz w:val="24"/>
          <w:szCs w:val="24"/>
          <w:lang w:val="el-GR"/>
        </w:rPr>
        <w:t>καθόλη</w:t>
      </w:r>
      <w:proofErr w:type="spellEnd"/>
      <w:r w:rsidRPr="002335C1">
        <w:rPr>
          <w:rFonts w:ascii="Times New Roman" w:hAnsi="Times New Roman" w:cs="Times New Roman"/>
          <w:sz w:val="24"/>
          <w:szCs w:val="24"/>
          <w:lang w:val="el-GR"/>
        </w:rPr>
        <w:t xml:space="preserve"> τη διάρκεια υλοποίησης του επενδυτικού τους σχεδίου. Οι</w:t>
      </w:r>
      <w:r w:rsidR="006B0ACF" w:rsidRPr="002335C1">
        <w:rPr>
          <w:rFonts w:ascii="Times New Roman" w:hAnsi="Times New Roman" w:cs="Times New Roman"/>
          <w:sz w:val="24"/>
          <w:szCs w:val="24"/>
          <w:lang w:val="el-GR"/>
        </w:rPr>
        <w:t xml:space="preserve"> </w:t>
      </w:r>
      <w:r w:rsidRPr="002335C1">
        <w:rPr>
          <w:rFonts w:ascii="Times New Roman" w:hAnsi="Times New Roman" w:cs="Times New Roman"/>
          <w:sz w:val="24"/>
          <w:szCs w:val="24"/>
          <w:lang w:val="el-GR"/>
        </w:rPr>
        <w:t>νεοσύστατες να έχουν έναρξη μόνο σε επιλέξιμους ΚΑΔ της Δράσης.</w:t>
      </w:r>
    </w:p>
    <w:p w14:paraId="527BDC9F" w14:textId="77777777" w:rsidR="00E273C0" w:rsidRPr="002335C1" w:rsidRDefault="00E273C0" w:rsidP="00763F2C">
      <w:pPr>
        <w:pStyle w:val="a7"/>
        <w:numPr>
          <w:ilvl w:val="0"/>
          <w:numId w:val="31"/>
        </w:numPr>
        <w:spacing w:after="120" w:line="288" w:lineRule="auto"/>
        <w:contextualSpacing w:val="0"/>
        <w:jc w:val="both"/>
        <w:rPr>
          <w:rFonts w:ascii="Times New Roman" w:hAnsi="Times New Roman" w:cs="Times New Roman"/>
          <w:sz w:val="24"/>
          <w:szCs w:val="24"/>
          <w:lang w:val="el-GR"/>
        </w:rPr>
      </w:pPr>
      <w:r w:rsidRPr="002335C1">
        <w:rPr>
          <w:rFonts w:ascii="Times New Roman" w:hAnsi="Times New Roman" w:cs="Times New Roman"/>
          <w:sz w:val="24"/>
          <w:szCs w:val="24"/>
          <w:lang w:val="el-GR"/>
        </w:rPr>
        <w:t xml:space="preserve">Να προσκομίσουν ακριβή στοιχεία και δεδομένα </w:t>
      </w:r>
      <w:proofErr w:type="spellStart"/>
      <w:r w:rsidRPr="002335C1">
        <w:rPr>
          <w:rFonts w:ascii="Times New Roman" w:hAnsi="Times New Roman" w:cs="Times New Roman"/>
          <w:sz w:val="24"/>
          <w:szCs w:val="24"/>
          <w:lang w:val="el-GR"/>
        </w:rPr>
        <w:t>χωροθέτησης</w:t>
      </w:r>
      <w:proofErr w:type="spellEnd"/>
      <w:r w:rsidRPr="002335C1">
        <w:rPr>
          <w:rFonts w:ascii="Times New Roman" w:hAnsi="Times New Roman" w:cs="Times New Roman"/>
          <w:sz w:val="24"/>
          <w:szCs w:val="24"/>
          <w:lang w:val="el-GR"/>
        </w:rPr>
        <w:t xml:space="preserve"> του τόπου υλοποίησης της επένδυσης επί συγκεκριμένου ακινήτου (γήπεδο, κτίριο ή άλλου είδους αυτοτελής χώρος).</w:t>
      </w:r>
    </w:p>
    <w:p w14:paraId="74CB9FF7" w14:textId="77777777" w:rsidR="00E273C0" w:rsidRPr="002335C1" w:rsidRDefault="00E273C0" w:rsidP="00763F2C">
      <w:pPr>
        <w:pStyle w:val="a7"/>
        <w:numPr>
          <w:ilvl w:val="0"/>
          <w:numId w:val="31"/>
        </w:numPr>
        <w:spacing w:after="120" w:line="288" w:lineRule="auto"/>
        <w:contextualSpacing w:val="0"/>
        <w:jc w:val="both"/>
        <w:rPr>
          <w:rFonts w:ascii="Times New Roman" w:hAnsi="Times New Roman" w:cs="Times New Roman"/>
          <w:sz w:val="24"/>
          <w:szCs w:val="24"/>
          <w:lang w:val="el-GR"/>
        </w:rPr>
      </w:pPr>
      <w:r w:rsidRPr="002335C1">
        <w:rPr>
          <w:rFonts w:ascii="Times New Roman" w:hAnsi="Times New Roman" w:cs="Times New Roman"/>
          <w:sz w:val="24"/>
          <w:szCs w:val="24"/>
          <w:lang w:val="el-GR"/>
        </w:rPr>
        <w:t>Να διαθέτουν εγκεκριμένη άδεια δόμησης ή κατ’ ελάχιστον κατατεθειμένη αίτηση έκδοσης αυτής σε περιπτώσεις ανέγερσης και αποπεράτωσης κτιρίων από την ημερομηνία έναρξης ηλεκτρονικής υποβολής που θα ορισθεί στην προκήρυξη.</w:t>
      </w:r>
    </w:p>
    <w:p w14:paraId="42C4CFA0" w14:textId="77777777" w:rsidR="00E273C0" w:rsidRPr="002335C1" w:rsidRDefault="00E273C0" w:rsidP="00763F2C">
      <w:pPr>
        <w:pStyle w:val="a7"/>
        <w:numPr>
          <w:ilvl w:val="0"/>
          <w:numId w:val="31"/>
        </w:numPr>
        <w:spacing w:after="120" w:line="288" w:lineRule="auto"/>
        <w:contextualSpacing w:val="0"/>
        <w:jc w:val="both"/>
        <w:rPr>
          <w:rFonts w:ascii="Times New Roman" w:hAnsi="Times New Roman" w:cs="Times New Roman"/>
          <w:sz w:val="24"/>
          <w:szCs w:val="24"/>
          <w:lang w:val="el-GR"/>
        </w:rPr>
      </w:pPr>
      <w:r w:rsidRPr="002335C1">
        <w:rPr>
          <w:rFonts w:ascii="Times New Roman" w:hAnsi="Times New Roman" w:cs="Times New Roman"/>
          <w:sz w:val="24"/>
          <w:szCs w:val="24"/>
          <w:lang w:val="el-GR"/>
        </w:rPr>
        <w:t>Να προσκομίσουν Βεβαίωση Χρήσης γης για τον ανωτέρω τόπο υλοποίησης της επένδυσης.</w:t>
      </w:r>
    </w:p>
    <w:p w14:paraId="135E0192" w14:textId="77777777" w:rsidR="00E273C0" w:rsidRPr="002335C1" w:rsidRDefault="00E273C0" w:rsidP="00763F2C">
      <w:pPr>
        <w:pStyle w:val="a7"/>
        <w:numPr>
          <w:ilvl w:val="0"/>
          <w:numId w:val="31"/>
        </w:numPr>
        <w:spacing w:after="120" w:line="288" w:lineRule="auto"/>
        <w:contextualSpacing w:val="0"/>
        <w:jc w:val="both"/>
        <w:rPr>
          <w:rFonts w:ascii="Times New Roman" w:hAnsi="Times New Roman" w:cs="Times New Roman"/>
          <w:sz w:val="24"/>
          <w:szCs w:val="24"/>
          <w:lang w:val="el-GR"/>
        </w:rPr>
      </w:pPr>
      <w:r w:rsidRPr="002335C1">
        <w:rPr>
          <w:rFonts w:ascii="Times New Roman" w:hAnsi="Times New Roman" w:cs="Times New Roman"/>
          <w:sz w:val="24"/>
          <w:szCs w:val="24"/>
          <w:lang w:val="el-GR"/>
        </w:rPr>
        <w:t>Να προσκομίσουν στοιχεία των δικαιωμάτων χρήσης (κυριότητα, επικαρπία, μίσθωση) που κατέχουν επί του ακινήτου.</w:t>
      </w:r>
    </w:p>
    <w:p w14:paraId="186F0CB7" w14:textId="77777777" w:rsidR="00E273C0" w:rsidRPr="002335C1" w:rsidRDefault="00E273C0" w:rsidP="00763F2C">
      <w:pPr>
        <w:pStyle w:val="a7"/>
        <w:numPr>
          <w:ilvl w:val="0"/>
          <w:numId w:val="31"/>
        </w:numPr>
        <w:spacing w:after="120" w:line="288" w:lineRule="auto"/>
        <w:contextualSpacing w:val="0"/>
        <w:jc w:val="both"/>
        <w:rPr>
          <w:rFonts w:ascii="Times New Roman" w:hAnsi="Times New Roman" w:cs="Times New Roman"/>
          <w:sz w:val="24"/>
          <w:szCs w:val="24"/>
          <w:lang w:val="el-GR"/>
        </w:rPr>
      </w:pPr>
      <w:r w:rsidRPr="002335C1">
        <w:rPr>
          <w:rFonts w:ascii="Times New Roman" w:hAnsi="Times New Roman" w:cs="Times New Roman"/>
          <w:sz w:val="24"/>
          <w:szCs w:val="24"/>
          <w:lang w:val="el-GR"/>
        </w:rPr>
        <w:t>Να προσκομίσουν αποδεικτικά στοιχεία της δυνατότητας κάλυψης της Ιδιωτικής Συμμετοχής σε ποσοστό που θα ορισθεί στην Αναλυτική Πρόσκληση.</w:t>
      </w:r>
    </w:p>
    <w:p w14:paraId="774797AD" w14:textId="77777777" w:rsidR="00E273C0" w:rsidRPr="002335C1" w:rsidRDefault="00E273C0" w:rsidP="00763F2C">
      <w:pPr>
        <w:pStyle w:val="a7"/>
        <w:numPr>
          <w:ilvl w:val="0"/>
          <w:numId w:val="31"/>
        </w:numPr>
        <w:spacing w:after="120" w:line="288" w:lineRule="auto"/>
        <w:contextualSpacing w:val="0"/>
        <w:jc w:val="both"/>
        <w:rPr>
          <w:rFonts w:ascii="Times New Roman" w:hAnsi="Times New Roman" w:cs="Times New Roman"/>
          <w:sz w:val="24"/>
          <w:szCs w:val="24"/>
          <w:lang w:val="el-GR"/>
        </w:rPr>
      </w:pPr>
      <w:r w:rsidRPr="002335C1">
        <w:rPr>
          <w:rFonts w:ascii="Times New Roman" w:hAnsi="Times New Roman" w:cs="Times New Roman"/>
          <w:sz w:val="24"/>
          <w:szCs w:val="24"/>
          <w:lang w:val="el-GR"/>
        </w:rPr>
        <w:t>Να πληρούν τις προϋποθέσεις εφαρμογής του Καν. ΕΕ 1407/2013 (</w:t>
      </w:r>
      <w:r w:rsidRPr="002335C1">
        <w:rPr>
          <w:rFonts w:ascii="Times New Roman" w:hAnsi="Times New Roman" w:cs="Times New Roman"/>
          <w:sz w:val="24"/>
          <w:szCs w:val="24"/>
        </w:rPr>
        <w:t>De</w:t>
      </w:r>
      <w:r w:rsidRPr="002335C1">
        <w:rPr>
          <w:rFonts w:ascii="Times New Roman" w:hAnsi="Times New Roman" w:cs="Times New Roman"/>
          <w:sz w:val="24"/>
          <w:szCs w:val="24"/>
          <w:lang w:val="el-GR"/>
        </w:rPr>
        <w:t xml:space="preserve"> </w:t>
      </w:r>
      <w:r w:rsidRPr="002335C1">
        <w:rPr>
          <w:rFonts w:ascii="Times New Roman" w:hAnsi="Times New Roman" w:cs="Times New Roman"/>
          <w:sz w:val="24"/>
          <w:szCs w:val="24"/>
        </w:rPr>
        <w:t>Minimis</w:t>
      </w:r>
      <w:r w:rsidRPr="002335C1">
        <w:rPr>
          <w:rFonts w:ascii="Times New Roman" w:hAnsi="Times New Roman" w:cs="Times New Roman"/>
          <w:sz w:val="24"/>
          <w:szCs w:val="24"/>
          <w:lang w:val="el-GR"/>
        </w:rPr>
        <w:t>) στον οποίο στηρίζεται η Δράση.</w:t>
      </w:r>
    </w:p>
    <w:p w14:paraId="2874A581" w14:textId="1AA5BAF2" w:rsidR="00294C9C" w:rsidRPr="002335C1" w:rsidRDefault="00E273C0" w:rsidP="00763F2C">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Στην περίπτωση που η επένδυση αφορά τουριστικό κατάλυμα</w:t>
      </w:r>
      <w:r w:rsidR="00294C9C" w:rsidRPr="002335C1">
        <w:rPr>
          <w:rFonts w:ascii="Times New Roman" w:hAnsi="Times New Roman" w:cs="Times New Roman"/>
          <w:sz w:val="24"/>
          <w:szCs w:val="24"/>
        </w:rPr>
        <w:t xml:space="preserve"> τότε πρέπει να διαθέτουν συγκεκριμένη δυναμικότητα και να ακολουθούν συγκεκριμένες προδιαγραφές, οι οποίες είναι οι εξής:</w:t>
      </w:r>
      <w:r w:rsidRPr="002335C1">
        <w:rPr>
          <w:rFonts w:ascii="Times New Roman" w:hAnsi="Times New Roman" w:cs="Times New Roman"/>
          <w:sz w:val="24"/>
          <w:szCs w:val="24"/>
        </w:rPr>
        <w:t xml:space="preserve"> </w:t>
      </w:r>
    </w:p>
    <w:p w14:paraId="6EA4FA68" w14:textId="77777777" w:rsidR="00E273C0" w:rsidRPr="002335C1" w:rsidRDefault="00E273C0" w:rsidP="00763F2C">
      <w:pPr>
        <w:spacing w:after="120" w:line="288" w:lineRule="auto"/>
        <w:jc w:val="both"/>
        <w:rPr>
          <w:rFonts w:ascii="Times New Roman" w:hAnsi="Times New Roman" w:cs="Times New Roman"/>
          <w:b/>
          <w:bCs/>
          <w:sz w:val="24"/>
          <w:szCs w:val="24"/>
        </w:rPr>
      </w:pPr>
      <w:r w:rsidRPr="002335C1">
        <w:rPr>
          <w:rFonts w:ascii="Times New Roman" w:hAnsi="Times New Roman" w:cs="Times New Roman"/>
          <w:b/>
          <w:bCs/>
          <w:sz w:val="24"/>
          <w:szCs w:val="24"/>
        </w:rPr>
        <w:t>ΚΥΡΙΑ ΞΕΝΟΔΟΧΕΙΑΚΑ ΚΑΤΑΛΥΜΑΤΑ</w:t>
      </w:r>
    </w:p>
    <w:p w14:paraId="4FA6F47A" w14:textId="1859E41C" w:rsidR="00294C9C" w:rsidRPr="002335C1" w:rsidRDefault="00294C9C" w:rsidP="00763F2C">
      <w:pPr>
        <w:pStyle w:val="a7"/>
        <w:numPr>
          <w:ilvl w:val="0"/>
          <w:numId w:val="34"/>
        </w:numPr>
        <w:spacing w:after="120" w:line="288" w:lineRule="auto"/>
        <w:ind w:left="142" w:hanging="142"/>
        <w:contextualSpacing w:val="0"/>
        <w:jc w:val="both"/>
        <w:rPr>
          <w:rFonts w:ascii="Times New Roman" w:hAnsi="Times New Roman" w:cs="Times New Roman"/>
          <w:sz w:val="24"/>
          <w:szCs w:val="24"/>
        </w:rPr>
      </w:pPr>
      <w:r w:rsidRPr="002335C1">
        <w:rPr>
          <w:rFonts w:ascii="Times New Roman" w:hAnsi="Times New Roman" w:cs="Times New Roman"/>
          <w:sz w:val="24"/>
          <w:szCs w:val="24"/>
          <w:lang w:val="el-GR"/>
        </w:rPr>
        <w:t xml:space="preserve"> Ξενοδοχεία</w:t>
      </w:r>
    </w:p>
    <w:p w14:paraId="1686E3E2" w14:textId="77777777" w:rsidR="00294C9C" w:rsidRPr="002335C1" w:rsidRDefault="00E273C0" w:rsidP="00763F2C">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-Κατάταξη σε κατηγορία 4**** (τεσσάρων αστέρων) και άνω</w:t>
      </w:r>
    </w:p>
    <w:p w14:paraId="6CCECC30" w14:textId="0A32037D" w:rsidR="00E273C0" w:rsidRPr="002335C1" w:rsidRDefault="00E273C0" w:rsidP="00763F2C">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-Δυναμικότητα Δώδεκα (12) κλίνες και άνω</w:t>
      </w:r>
    </w:p>
    <w:p w14:paraId="547C4AF1" w14:textId="71B2D611" w:rsidR="00E273C0" w:rsidRPr="002335C1" w:rsidRDefault="00294C9C" w:rsidP="00763F2C">
      <w:pPr>
        <w:pStyle w:val="a7"/>
        <w:numPr>
          <w:ilvl w:val="0"/>
          <w:numId w:val="33"/>
        </w:numPr>
        <w:spacing w:after="120" w:line="288" w:lineRule="auto"/>
        <w:ind w:left="142" w:hanging="142"/>
        <w:contextualSpacing w:val="0"/>
        <w:jc w:val="both"/>
        <w:rPr>
          <w:rFonts w:ascii="Times New Roman" w:hAnsi="Times New Roman" w:cs="Times New Roman"/>
          <w:sz w:val="24"/>
          <w:szCs w:val="24"/>
          <w:lang w:val="el-GR"/>
        </w:rPr>
      </w:pPr>
      <w:r w:rsidRPr="002335C1">
        <w:rPr>
          <w:rFonts w:ascii="Times New Roman" w:hAnsi="Times New Roman" w:cs="Times New Roman"/>
          <w:sz w:val="24"/>
          <w:szCs w:val="24"/>
          <w:lang w:val="el-GR"/>
        </w:rPr>
        <w:t xml:space="preserve"> </w:t>
      </w:r>
      <w:r w:rsidR="00E273C0" w:rsidRPr="002335C1">
        <w:rPr>
          <w:rFonts w:ascii="Times New Roman" w:hAnsi="Times New Roman" w:cs="Times New Roman"/>
          <w:sz w:val="24"/>
          <w:szCs w:val="24"/>
          <w:lang w:val="el-GR"/>
        </w:rPr>
        <w:t xml:space="preserve">Ξενοδοχειακά τουριστικά καταλύματα εντός παραδοσιακών κτισμάτων που προβλέπονται στο </w:t>
      </w:r>
      <w:proofErr w:type="spellStart"/>
      <w:r w:rsidR="00E273C0" w:rsidRPr="002335C1">
        <w:rPr>
          <w:rFonts w:ascii="Times New Roman" w:hAnsi="Times New Roman" w:cs="Times New Roman"/>
          <w:sz w:val="24"/>
          <w:szCs w:val="24"/>
          <w:lang w:val="el-GR"/>
        </w:rPr>
        <w:t>π.δ.</w:t>
      </w:r>
      <w:proofErr w:type="spellEnd"/>
      <w:r w:rsidR="00E273C0" w:rsidRPr="002335C1">
        <w:rPr>
          <w:rFonts w:ascii="Times New Roman" w:hAnsi="Times New Roman" w:cs="Times New Roman"/>
          <w:sz w:val="24"/>
          <w:szCs w:val="24"/>
          <w:lang w:val="el-GR"/>
        </w:rPr>
        <w:t xml:space="preserve"> 33/1979</w:t>
      </w:r>
    </w:p>
    <w:p w14:paraId="3F53E2FB" w14:textId="74CB3864" w:rsidR="00E273C0" w:rsidRPr="002335C1" w:rsidRDefault="00294C9C" w:rsidP="00763F2C">
      <w:pPr>
        <w:pStyle w:val="a7"/>
        <w:numPr>
          <w:ilvl w:val="0"/>
          <w:numId w:val="33"/>
        </w:numPr>
        <w:spacing w:after="120" w:line="288" w:lineRule="auto"/>
        <w:ind w:left="142" w:hanging="142"/>
        <w:contextualSpacing w:val="0"/>
        <w:jc w:val="both"/>
        <w:rPr>
          <w:rFonts w:ascii="Times New Roman" w:hAnsi="Times New Roman" w:cs="Times New Roman"/>
          <w:sz w:val="24"/>
          <w:szCs w:val="24"/>
        </w:rPr>
      </w:pPr>
      <w:r w:rsidRPr="002335C1">
        <w:rPr>
          <w:rFonts w:ascii="Times New Roman" w:hAnsi="Times New Roman" w:cs="Times New Roman"/>
          <w:sz w:val="24"/>
          <w:szCs w:val="24"/>
          <w:lang w:val="el-GR"/>
        </w:rPr>
        <w:t xml:space="preserve"> </w:t>
      </w:r>
      <w:proofErr w:type="spellStart"/>
      <w:r w:rsidR="00E273C0" w:rsidRPr="002335C1">
        <w:rPr>
          <w:rFonts w:ascii="Times New Roman" w:hAnsi="Times New Roman" w:cs="Times New Roman"/>
          <w:sz w:val="24"/>
          <w:szCs w:val="24"/>
        </w:rPr>
        <w:t>Οργ</w:t>
      </w:r>
      <w:proofErr w:type="spellEnd"/>
      <w:r w:rsidR="00E273C0" w:rsidRPr="002335C1">
        <w:rPr>
          <w:rFonts w:ascii="Times New Roman" w:hAnsi="Times New Roman" w:cs="Times New Roman"/>
          <w:sz w:val="24"/>
          <w:szCs w:val="24"/>
        </w:rPr>
        <w:t xml:space="preserve">ανωμένες </w:t>
      </w:r>
      <w:proofErr w:type="spellStart"/>
      <w:r w:rsidR="00E273C0" w:rsidRPr="002335C1">
        <w:rPr>
          <w:rFonts w:ascii="Times New Roman" w:hAnsi="Times New Roman" w:cs="Times New Roman"/>
          <w:sz w:val="24"/>
          <w:szCs w:val="24"/>
        </w:rPr>
        <w:t>τουριστικές</w:t>
      </w:r>
      <w:proofErr w:type="spellEnd"/>
      <w:r w:rsidR="00E273C0" w:rsidRPr="002335C1">
        <w:rPr>
          <w:rFonts w:ascii="Times New Roman" w:hAnsi="Times New Roman" w:cs="Times New Roman"/>
          <w:sz w:val="24"/>
          <w:szCs w:val="24"/>
        </w:rPr>
        <w:t xml:space="preserve"> κατα</w:t>
      </w:r>
      <w:proofErr w:type="spellStart"/>
      <w:r w:rsidR="00E273C0" w:rsidRPr="002335C1">
        <w:rPr>
          <w:rFonts w:ascii="Times New Roman" w:hAnsi="Times New Roman" w:cs="Times New Roman"/>
          <w:sz w:val="24"/>
          <w:szCs w:val="24"/>
        </w:rPr>
        <w:t>σκηνώσεις</w:t>
      </w:r>
      <w:proofErr w:type="spellEnd"/>
      <w:r w:rsidR="00E273C0" w:rsidRPr="002335C1">
        <w:rPr>
          <w:rFonts w:ascii="Times New Roman" w:hAnsi="Times New Roman" w:cs="Times New Roman"/>
          <w:sz w:val="24"/>
          <w:szCs w:val="24"/>
        </w:rPr>
        <w:t xml:space="preserve"> (camping)</w:t>
      </w:r>
    </w:p>
    <w:p w14:paraId="10379273" w14:textId="77777777" w:rsidR="00E273C0" w:rsidRDefault="00E273C0" w:rsidP="00763F2C">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-Κατάταξη σε κατηγορία 3*** (τριών αστέρων) και άνω</w:t>
      </w:r>
    </w:p>
    <w:p w14:paraId="3EFA0265" w14:textId="77777777" w:rsidR="00E273C0" w:rsidRPr="002335C1" w:rsidRDefault="00E273C0" w:rsidP="00763F2C">
      <w:pPr>
        <w:spacing w:after="120" w:line="288" w:lineRule="auto"/>
        <w:jc w:val="both"/>
        <w:rPr>
          <w:rFonts w:ascii="Times New Roman" w:hAnsi="Times New Roman" w:cs="Times New Roman"/>
          <w:b/>
          <w:bCs/>
          <w:sz w:val="24"/>
          <w:szCs w:val="24"/>
        </w:rPr>
      </w:pPr>
      <w:r w:rsidRPr="002335C1">
        <w:rPr>
          <w:rFonts w:ascii="Times New Roman" w:hAnsi="Times New Roman" w:cs="Times New Roman"/>
          <w:b/>
          <w:bCs/>
          <w:sz w:val="24"/>
          <w:szCs w:val="24"/>
        </w:rPr>
        <w:t>ΜΗ ΚΥΡΙΑ ΞΕΝΟΔΟΧΕΙΑΚΑ ΚΑΤΑΛΥΜΑΤΑ</w:t>
      </w:r>
    </w:p>
    <w:p w14:paraId="3AAA6DB5" w14:textId="77777777" w:rsidR="00FF1C41" w:rsidRPr="002335C1" w:rsidRDefault="00E273C0" w:rsidP="00763F2C">
      <w:pPr>
        <w:pStyle w:val="a7"/>
        <w:numPr>
          <w:ilvl w:val="0"/>
          <w:numId w:val="39"/>
        </w:numPr>
        <w:spacing w:after="120" w:line="288" w:lineRule="auto"/>
        <w:contextualSpacing w:val="0"/>
        <w:jc w:val="both"/>
        <w:rPr>
          <w:rFonts w:ascii="Times New Roman" w:hAnsi="Times New Roman" w:cs="Times New Roman"/>
          <w:b/>
          <w:bCs/>
          <w:sz w:val="24"/>
          <w:szCs w:val="24"/>
          <w:lang w:val="el-GR"/>
        </w:rPr>
      </w:pPr>
      <w:r w:rsidRPr="002335C1">
        <w:rPr>
          <w:rFonts w:ascii="Times New Roman" w:hAnsi="Times New Roman" w:cs="Times New Roman"/>
          <w:sz w:val="24"/>
          <w:szCs w:val="24"/>
          <w:lang w:val="el-GR"/>
        </w:rPr>
        <w:t>Αυτοεξυπηρετούμενα καταλύματα – τουριστικές επιπλωμένες κατοικίες Ελάχιστος Αριθμός κατοικιών: Τρεις</w:t>
      </w:r>
      <w:r w:rsidR="00FF1C41" w:rsidRPr="002335C1">
        <w:rPr>
          <w:rFonts w:ascii="Times New Roman" w:hAnsi="Times New Roman" w:cs="Times New Roman"/>
          <w:sz w:val="24"/>
          <w:szCs w:val="24"/>
          <w:lang w:val="el-GR"/>
        </w:rPr>
        <w:t xml:space="preserve"> </w:t>
      </w:r>
      <w:r w:rsidRPr="002335C1">
        <w:rPr>
          <w:rFonts w:ascii="Times New Roman" w:hAnsi="Times New Roman" w:cs="Times New Roman"/>
          <w:sz w:val="24"/>
          <w:szCs w:val="24"/>
          <w:lang w:val="el-GR"/>
        </w:rPr>
        <w:t>(3)</w:t>
      </w:r>
      <w:r w:rsidR="00FF1C41" w:rsidRPr="002335C1">
        <w:rPr>
          <w:rFonts w:ascii="Times New Roman" w:hAnsi="Times New Roman" w:cs="Times New Roman"/>
          <w:sz w:val="24"/>
          <w:szCs w:val="24"/>
          <w:lang w:val="el-GR"/>
        </w:rPr>
        <w:t xml:space="preserve"> </w:t>
      </w:r>
    </w:p>
    <w:p w14:paraId="183AB483" w14:textId="373F7FC9" w:rsidR="00E273C0" w:rsidRPr="002335C1" w:rsidRDefault="00E273C0" w:rsidP="00763F2C">
      <w:pPr>
        <w:pStyle w:val="a7"/>
        <w:spacing w:after="120" w:line="288" w:lineRule="auto"/>
        <w:contextualSpacing w:val="0"/>
        <w:jc w:val="both"/>
        <w:rPr>
          <w:rFonts w:ascii="Times New Roman" w:hAnsi="Times New Roman" w:cs="Times New Roman"/>
          <w:b/>
          <w:bCs/>
          <w:sz w:val="24"/>
          <w:szCs w:val="24"/>
          <w:lang w:val="el-GR"/>
        </w:rPr>
      </w:pPr>
      <w:r w:rsidRPr="002335C1">
        <w:rPr>
          <w:rFonts w:ascii="Times New Roman" w:hAnsi="Times New Roman" w:cs="Times New Roman"/>
          <w:sz w:val="24"/>
          <w:szCs w:val="24"/>
          <w:lang w:val="el-GR"/>
        </w:rPr>
        <w:t>Σημειώνεται: Το σύνολο των αυτοεξυπηρετούμενων καταλυμάτων – τουριστικών επιπλωμένων κατοικιών</w:t>
      </w:r>
      <w:r w:rsidRPr="002335C1">
        <w:rPr>
          <w:rFonts w:ascii="Times New Roman" w:hAnsi="Times New Roman" w:cs="Times New Roman"/>
          <w:b/>
          <w:bCs/>
          <w:sz w:val="24"/>
          <w:szCs w:val="24"/>
          <w:lang w:val="el-GR"/>
        </w:rPr>
        <w:t xml:space="preserve"> </w:t>
      </w:r>
      <w:r w:rsidRPr="002335C1">
        <w:rPr>
          <w:rFonts w:ascii="Times New Roman" w:hAnsi="Times New Roman" w:cs="Times New Roman"/>
          <w:sz w:val="24"/>
          <w:szCs w:val="24"/>
          <w:lang w:val="el-GR"/>
        </w:rPr>
        <w:t xml:space="preserve">υποχρεωτικώς θα πρέπει να ενσωματώνονται στο ίδιο Σήμα </w:t>
      </w:r>
      <w:r w:rsidRPr="002335C1">
        <w:rPr>
          <w:rFonts w:ascii="Times New Roman" w:hAnsi="Times New Roman" w:cs="Times New Roman"/>
          <w:sz w:val="24"/>
          <w:szCs w:val="24"/>
        </w:rPr>
        <w:t>MHTE</w:t>
      </w:r>
    </w:p>
    <w:p w14:paraId="1F2BB492" w14:textId="77777777" w:rsidR="00E273C0" w:rsidRPr="002335C1" w:rsidRDefault="00E273C0" w:rsidP="00763F2C">
      <w:pPr>
        <w:pStyle w:val="a7"/>
        <w:numPr>
          <w:ilvl w:val="0"/>
          <w:numId w:val="39"/>
        </w:numPr>
        <w:spacing w:after="120" w:line="288" w:lineRule="auto"/>
        <w:contextualSpacing w:val="0"/>
        <w:jc w:val="both"/>
        <w:rPr>
          <w:rFonts w:ascii="Times New Roman" w:hAnsi="Times New Roman" w:cs="Times New Roman"/>
          <w:b/>
          <w:bCs/>
          <w:sz w:val="24"/>
          <w:szCs w:val="24"/>
        </w:rPr>
      </w:pPr>
      <w:proofErr w:type="spellStart"/>
      <w:r w:rsidRPr="002335C1">
        <w:rPr>
          <w:rFonts w:ascii="Times New Roman" w:hAnsi="Times New Roman" w:cs="Times New Roman"/>
          <w:sz w:val="24"/>
          <w:szCs w:val="24"/>
        </w:rPr>
        <w:lastRenderedPageBreak/>
        <w:t>Ενοικι</w:t>
      </w:r>
      <w:proofErr w:type="spellEnd"/>
      <w:r w:rsidRPr="002335C1">
        <w:rPr>
          <w:rFonts w:ascii="Times New Roman" w:hAnsi="Times New Roman" w:cs="Times New Roman"/>
          <w:sz w:val="24"/>
          <w:szCs w:val="24"/>
        </w:rPr>
        <w:t>αζόμενα επιπ</w:t>
      </w:r>
      <w:proofErr w:type="spellStart"/>
      <w:r w:rsidRPr="002335C1">
        <w:rPr>
          <w:rFonts w:ascii="Times New Roman" w:hAnsi="Times New Roman" w:cs="Times New Roman"/>
          <w:sz w:val="24"/>
          <w:szCs w:val="24"/>
        </w:rPr>
        <w:t>λωμέν</w:t>
      </w:r>
      <w:proofErr w:type="spellEnd"/>
      <w:r w:rsidRPr="002335C1">
        <w:rPr>
          <w:rFonts w:ascii="Times New Roman" w:hAnsi="Times New Roman" w:cs="Times New Roman"/>
          <w:sz w:val="24"/>
          <w:szCs w:val="24"/>
        </w:rPr>
        <w:t xml:space="preserve">α </w:t>
      </w:r>
      <w:proofErr w:type="spellStart"/>
      <w:r w:rsidRPr="002335C1">
        <w:rPr>
          <w:rFonts w:ascii="Times New Roman" w:hAnsi="Times New Roman" w:cs="Times New Roman"/>
          <w:sz w:val="24"/>
          <w:szCs w:val="24"/>
        </w:rPr>
        <w:t>δωμάτι</w:t>
      </w:r>
      <w:proofErr w:type="spellEnd"/>
      <w:r w:rsidRPr="002335C1">
        <w:rPr>
          <w:rFonts w:ascii="Times New Roman" w:hAnsi="Times New Roman" w:cs="Times New Roman"/>
          <w:sz w:val="24"/>
          <w:szCs w:val="24"/>
        </w:rPr>
        <w:t xml:space="preserve">α – </w:t>
      </w:r>
      <w:proofErr w:type="spellStart"/>
      <w:r w:rsidRPr="002335C1">
        <w:rPr>
          <w:rFonts w:ascii="Times New Roman" w:hAnsi="Times New Roman" w:cs="Times New Roman"/>
          <w:sz w:val="24"/>
          <w:szCs w:val="24"/>
        </w:rPr>
        <w:t>δι</w:t>
      </w:r>
      <w:proofErr w:type="spellEnd"/>
      <w:r w:rsidRPr="002335C1">
        <w:rPr>
          <w:rFonts w:ascii="Times New Roman" w:hAnsi="Times New Roman" w:cs="Times New Roman"/>
          <w:sz w:val="24"/>
          <w:szCs w:val="24"/>
        </w:rPr>
        <w:t>αμερίσματα</w:t>
      </w:r>
    </w:p>
    <w:p w14:paraId="6ABB1A9B" w14:textId="77777777" w:rsidR="00E273C0" w:rsidRPr="002335C1" w:rsidRDefault="00E273C0" w:rsidP="00763F2C">
      <w:pPr>
        <w:pStyle w:val="a7"/>
        <w:spacing w:after="120" w:line="288" w:lineRule="auto"/>
        <w:contextualSpacing w:val="0"/>
        <w:jc w:val="both"/>
        <w:rPr>
          <w:rFonts w:ascii="Times New Roman" w:hAnsi="Times New Roman" w:cs="Times New Roman"/>
          <w:sz w:val="24"/>
          <w:szCs w:val="24"/>
          <w:lang w:val="el-GR"/>
        </w:rPr>
      </w:pPr>
      <w:r w:rsidRPr="002335C1">
        <w:rPr>
          <w:rFonts w:ascii="Times New Roman" w:hAnsi="Times New Roman" w:cs="Times New Roman"/>
          <w:sz w:val="24"/>
          <w:szCs w:val="24"/>
          <w:lang w:val="el-GR"/>
        </w:rPr>
        <w:t>-Κατάταξη σε κατηγορία 4 κλειδιά και άνω</w:t>
      </w:r>
    </w:p>
    <w:p w14:paraId="26F896C9" w14:textId="77777777" w:rsidR="00E273C0" w:rsidRPr="002335C1" w:rsidRDefault="00E273C0" w:rsidP="00763F2C">
      <w:pPr>
        <w:spacing w:after="120" w:line="288" w:lineRule="auto"/>
        <w:ind w:left="709"/>
        <w:jc w:val="both"/>
        <w:rPr>
          <w:rFonts w:ascii="Times New Roman" w:hAnsi="Times New Roman" w:cs="Times New Roman"/>
          <w:sz w:val="24"/>
          <w:szCs w:val="24"/>
        </w:rPr>
      </w:pPr>
      <w:r w:rsidRPr="002335C1">
        <w:rPr>
          <w:rFonts w:ascii="Times New Roman" w:hAnsi="Times New Roman" w:cs="Times New Roman"/>
          <w:sz w:val="24"/>
          <w:szCs w:val="24"/>
        </w:rPr>
        <w:t>-Ελάχιστη δυναμικότητα Δώδεκα (12) κλίνες</w:t>
      </w:r>
    </w:p>
    <w:p w14:paraId="29BD54C5" w14:textId="77777777" w:rsidR="00E273C0" w:rsidRPr="002335C1" w:rsidRDefault="00E273C0" w:rsidP="00763F2C">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Το σύνολο των προϋποθέσεων συμμετοχής θα ορισθούν στην Αναλυτική Πρόσκληση της Δράσης.</w:t>
      </w:r>
    </w:p>
    <w:p w14:paraId="5F69C26F" w14:textId="77777777" w:rsidR="00E273C0" w:rsidRPr="002335C1" w:rsidRDefault="00E273C0" w:rsidP="00763F2C">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Επισημαίνεται ότι:</w:t>
      </w:r>
    </w:p>
    <w:p w14:paraId="7755175A" w14:textId="77777777" w:rsidR="00E273C0" w:rsidRPr="002335C1" w:rsidRDefault="00E273C0" w:rsidP="00763F2C">
      <w:pPr>
        <w:pStyle w:val="a7"/>
        <w:numPr>
          <w:ilvl w:val="0"/>
          <w:numId w:val="36"/>
        </w:numPr>
        <w:spacing w:after="120" w:line="288" w:lineRule="auto"/>
        <w:contextualSpacing w:val="0"/>
        <w:jc w:val="both"/>
        <w:rPr>
          <w:rFonts w:ascii="Times New Roman" w:hAnsi="Times New Roman" w:cs="Times New Roman"/>
          <w:sz w:val="24"/>
          <w:szCs w:val="24"/>
          <w:lang w:val="el-GR"/>
        </w:rPr>
      </w:pPr>
      <w:r w:rsidRPr="002335C1">
        <w:rPr>
          <w:rFonts w:ascii="Times New Roman" w:hAnsi="Times New Roman" w:cs="Times New Roman"/>
          <w:sz w:val="24"/>
          <w:szCs w:val="24"/>
          <w:lang w:val="el-GR"/>
        </w:rPr>
        <w:t>θα πρέπει να παραμείνει ίδια η εταιρική /μετοχική σύνθεση του επενδυτικού σχεδίου κατά την υλοποίηση, μέχρι την ολοκλήρωση του φυσικού και οικονομικού αντικειμένου και την αποπληρωμή της επένδυσης και για μία πενταετία από αυτήν</w:t>
      </w:r>
    </w:p>
    <w:p w14:paraId="166DE1A4" w14:textId="77777777" w:rsidR="00E273C0" w:rsidRPr="002335C1" w:rsidRDefault="00E273C0" w:rsidP="00763F2C">
      <w:pPr>
        <w:pStyle w:val="a7"/>
        <w:numPr>
          <w:ilvl w:val="0"/>
          <w:numId w:val="36"/>
        </w:numPr>
        <w:spacing w:after="120" w:line="288" w:lineRule="auto"/>
        <w:contextualSpacing w:val="0"/>
        <w:jc w:val="both"/>
        <w:rPr>
          <w:rFonts w:ascii="Times New Roman" w:hAnsi="Times New Roman" w:cs="Times New Roman"/>
          <w:sz w:val="24"/>
          <w:szCs w:val="24"/>
          <w:lang w:val="el-GR"/>
        </w:rPr>
      </w:pPr>
      <w:r w:rsidRPr="002335C1">
        <w:rPr>
          <w:rFonts w:ascii="Times New Roman" w:hAnsi="Times New Roman" w:cs="Times New Roman"/>
          <w:sz w:val="24"/>
          <w:szCs w:val="24"/>
          <w:lang w:val="el-GR"/>
        </w:rPr>
        <w:t>δεν είναι επιτρεπτή η συμμετοχή Φυσικού/Νομικού Προσώπου ως εταίρου/μετόχου σε περισσότερες από μία υποβαλλόμενες αιτήσεις χρηματοδότησης</w:t>
      </w:r>
    </w:p>
    <w:p w14:paraId="1076137E" w14:textId="77777777" w:rsidR="00E273C0" w:rsidRPr="002335C1" w:rsidRDefault="00E273C0" w:rsidP="00763F2C">
      <w:pPr>
        <w:pStyle w:val="a7"/>
        <w:numPr>
          <w:ilvl w:val="0"/>
          <w:numId w:val="36"/>
        </w:numPr>
        <w:spacing w:after="120" w:line="288" w:lineRule="auto"/>
        <w:contextualSpacing w:val="0"/>
        <w:jc w:val="both"/>
        <w:rPr>
          <w:rFonts w:ascii="Times New Roman" w:hAnsi="Times New Roman" w:cs="Times New Roman"/>
          <w:sz w:val="24"/>
          <w:szCs w:val="24"/>
          <w:lang w:val="el-GR"/>
        </w:rPr>
      </w:pPr>
      <w:r w:rsidRPr="002335C1">
        <w:rPr>
          <w:rFonts w:ascii="Times New Roman" w:hAnsi="Times New Roman" w:cs="Times New Roman"/>
          <w:sz w:val="24"/>
          <w:szCs w:val="24"/>
          <w:lang w:val="el-GR"/>
        </w:rPr>
        <w:t>δεν είναι επιτρεπτή η συμμετοχή Φυσικού/ Νομικού Προσώπου ως εταίρου αν διαθέτει ήδη επιχειρηματική δραστηριότητα σε λειτουργία στον ΚΑΔ (2ψηφια ανάλυση) της επένδυσης στην ίδια ή σε άλλη περιφέρεια.</w:t>
      </w:r>
    </w:p>
    <w:p w14:paraId="1CD6841E" w14:textId="77777777" w:rsidR="00E273C0" w:rsidRPr="002335C1" w:rsidRDefault="00E273C0" w:rsidP="00763F2C">
      <w:pPr>
        <w:pStyle w:val="a7"/>
        <w:numPr>
          <w:ilvl w:val="0"/>
          <w:numId w:val="36"/>
        </w:numPr>
        <w:spacing w:after="120" w:line="288" w:lineRule="auto"/>
        <w:contextualSpacing w:val="0"/>
        <w:jc w:val="both"/>
        <w:rPr>
          <w:rFonts w:ascii="Times New Roman" w:hAnsi="Times New Roman" w:cs="Times New Roman"/>
          <w:sz w:val="24"/>
          <w:szCs w:val="24"/>
          <w:lang w:val="el-GR"/>
        </w:rPr>
      </w:pPr>
      <w:r w:rsidRPr="002335C1">
        <w:rPr>
          <w:rFonts w:ascii="Times New Roman" w:hAnsi="Times New Roman" w:cs="Times New Roman"/>
          <w:sz w:val="24"/>
          <w:szCs w:val="24"/>
          <w:lang w:val="el-GR"/>
        </w:rPr>
        <w:t>δεν είναι επιτρεπτή η ουσιώδης αλλαγή του φυσικού αντικειμένου του έργου και του σχετικού ΚΑΔ επένδυσης κατά την υλοποίηση, μέχρι την ολοκλήρωση του φυσικού και οικονομικού αντικειμένου και την αποπληρωμή της επένδυσης και για μία πενταετία από αυτήν. Για παράδειγμα δεν είναι επιτρεπτή η αλλαγή δραστηριότητας από Καταλύματα σε Λοιπές τουριστικές δραστηριότητες (πχ ενοικίαση αυτοκινήτων ή τουριστικά γραφεία) και το αντίστροφο.</w:t>
      </w:r>
    </w:p>
    <w:p w14:paraId="6C974757" w14:textId="77777777" w:rsidR="00E273C0" w:rsidRPr="002335C1" w:rsidRDefault="00E273C0" w:rsidP="00763F2C">
      <w:pPr>
        <w:pStyle w:val="a7"/>
        <w:numPr>
          <w:ilvl w:val="0"/>
          <w:numId w:val="36"/>
        </w:numPr>
        <w:spacing w:after="120" w:line="288" w:lineRule="auto"/>
        <w:contextualSpacing w:val="0"/>
        <w:jc w:val="both"/>
        <w:rPr>
          <w:rFonts w:ascii="Times New Roman" w:hAnsi="Times New Roman" w:cs="Times New Roman"/>
          <w:sz w:val="24"/>
          <w:szCs w:val="24"/>
          <w:lang w:val="el-GR"/>
        </w:rPr>
      </w:pPr>
      <w:r w:rsidRPr="002335C1">
        <w:rPr>
          <w:rFonts w:ascii="Times New Roman" w:hAnsi="Times New Roman" w:cs="Times New Roman"/>
          <w:sz w:val="24"/>
          <w:szCs w:val="24"/>
          <w:lang w:val="el-GR"/>
        </w:rPr>
        <w:t>δεν είναι επιλέξιμη η αγορά σκάφους κάθε είδους</w:t>
      </w:r>
    </w:p>
    <w:p w14:paraId="3A7C8E4B" w14:textId="77777777" w:rsidR="00E273C0" w:rsidRPr="002335C1" w:rsidRDefault="00E273C0" w:rsidP="00763F2C">
      <w:pPr>
        <w:spacing w:after="120" w:line="288" w:lineRule="auto"/>
        <w:jc w:val="both"/>
        <w:rPr>
          <w:rFonts w:ascii="Times New Roman" w:hAnsi="Times New Roman" w:cs="Times New Roman"/>
          <w:b/>
          <w:bCs/>
          <w:sz w:val="24"/>
          <w:szCs w:val="24"/>
          <w:u w:val="single"/>
        </w:rPr>
      </w:pPr>
      <w:r w:rsidRPr="002335C1">
        <w:rPr>
          <w:rFonts w:ascii="Times New Roman" w:hAnsi="Times New Roman" w:cs="Times New Roman"/>
          <w:b/>
          <w:bCs/>
          <w:sz w:val="24"/>
          <w:szCs w:val="24"/>
          <w:u w:val="single"/>
        </w:rPr>
        <w:t>Προϋπολογισμός επενδυτικών σχεδίων – Ποσοστό ενίσχυσης</w:t>
      </w:r>
    </w:p>
    <w:p w14:paraId="5487136A" w14:textId="31C68159" w:rsidR="00E273C0" w:rsidRPr="002335C1" w:rsidRDefault="00E273C0" w:rsidP="00763F2C">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 xml:space="preserve">Ο επιχορηγούμενος προϋπολογισμός κάθε επενδυτικού σχεδίου κυμαίνεται από </w:t>
      </w:r>
      <w:r w:rsidRPr="002335C1">
        <w:rPr>
          <w:rFonts w:ascii="Times New Roman" w:hAnsi="Times New Roman" w:cs="Times New Roman"/>
          <w:b/>
          <w:bCs/>
          <w:sz w:val="24"/>
          <w:szCs w:val="24"/>
        </w:rPr>
        <w:t>80.000 €</w:t>
      </w:r>
      <w:r w:rsidRPr="002335C1">
        <w:rPr>
          <w:rFonts w:ascii="Times New Roman" w:hAnsi="Times New Roman" w:cs="Times New Roman"/>
          <w:sz w:val="24"/>
          <w:szCs w:val="24"/>
        </w:rPr>
        <w:t xml:space="preserve"> έως </w:t>
      </w:r>
      <w:r w:rsidRPr="002335C1">
        <w:rPr>
          <w:rFonts w:ascii="Times New Roman" w:hAnsi="Times New Roman" w:cs="Times New Roman"/>
          <w:b/>
          <w:bCs/>
          <w:sz w:val="24"/>
          <w:szCs w:val="24"/>
        </w:rPr>
        <w:t>400.000 €.</w:t>
      </w:r>
      <w:r w:rsidR="008271E9" w:rsidRPr="002335C1">
        <w:rPr>
          <w:rFonts w:ascii="Times New Roman" w:hAnsi="Times New Roman" w:cs="Times New Roman"/>
          <w:sz w:val="24"/>
          <w:szCs w:val="24"/>
        </w:rPr>
        <w:t xml:space="preserve"> </w:t>
      </w:r>
      <w:r w:rsidRPr="002335C1">
        <w:rPr>
          <w:rFonts w:ascii="Times New Roman" w:hAnsi="Times New Roman" w:cs="Times New Roman"/>
          <w:sz w:val="24"/>
          <w:szCs w:val="24"/>
        </w:rPr>
        <w:t>Η επιχορήγηση θα ανέρχεται σε ποσοστό 45% επί των υποβαλλόμενων δαπανών.</w:t>
      </w:r>
      <w:r w:rsidR="008271E9" w:rsidRPr="002335C1">
        <w:rPr>
          <w:rFonts w:ascii="Times New Roman" w:hAnsi="Times New Roman" w:cs="Times New Roman"/>
          <w:sz w:val="24"/>
          <w:szCs w:val="24"/>
        </w:rPr>
        <w:t xml:space="preserve"> </w:t>
      </w:r>
      <w:r w:rsidRPr="002335C1">
        <w:rPr>
          <w:rFonts w:ascii="Times New Roman" w:hAnsi="Times New Roman" w:cs="Times New Roman"/>
          <w:sz w:val="24"/>
          <w:szCs w:val="24"/>
        </w:rPr>
        <w:t>Το ποσοστό ενίσχυσης δύναται να προσαυξάνεται κατά:</w:t>
      </w:r>
    </w:p>
    <w:p w14:paraId="5D00B6C0" w14:textId="77777777" w:rsidR="00E273C0" w:rsidRPr="002335C1" w:rsidRDefault="00E273C0" w:rsidP="00763F2C">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 xml:space="preserve">(α) </w:t>
      </w:r>
      <w:r w:rsidRPr="002335C1">
        <w:rPr>
          <w:rFonts w:ascii="Times New Roman" w:hAnsi="Times New Roman" w:cs="Times New Roman"/>
          <w:b/>
          <w:bCs/>
          <w:sz w:val="24"/>
          <w:szCs w:val="24"/>
        </w:rPr>
        <w:t>10%</w:t>
      </w:r>
      <w:r w:rsidRPr="002335C1">
        <w:rPr>
          <w:rFonts w:ascii="Times New Roman" w:hAnsi="Times New Roman" w:cs="Times New Roman"/>
          <w:sz w:val="24"/>
          <w:szCs w:val="24"/>
        </w:rPr>
        <w:t xml:space="preserve"> εφόσον η επένδυση πραγματοποιηθεί σε απομακρυσμένη ή πυρόπληκτη ή πλημμυροπαθή περιοχή ή μικρά νησιά και</w:t>
      </w:r>
    </w:p>
    <w:p w14:paraId="7F6FDD81" w14:textId="77777777" w:rsidR="00E273C0" w:rsidRPr="002335C1" w:rsidRDefault="00E273C0" w:rsidP="00763F2C">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 xml:space="preserve">(β) επιπλέον κατά </w:t>
      </w:r>
      <w:r w:rsidRPr="002335C1">
        <w:rPr>
          <w:rFonts w:ascii="Times New Roman" w:hAnsi="Times New Roman" w:cs="Times New Roman"/>
          <w:b/>
          <w:bCs/>
          <w:sz w:val="24"/>
          <w:szCs w:val="24"/>
        </w:rPr>
        <w:t>5%</w:t>
      </w:r>
      <w:r w:rsidRPr="002335C1">
        <w:rPr>
          <w:rFonts w:ascii="Times New Roman" w:hAnsi="Times New Roman" w:cs="Times New Roman"/>
          <w:sz w:val="24"/>
          <w:szCs w:val="24"/>
        </w:rPr>
        <w:t xml:space="preserve"> με την επίτευξη της κάλυψης του στόχου απασχόλησης τουλάχιστον 0,2 ΕΜΕ, τον πρώτο χρόνο μετά την ολοκλήρωση της επένδυσης.</w:t>
      </w:r>
    </w:p>
    <w:p w14:paraId="0191A470" w14:textId="77777777" w:rsidR="00E273C0" w:rsidRPr="002335C1" w:rsidRDefault="00E273C0" w:rsidP="00763F2C">
      <w:pPr>
        <w:spacing w:after="120" w:line="288" w:lineRule="auto"/>
        <w:jc w:val="both"/>
        <w:rPr>
          <w:rFonts w:ascii="Times New Roman" w:hAnsi="Times New Roman" w:cs="Times New Roman"/>
          <w:b/>
          <w:bCs/>
          <w:sz w:val="24"/>
          <w:szCs w:val="24"/>
          <w:u w:val="single"/>
        </w:rPr>
      </w:pPr>
      <w:r w:rsidRPr="002335C1">
        <w:rPr>
          <w:rFonts w:ascii="Times New Roman" w:hAnsi="Times New Roman" w:cs="Times New Roman"/>
          <w:b/>
          <w:bCs/>
          <w:sz w:val="24"/>
          <w:szCs w:val="24"/>
          <w:u w:val="single"/>
        </w:rPr>
        <w:t>Διάρκεια Υλοποίησης των επενδυτικών σχεδίων</w:t>
      </w:r>
    </w:p>
    <w:p w14:paraId="4B5E18DB" w14:textId="77777777" w:rsidR="00E273C0" w:rsidRDefault="00E273C0" w:rsidP="00763F2C">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Η διάρκεια υλοποίησης του φυσικού και οικονομικού αντικειμένου του επενδυτικού σχεδίου ορίζεται αυστηρά σε 24 μήνες, μη επιδεχόμενη την οποιαδήποτε παράταση.</w:t>
      </w:r>
    </w:p>
    <w:p w14:paraId="7B69B5A6" w14:textId="77777777" w:rsidR="00763F2C" w:rsidRPr="002335C1" w:rsidRDefault="00763F2C" w:rsidP="00763F2C">
      <w:pPr>
        <w:spacing w:after="120" w:line="288" w:lineRule="auto"/>
        <w:jc w:val="both"/>
        <w:rPr>
          <w:rFonts w:ascii="Times New Roman" w:hAnsi="Times New Roman" w:cs="Times New Roman"/>
          <w:sz w:val="24"/>
          <w:szCs w:val="24"/>
        </w:rPr>
      </w:pPr>
    </w:p>
    <w:p w14:paraId="73EC5DED" w14:textId="77777777" w:rsidR="00E273C0" w:rsidRPr="002335C1" w:rsidRDefault="00E273C0" w:rsidP="00763F2C">
      <w:pPr>
        <w:spacing w:after="120" w:line="288" w:lineRule="auto"/>
        <w:jc w:val="both"/>
        <w:rPr>
          <w:rFonts w:ascii="Times New Roman" w:hAnsi="Times New Roman" w:cs="Times New Roman"/>
          <w:b/>
          <w:bCs/>
          <w:sz w:val="24"/>
          <w:szCs w:val="24"/>
          <w:u w:val="single"/>
        </w:rPr>
      </w:pPr>
      <w:r w:rsidRPr="002335C1">
        <w:rPr>
          <w:rFonts w:ascii="Times New Roman" w:hAnsi="Times New Roman" w:cs="Times New Roman"/>
          <w:b/>
          <w:bCs/>
          <w:sz w:val="24"/>
          <w:szCs w:val="24"/>
          <w:u w:val="single"/>
        </w:rPr>
        <w:lastRenderedPageBreak/>
        <w:t>Ενισχυόμενες Δαπάνες</w:t>
      </w:r>
    </w:p>
    <w:p w14:paraId="4DDC46A1" w14:textId="77777777" w:rsidR="00E273C0" w:rsidRPr="002335C1" w:rsidRDefault="00E273C0" w:rsidP="00763F2C">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Οι δαπάνες που θα μπορούν να ενταχθούν προς ενίσχυση αναμένεται να εντάσσονται στις κάτωθι κατηγορίες:</w:t>
      </w:r>
    </w:p>
    <w:p w14:paraId="168E804F" w14:textId="77777777" w:rsidR="00E273C0" w:rsidRPr="002335C1" w:rsidRDefault="00E273C0" w:rsidP="00763F2C">
      <w:pPr>
        <w:pStyle w:val="a7"/>
        <w:numPr>
          <w:ilvl w:val="0"/>
          <w:numId w:val="37"/>
        </w:numPr>
        <w:spacing w:after="120" w:line="288" w:lineRule="auto"/>
        <w:contextualSpacing w:val="0"/>
        <w:jc w:val="both"/>
        <w:rPr>
          <w:rFonts w:ascii="Times New Roman" w:hAnsi="Times New Roman" w:cs="Times New Roman"/>
          <w:sz w:val="24"/>
          <w:szCs w:val="24"/>
        </w:rPr>
      </w:pPr>
      <w:r w:rsidRPr="002335C1">
        <w:rPr>
          <w:rFonts w:ascii="Times New Roman" w:hAnsi="Times New Roman" w:cs="Times New Roman"/>
          <w:sz w:val="24"/>
          <w:szCs w:val="24"/>
        </w:rPr>
        <w:t>Κτίρια, Εγκαταστάσεις και Περιβάλλον Χώρος</w:t>
      </w:r>
    </w:p>
    <w:p w14:paraId="73DD06CD" w14:textId="77777777" w:rsidR="00E273C0" w:rsidRPr="002335C1" w:rsidRDefault="00E273C0" w:rsidP="00763F2C">
      <w:pPr>
        <w:pStyle w:val="a7"/>
        <w:numPr>
          <w:ilvl w:val="0"/>
          <w:numId w:val="37"/>
        </w:numPr>
        <w:spacing w:after="120" w:line="288" w:lineRule="auto"/>
        <w:contextualSpacing w:val="0"/>
        <w:jc w:val="both"/>
        <w:rPr>
          <w:rFonts w:ascii="Times New Roman" w:hAnsi="Times New Roman" w:cs="Times New Roman"/>
          <w:sz w:val="24"/>
          <w:szCs w:val="24"/>
        </w:rPr>
      </w:pPr>
      <w:r w:rsidRPr="002335C1">
        <w:rPr>
          <w:rFonts w:ascii="Times New Roman" w:hAnsi="Times New Roman" w:cs="Times New Roman"/>
          <w:sz w:val="24"/>
          <w:szCs w:val="24"/>
        </w:rPr>
        <w:t>Μηχανήματα – Εξοπλισμός</w:t>
      </w:r>
    </w:p>
    <w:p w14:paraId="015AD7D8" w14:textId="77777777" w:rsidR="00E273C0" w:rsidRPr="002335C1" w:rsidRDefault="00E273C0" w:rsidP="00763F2C">
      <w:pPr>
        <w:pStyle w:val="a7"/>
        <w:numPr>
          <w:ilvl w:val="0"/>
          <w:numId w:val="37"/>
        </w:numPr>
        <w:spacing w:after="120" w:line="288" w:lineRule="auto"/>
        <w:contextualSpacing w:val="0"/>
        <w:jc w:val="both"/>
        <w:rPr>
          <w:rFonts w:ascii="Times New Roman" w:hAnsi="Times New Roman" w:cs="Times New Roman"/>
          <w:sz w:val="24"/>
          <w:szCs w:val="24"/>
        </w:rPr>
      </w:pPr>
      <w:r w:rsidRPr="002335C1">
        <w:rPr>
          <w:rFonts w:ascii="Times New Roman" w:hAnsi="Times New Roman" w:cs="Times New Roman"/>
          <w:sz w:val="24"/>
          <w:szCs w:val="24"/>
        </w:rPr>
        <w:t>Ψηφιακός Εξοπλισμός και Λογισμικό</w:t>
      </w:r>
    </w:p>
    <w:p w14:paraId="15172634" w14:textId="77777777" w:rsidR="00E273C0" w:rsidRPr="002335C1" w:rsidRDefault="00E273C0" w:rsidP="00763F2C">
      <w:pPr>
        <w:pStyle w:val="a7"/>
        <w:numPr>
          <w:ilvl w:val="0"/>
          <w:numId w:val="37"/>
        </w:numPr>
        <w:spacing w:after="120" w:line="288" w:lineRule="auto"/>
        <w:contextualSpacing w:val="0"/>
        <w:jc w:val="both"/>
        <w:rPr>
          <w:rFonts w:ascii="Times New Roman" w:hAnsi="Times New Roman" w:cs="Times New Roman"/>
          <w:sz w:val="24"/>
          <w:szCs w:val="24"/>
        </w:rPr>
      </w:pPr>
      <w:r w:rsidRPr="002335C1">
        <w:rPr>
          <w:rFonts w:ascii="Times New Roman" w:hAnsi="Times New Roman" w:cs="Times New Roman"/>
          <w:sz w:val="24"/>
          <w:szCs w:val="24"/>
        </w:rPr>
        <w:t>Λοιπός Εξοπλισμός</w:t>
      </w:r>
    </w:p>
    <w:p w14:paraId="34215D3A" w14:textId="77777777" w:rsidR="00E273C0" w:rsidRPr="002335C1" w:rsidRDefault="00E273C0" w:rsidP="00763F2C">
      <w:pPr>
        <w:pStyle w:val="a7"/>
        <w:numPr>
          <w:ilvl w:val="0"/>
          <w:numId w:val="37"/>
        </w:numPr>
        <w:spacing w:after="120" w:line="288" w:lineRule="auto"/>
        <w:contextualSpacing w:val="0"/>
        <w:jc w:val="both"/>
        <w:rPr>
          <w:rFonts w:ascii="Times New Roman" w:hAnsi="Times New Roman" w:cs="Times New Roman"/>
          <w:sz w:val="24"/>
          <w:szCs w:val="24"/>
          <w:lang w:val="el-GR"/>
        </w:rPr>
      </w:pPr>
      <w:r w:rsidRPr="002335C1">
        <w:rPr>
          <w:rFonts w:ascii="Times New Roman" w:hAnsi="Times New Roman" w:cs="Times New Roman"/>
          <w:sz w:val="24"/>
          <w:szCs w:val="24"/>
          <w:lang w:val="el-GR"/>
        </w:rPr>
        <w:t>Ενισχύσεις πρώτης λειτουργίας (εκκίνησης ΜΜΕ)</w:t>
      </w:r>
    </w:p>
    <w:p w14:paraId="7F025238" w14:textId="77777777" w:rsidR="00E273C0" w:rsidRPr="002335C1" w:rsidRDefault="00E273C0" w:rsidP="00763F2C">
      <w:pPr>
        <w:pStyle w:val="a7"/>
        <w:numPr>
          <w:ilvl w:val="0"/>
          <w:numId w:val="37"/>
        </w:numPr>
        <w:spacing w:after="120" w:line="288" w:lineRule="auto"/>
        <w:contextualSpacing w:val="0"/>
        <w:jc w:val="both"/>
        <w:rPr>
          <w:rFonts w:ascii="Times New Roman" w:hAnsi="Times New Roman" w:cs="Times New Roman"/>
          <w:sz w:val="24"/>
          <w:szCs w:val="24"/>
        </w:rPr>
      </w:pPr>
      <w:r w:rsidRPr="002335C1">
        <w:rPr>
          <w:rFonts w:ascii="Times New Roman" w:hAnsi="Times New Roman" w:cs="Times New Roman"/>
          <w:sz w:val="24"/>
          <w:szCs w:val="24"/>
        </w:rPr>
        <w:t>Δαπ</w:t>
      </w:r>
      <w:proofErr w:type="spellStart"/>
      <w:r w:rsidRPr="002335C1">
        <w:rPr>
          <w:rFonts w:ascii="Times New Roman" w:hAnsi="Times New Roman" w:cs="Times New Roman"/>
          <w:sz w:val="24"/>
          <w:szCs w:val="24"/>
        </w:rPr>
        <w:t>άνες</w:t>
      </w:r>
      <w:proofErr w:type="spellEnd"/>
      <w:r w:rsidRPr="002335C1">
        <w:rPr>
          <w:rFonts w:ascii="Times New Roman" w:hAnsi="Times New Roman" w:cs="Times New Roman"/>
          <w:sz w:val="24"/>
          <w:szCs w:val="24"/>
        </w:rPr>
        <w:t xml:space="preserve"> </w:t>
      </w:r>
      <w:proofErr w:type="spellStart"/>
      <w:r w:rsidRPr="002335C1">
        <w:rPr>
          <w:rFonts w:ascii="Times New Roman" w:hAnsi="Times New Roman" w:cs="Times New Roman"/>
          <w:sz w:val="24"/>
          <w:szCs w:val="24"/>
        </w:rPr>
        <w:t>Προ</w:t>
      </w:r>
      <w:proofErr w:type="spellEnd"/>
      <w:r w:rsidRPr="002335C1">
        <w:rPr>
          <w:rFonts w:ascii="Times New Roman" w:hAnsi="Times New Roman" w:cs="Times New Roman"/>
          <w:sz w:val="24"/>
          <w:szCs w:val="24"/>
        </w:rPr>
        <w:t xml:space="preserve">βολής και </w:t>
      </w:r>
      <w:proofErr w:type="spellStart"/>
      <w:r w:rsidRPr="002335C1">
        <w:rPr>
          <w:rFonts w:ascii="Times New Roman" w:hAnsi="Times New Roman" w:cs="Times New Roman"/>
          <w:sz w:val="24"/>
          <w:szCs w:val="24"/>
        </w:rPr>
        <w:t>Εξωστρέφει</w:t>
      </w:r>
      <w:proofErr w:type="spellEnd"/>
      <w:r w:rsidRPr="002335C1">
        <w:rPr>
          <w:rFonts w:ascii="Times New Roman" w:hAnsi="Times New Roman" w:cs="Times New Roman"/>
          <w:sz w:val="24"/>
          <w:szCs w:val="24"/>
        </w:rPr>
        <w:t>ας</w:t>
      </w:r>
    </w:p>
    <w:p w14:paraId="1719363B" w14:textId="77777777" w:rsidR="00E273C0" w:rsidRPr="002335C1" w:rsidRDefault="00E273C0" w:rsidP="00763F2C">
      <w:pPr>
        <w:pStyle w:val="a7"/>
        <w:numPr>
          <w:ilvl w:val="0"/>
          <w:numId w:val="37"/>
        </w:numPr>
        <w:spacing w:after="120" w:line="288" w:lineRule="auto"/>
        <w:contextualSpacing w:val="0"/>
        <w:jc w:val="both"/>
        <w:rPr>
          <w:rFonts w:ascii="Times New Roman" w:hAnsi="Times New Roman" w:cs="Times New Roman"/>
          <w:sz w:val="24"/>
          <w:szCs w:val="24"/>
        </w:rPr>
      </w:pPr>
      <w:r w:rsidRPr="002335C1">
        <w:rPr>
          <w:rFonts w:ascii="Times New Roman" w:hAnsi="Times New Roman" w:cs="Times New Roman"/>
          <w:sz w:val="24"/>
          <w:szCs w:val="24"/>
        </w:rPr>
        <w:t>Τεχνικές Μελέτες</w:t>
      </w:r>
    </w:p>
    <w:p w14:paraId="3D422550" w14:textId="77777777" w:rsidR="00E273C0" w:rsidRPr="002335C1" w:rsidRDefault="00E273C0" w:rsidP="00763F2C">
      <w:pPr>
        <w:pStyle w:val="a7"/>
        <w:numPr>
          <w:ilvl w:val="0"/>
          <w:numId w:val="37"/>
        </w:numPr>
        <w:spacing w:after="120" w:line="288" w:lineRule="auto"/>
        <w:contextualSpacing w:val="0"/>
        <w:jc w:val="both"/>
        <w:rPr>
          <w:rFonts w:ascii="Times New Roman" w:hAnsi="Times New Roman" w:cs="Times New Roman"/>
          <w:sz w:val="24"/>
          <w:szCs w:val="24"/>
        </w:rPr>
      </w:pPr>
      <w:r w:rsidRPr="002335C1">
        <w:rPr>
          <w:rFonts w:ascii="Times New Roman" w:hAnsi="Times New Roman" w:cs="Times New Roman"/>
          <w:sz w:val="24"/>
          <w:szCs w:val="24"/>
        </w:rPr>
        <w:t>Συμβουλευτικές Υπηρεσίες</w:t>
      </w:r>
    </w:p>
    <w:p w14:paraId="2D9E4A87" w14:textId="77777777" w:rsidR="00E273C0" w:rsidRPr="002335C1" w:rsidRDefault="00E273C0" w:rsidP="00763F2C">
      <w:pPr>
        <w:pStyle w:val="a7"/>
        <w:numPr>
          <w:ilvl w:val="0"/>
          <w:numId w:val="37"/>
        </w:numPr>
        <w:spacing w:after="120" w:line="288" w:lineRule="auto"/>
        <w:contextualSpacing w:val="0"/>
        <w:jc w:val="both"/>
        <w:rPr>
          <w:rFonts w:ascii="Times New Roman" w:hAnsi="Times New Roman" w:cs="Times New Roman"/>
          <w:sz w:val="24"/>
          <w:szCs w:val="24"/>
        </w:rPr>
      </w:pPr>
      <w:r w:rsidRPr="002335C1">
        <w:rPr>
          <w:rFonts w:ascii="Times New Roman" w:hAnsi="Times New Roman" w:cs="Times New Roman"/>
          <w:sz w:val="24"/>
          <w:szCs w:val="24"/>
        </w:rPr>
        <w:t>Μεταφορικά Μέσα</w:t>
      </w:r>
    </w:p>
    <w:p w14:paraId="2C9DD611" w14:textId="77777777" w:rsidR="00E273C0" w:rsidRPr="002335C1" w:rsidRDefault="00E273C0" w:rsidP="00763F2C">
      <w:pPr>
        <w:pStyle w:val="a7"/>
        <w:numPr>
          <w:ilvl w:val="0"/>
          <w:numId w:val="37"/>
        </w:numPr>
        <w:spacing w:after="120" w:line="288" w:lineRule="auto"/>
        <w:contextualSpacing w:val="0"/>
        <w:jc w:val="both"/>
        <w:rPr>
          <w:rFonts w:ascii="Times New Roman" w:hAnsi="Times New Roman" w:cs="Times New Roman"/>
          <w:sz w:val="24"/>
          <w:szCs w:val="24"/>
          <w:lang w:val="el-GR"/>
        </w:rPr>
      </w:pPr>
      <w:r w:rsidRPr="002335C1">
        <w:rPr>
          <w:rFonts w:ascii="Times New Roman" w:hAnsi="Times New Roman" w:cs="Times New Roman"/>
          <w:sz w:val="24"/>
          <w:szCs w:val="24"/>
          <w:lang w:val="el-GR"/>
        </w:rPr>
        <w:t>Έμμεσες δαπάνες (έως 7% επί των επιλέξιμων άμεσων δαπανών του επενδυτικού σχεδίου)</w:t>
      </w:r>
    </w:p>
    <w:p w14:paraId="6D451235" w14:textId="355B437E" w:rsidR="00E273C0" w:rsidRPr="002335C1" w:rsidRDefault="00E273C0" w:rsidP="00763F2C">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Οι επιλέξιμες κατηγορίες δαπανών καθώς και το μέγιστο ανώτατο όριο αυτών, θα ορισθούν στην Αναλυτική Πρόσκληση της Δράσης.</w:t>
      </w:r>
      <w:r w:rsidR="00EC28AB" w:rsidRPr="002335C1">
        <w:rPr>
          <w:rFonts w:ascii="Times New Roman" w:hAnsi="Times New Roman" w:cs="Times New Roman"/>
          <w:sz w:val="24"/>
          <w:szCs w:val="24"/>
        </w:rPr>
        <w:t xml:space="preserve"> </w:t>
      </w:r>
      <w:r w:rsidRPr="002335C1">
        <w:rPr>
          <w:rFonts w:ascii="Times New Roman" w:hAnsi="Times New Roman" w:cs="Times New Roman"/>
          <w:sz w:val="24"/>
          <w:szCs w:val="24"/>
        </w:rPr>
        <w:t xml:space="preserve">Ως ημερομηνία έναρξης </w:t>
      </w:r>
      <w:proofErr w:type="spellStart"/>
      <w:r w:rsidRPr="002335C1">
        <w:rPr>
          <w:rFonts w:ascii="Times New Roman" w:hAnsi="Times New Roman" w:cs="Times New Roman"/>
          <w:sz w:val="24"/>
          <w:szCs w:val="24"/>
        </w:rPr>
        <w:t>επιλεξιμότητας</w:t>
      </w:r>
      <w:proofErr w:type="spellEnd"/>
      <w:r w:rsidRPr="002335C1">
        <w:rPr>
          <w:rFonts w:ascii="Times New Roman" w:hAnsi="Times New Roman" w:cs="Times New Roman"/>
          <w:sz w:val="24"/>
          <w:szCs w:val="24"/>
        </w:rPr>
        <w:t xml:space="preserve"> δαπανών ορίζεται η ημερομηνία προκήρυξης της Δράσης.</w:t>
      </w:r>
    </w:p>
    <w:p w14:paraId="6B80BA3E" w14:textId="77777777" w:rsidR="00EC28AB" w:rsidRPr="002335C1" w:rsidRDefault="00EC28AB" w:rsidP="00763F2C">
      <w:pPr>
        <w:spacing w:after="120" w:line="288" w:lineRule="auto"/>
        <w:jc w:val="both"/>
        <w:rPr>
          <w:rFonts w:ascii="Times New Roman" w:hAnsi="Times New Roman" w:cs="Times New Roman"/>
          <w:sz w:val="24"/>
          <w:szCs w:val="24"/>
        </w:rPr>
      </w:pPr>
    </w:p>
    <w:p w14:paraId="0DD86535" w14:textId="77777777" w:rsidR="00E273C0" w:rsidRPr="002335C1" w:rsidRDefault="00E273C0" w:rsidP="00763F2C">
      <w:pPr>
        <w:spacing w:after="120" w:line="288" w:lineRule="auto"/>
        <w:jc w:val="both"/>
        <w:rPr>
          <w:rFonts w:ascii="Times New Roman" w:hAnsi="Times New Roman" w:cs="Times New Roman"/>
          <w:b/>
          <w:bCs/>
          <w:sz w:val="24"/>
          <w:szCs w:val="24"/>
          <w:u w:val="single"/>
        </w:rPr>
      </w:pPr>
      <w:r w:rsidRPr="002335C1">
        <w:rPr>
          <w:rFonts w:ascii="Times New Roman" w:hAnsi="Times New Roman" w:cs="Times New Roman"/>
          <w:b/>
          <w:bCs/>
          <w:sz w:val="24"/>
          <w:szCs w:val="24"/>
          <w:u w:val="single"/>
        </w:rPr>
        <w:t>Υποβολή – Αξιολόγηση – Ένταξη – Υλοποίηση</w:t>
      </w:r>
    </w:p>
    <w:p w14:paraId="41AF4FBC" w14:textId="77777777" w:rsidR="00E273C0" w:rsidRPr="002335C1" w:rsidRDefault="00E273C0" w:rsidP="00763F2C">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Οι αιτήσεις χρηματοδότησης θα υποβάλλονται μόνον ηλεκτρονικά χωρίς την προσκόμιση φυσικού φάκελου δικαιολογητικών μέσω του Ολοκληρωμένου Πληροφοριακού Συστήματος Διαχείρισης Κρατικών Ενισχύσεων (ΟΠΣΚΕ). Η προθεσμία και ο τρόπος υποβολής, τα απαιτούμενα δικαιολογητικά, οι υποχρεώσεις των δικαιούχων καθώς και οι λοιποί όροι υλοποίησης θα περιγράφουν στην Αναλυτική Πρόσκληση της Δράσης.</w:t>
      </w:r>
    </w:p>
    <w:p w14:paraId="7D92C2F3" w14:textId="77777777" w:rsidR="00E273C0" w:rsidRPr="002335C1" w:rsidRDefault="00E273C0" w:rsidP="00763F2C">
      <w:pPr>
        <w:spacing w:after="120" w:line="288" w:lineRule="auto"/>
        <w:jc w:val="both"/>
        <w:rPr>
          <w:rFonts w:ascii="Times New Roman" w:hAnsi="Times New Roman" w:cs="Times New Roman"/>
          <w:b/>
          <w:bCs/>
          <w:sz w:val="24"/>
          <w:szCs w:val="24"/>
        </w:rPr>
      </w:pPr>
      <w:r w:rsidRPr="002335C1">
        <w:rPr>
          <w:rFonts w:ascii="Times New Roman" w:hAnsi="Times New Roman" w:cs="Times New Roman"/>
          <w:b/>
          <w:bCs/>
          <w:sz w:val="24"/>
          <w:szCs w:val="24"/>
        </w:rPr>
        <w:t xml:space="preserve">Κατά την αξιολόγηση και τον έλεγχο των αιτήσεων θα γίνουν διασταυρώσεις μέσω Εθνικών Βάσεων Δεδομένων ώστε να επαληθευθεί η ακρίβεια των στοιχείων που περιέχονται σε αυτές και να αποφευχθούν φαινόμενα απάτης σε βάρος του </w:t>
      </w:r>
      <w:proofErr w:type="spellStart"/>
      <w:r w:rsidRPr="002335C1">
        <w:rPr>
          <w:rFonts w:ascii="Times New Roman" w:hAnsi="Times New Roman" w:cs="Times New Roman"/>
          <w:b/>
          <w:bCs/>
          <w:sz w:val="24"/>
          <w:szCs w:val="24"/>
        </w:rPr>
        <w:t>ενωσιακού</w:t>
      </w:r>
      <w:proofErr w:type="spellEnd"/>
      <w:r w:rsidRPr="002335C1">
        <w:rPr>
          <w:rFonts w:ascii="Times New Roman" w:hAnsi="Times New Roman" w:cs="Times New Roman"/>
          <w:b/>
          <w:bCs/>
          <w:sz w:val="24"/>
          <w:szCs w:val="24"/>
        </w:rPr>
        <w:t xml:space="preserve"> προϋπολογισμού.</w:t>
      </w:r>
    </w:p>
    <w:p w14:paraId="024DD473" w14:textId="77777777" w:rsidR="00E273C0" w:rsidRPr="002335C1" w:rsidRDefault="00E273C0" w:rsidP="00763F2C">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 xml:space="preserve">Η μεθοδολογία που θα εφαρμοστεί για την αξιολόγηση της δράσης είναι </w:t>
      </w:r>
      <w:r w:rsidRPr="002335C1">
        <w:rPr>
          <w:rFonts w:ascii="Times New Roman" w:hAnsi="Times New Roman" w:cs="Times New Roman"/>
          <w:b/>
          <w:bCs/>
          <w:sz w:val="24"/>
          <w:szCs w:val="24"/>
        </w:rPr>
        <w:t>η Συγκριτική Αξιολόγηση</w:t>
      </w:r>
      <w:r w:rsidRPr="002335C1">
        <w:rPr>
          <w:rFonts w:ascii="Times New Roman" w:hAnsi="Times New Roman" w:cs="Times New Roman"/>
          <w:sz w:val="24"/>
          <w:szCs w:val="24"/>
        </w:rPr>
        <w:t>.</w:t>
      </w:r>
    </w:p>
    <w:p w14:paraId="7EDBF01A" w14:textId="77777777" w:rsidR="00E273C0" w:rsidRPr="002335C1" w:rsidRDefault="00E273C0" w:rsidP="00763F2C">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Αρχικά, θα διενεργείται έλεγχος προϋποθέσεων συμμετοχής και στη συνέχεια θα βαθμολογούνται βάσει κριτηρίων που θα ορισθούν στην αναλυτική Πρόσκληση και στα αντίστοιχα παραρτήματα αυτής. Ενδεικτικά, δύνανται να περιλαμβάνονται τα ακόλουθα:</w:t>
      </w:r>
    </w:p>
    <w:p w14:paraId="56971BB8" w14:textId="77777777" w:rsidR="00E273C0" w:rsidRPr="002335C1" w:rsidRDefault="00E273C0" w:rsidP="00763F2C">
      <w:pPr>
        <w:pStyle w:val="a7"/>
        <w:numPr>
          <w:ilvl w:val="0"/>
          <w:numId w:val="40"/>
        </w:numPr>
        <w:spacing w:after="120" w:line="288" w:lineRule="auto"/>
        <w:contextualSpacing w:val="0"/>
        <w:jc w:val="both"/>
        <w:rPr>
          <w:rFonts w:ascii="Times New Roman" w:hAnsi="Times New Roman" w:cs="Times New Roman"/>
          <w:sz w:val="24"/>
          <w:szCs w:val="24"/>
          <w:lang w:val="el-GR"/>
        </w:rPr>
      </w:pPr>
      <w:r w:rsidRPr="002335C1">
        <w:rPr>
          <w:rFonts w:ascii="Times New Roman" w:hAnsi="Times New Roman" w:cs="Times New Roman"/>
          <w:sz w:val="24"/>
          <w:szCs w:val="24"/>
          <w:lang w:val="el-GR"/>
        </w:rPr>
        <w:t>η περιγραφή, σαφήνεια, πληρότητα και βιωσιμότητα του επενδυτικού σχεδίου</w:t>
      </w:r>
    </w:p>
    <w:p w14:paraId="2A06F386" w14:textId="3517493E" w:rsidR="00E273C0" w:rsidRPr="002335C1" w:rsidRDefault="00E273C0" w:rsidP="00763F2C">
      <w:pPr>
        <w:pStyle w:val="a7"/>
        <w:numPr>
          <w:ilvl w:val="0"/>
          <w:numId w:val="40"/>
        </w:numPr>
        <w:spacing w:after="120" w:line="288" w:lineRule="auto"/>
        <w:contextualSpacing w:val="0"/>
        <w:jc w:val="both"/>
        <w:rPr>
          <w:rFonts w:ascii="Times New Roman" w:hAnsi="Times New Roman" w:cs="Times New Roman"/>
          <w:sz w:val="24"/>
          <w:szCs w:val="24"/>
          <w:lang w:val="el-GR"/>
        </w:rPr>
      </w:pPr>
      <w:r w:rsidRPr="002335C1">
        <w:rPr>
          <w:rFonts w:ascii="Times New Roman" w:hAnsi="Times New Roman" w:cs="Times New Roman"/>
          <w:sz w:val="24"/>
          <w:szCs w:val="24"/>
          <w:lang w:val="el-GR"/>
        </w:rPr>
        <w:lastRenderedPageBreak/>
        <w:t>η εμπειρία και συνάφεια των γνώσεων εταίρων / μετόχων της επιχείρησης για την υλοποίηση του επενδυτικού</w:t>
      </w:r>
      <w:r w:rsidR="00253BA7" w:rsidRPr="002335C1">
        <w:rPr>
          <w:rFonts w:ascii="Times New Roman" w:hAnsi="Times New Roman" w:cs="Times New Roman"/>
          <w:sz w:val="24"/>
          <w:szCs w:val="24"/>
          <w:lang w:val="el-GR"/>
        </w:rPr>
        <w:t xml:space="preserve"> </w:t>
      </w:r>
      <w:r w:rsidRPr="002335C1">
        <w:rPr>
          <w:rFonts w:ascii="Times New Roman" w:hAnsi="Times New Roman" w:cs="Times New Roman"/>
          <w:sz w:val="24"/>
          <w:szCs w:val="24"/>
          <w:lang w:val="el-GR"/>
        </w:rPr>
        <w:t>σχεδίου</w:t>
      </w:r>
    </w:p>
    <w:p w14:paraId="67B91EBD" w14:textId="77777777" w:rsidR="00E273C0" w:rsidRPr="002335C1" w:rsidRDefault="00E273C0" w:rsidP="00763F2C">
      <w:pPr>
        <w:pStyle w:val="a7"/>
        <w:numPr>
          <w:ilvl w:val="0"/>
          <w:numId w:val="40"/>
        </w:numPr>
        <w:spacing w:after="120" w:line="288" w:lineRule="auto"/>
        <w:contextualSpacing w:val="0"/>
        <w:jc w:val="both"/>
        <w:rPr>
          <w:rFonts w:ascii="Times New Roman" w:hAnsi="Times New Roman" w:cs="Times New Roman"/>
          <w:sz w:val="24"/>
          <w:szCs w:val="24"/>
          <w:lang w:val="el-GR"/>
        </w:rPr>
      </w:pPr>
      <w:r w:rsidRPr="002335C1">
        <w:rPr>
          <w:rFonts w:ascii="Times New Roman" w:hAnsi="Times New Roman" w:cs="Times New Roman"/>
          <w:sz w:val="24"/>
          <w:szCs w:val="24"/>
          <w:lang w:val="el-GR"/>
        </w:rPr>
        <w:t>η εξασφάλιση Ιδιωτικής Συμμετοχής με βαθμολόγηση της διαθεσιμότητας των Κεφαλαίων των εταίρων / μετόχων</w:t>
      </w:r>
    </w:p>
    <w:p w14:paraId="43DD284E" w14:textId="77777777" w:rsidR="00E273C0" w:rsidRPr="002335C1" w:rsidRDefault="00E273C0" w:rsidP="00763F2C">
      <w:pPr>
        <w:pStyle w:val="a7"/>
        <w:numPr>
          <w:ilvl w:val="0"/>
          <w:numId w:val="40"/>
        </w:numPr>
        <w:spacing w:after="120" w:line="288" w:lineRule="auto"/>
        <w:contextualSpacing w:val="0"/>
        <w:jc w:val="both"/>
        <w:rPr>
          <w:rFonts w:ascii="Times New Roman" w:hAnsi="Times New Roman" w:cs="Times New Roman"/>
          <w:sz w:val="24"/>
          <w:szCs w:val="24"/>
          <w:lang w:val="el-GR"/>
        </w:rPr>
      </w:pPr>
      <w:r w:rsidRPr="002335C1">
        <w:rPr>
          <w:rFonts w:ascii="Times New Roman" w:hAnsi="Times New Roman" w:cs="Times New Roman"/>
          <w:sz w:val="24"/>
          <w:szCs w:val="24"/>
          <w:lang w:val="el-GR"/>
        </w:rPr>
        <w:t>η ωριμότητα του επενδυτικού σχεδίου όσον αφορά στις απαιτούμενες άδειες για την έναρξη υλοποίησης του</w:t>
      </w:r>
    </w:p>
    <w:p w14:paraId="1660048A" w14:textId="77777777" w:rsidR="00E273C0" w:rsidRPr="002335C1" w:rsidRDefault="00E273C0" w:rsidP="00763F2C">
      <w:pPr>
        <w:pStyle w:val="a7"/>
        <w:numPr>
          <w:ilvl w:val="0"/>
          <w:numId w:val="40"/>
        </w:numPr>
        <w:spacing w:after="120" w:line="288" w:lineRule="auto"/>
        <w:contextualSpacing w:val="0"/>
        <w:jc w:val="both"/>
        <w:rPr>
          <w:rFonts w:ascii="Times New Roman" w:hAnsi="Times New Roman" w:cs="Times New Roman"/>
          <w:sz w:val="24"/>
          <w:szCs w:val="24"/>
          <w:lang w:val="el-GR"/>
        </w:rPr>
      </w:pPr>
      <w:r w:rsidRPr="002335C1">
        <w:rPr>
          <w:rFonts w:ascii="Times New Roman" w:hAnsi="Times New Roman" w:cs="Times New Roman"/>
          <w:sz w:val="24"/>
          <w:szCs w:val="24"/>
          <w:lang w:val="el-GR"/>
        </w:rPr>
        <w:t>η συνέπεια με την Εθνική Στρατηγική Έξυπνης Εξειδίκευσης 2021-2027</w:t>
      </w:r>
    </w:p>
    <w:p w14:paraId="7C9AF18E" w14:textId="77777777" w:rsidR="00E273C0" w:rsidRPr="002335C1" w:rsidRDefault="00E273C0" w:rsidP="00763F2C">
      <w:pPr>
        <w:pStyle w:val="a7"/>
        <w:numPr>
          <w:ilvl w:val="0"/>
          <w:numId w:val="40"/>
        </w:numPr>
        <w:spacing w:after="120" w:line="288" w:lineRule="auto"/>
        <w:contextualSpacing w:val="0"/>
        <w:jc w:val="both"/>
        <w:rPr>
          <w:rFonts w:ascii="Times New Roman" w:hAnsi="Times New Roman" w:cs="Times New Roman"/>
          <w:sz w:val="24"/>
          <w:szCs w:val="24"/>
          <w:lang w:val="el-GR"/>
        </w:rPr>
      </w:pPr>
      <w:r w:rsidRPr="002335C1">
        <w:rPr>
          <w:rFonts w:ascii="Times New Roman" w:hAnsi="Times New Roman" w:cs="Times New Roman"/>
          <w:sz w:val="24"/>
          <w:szCs w:val="24"/>
          <w:lang w:val="el-GR"/>
        </w:rPr>
        <w:t xml:space="preserve">η </w:t>
      </w:r>
      <w:proofErr w:type="spellStart"/>
      <w:r w:rsidRPr="002335C1">
        <w:rPr>
          <w:rFonts w:ascii="Times New Roman" w:hAnsi="Times New Roman" w:cs="Times New Roman"/>
          <w:sz w:val="24"/>
          <w:szCs w:val="24"/>
          <w:lang w:val="el-GR"/>
        </w:rPr>
        <w:t>ρεαλιστικότητα</w:t>
      </w:r>
      <w:proofErr w:type="spellEnd"/>
      <w:r w:rsidRPr="002335C1">
        <w:rPr>
          <w:rFonts w:ascii="Times New Roman" w:hAnsi="Times New Roman" w:cs="Times New Roman"/>
          <w:sz w:val="24"/>
          <w:szCs w:val="24"/>
          <w:lang w:val="el-GR"/>
        </w:rPr>
        <w:t xml:space="preserve"> του χρονοδιαγράμματος υλοποίησης.</w:t>
      </w:r>
    </w:p>
    <w:p w14:paraId="5F31C31B" w14:textId="5961ABC2" w:rsidR="00E273C0" w:rsidRPr="002335C1" w:rsidRDefault="00E273C0" w:rsidP="00763F2C">
      <w:pPr>
        <w:spacing w:after="120" w:line="288" w:lineRule="auto"/>
        <w:ind w:left="360"/>
        <w:jc w:val="both"/>
        <w:rPr>
          <w:rFonts w:ascii="Times New Roman" w:hAnsi="Times New Roman" w:cs="Times New Roman"/>
          <w:b/>
          <w:bCs/>
          <w:sz w:val="24"/>
          <w:szCs w:val="24"/>
        </w:rPr>
      </w:pPr>
      <w:r w:rsidRPr="002335C1">
        <w:rPr>
          <w:rFonts w:ascii="Times New Roman" w:hAnsi="Times New Roman" w:cs="Times New Roman"/>
          <w:b/>
          <w:bCs/>
          <w:sz w:val="24"/>
          <w:szCs w:val="24"/>
        </w:rPr>
        <w:t>Ελάχιστη αποδεκτή συνολική βαθμολογία για την έγκριση ενός επενδυτικού σχεδίου ορίζεται ο βαθμός 60.</w:t>
      </w:r>
    </w:p>
    <w:p w14:paraId="1316B9A7" w14:textId="77777777" w:rsidR="00E273C0" w:rsidRPr="002335C1" w:rsidRDefault="00E273C0" w:rsidP="00763F2C">
      <w:pPr>
        <w:spacing w:after="120" w:line="288" w:lineRule="auto"/>
        <w:jc w:val="both"/>
        <w:rPr>
          <w:rFonts w:ascii="Times New Roman" w:hAnsi="Times New Roman" w:cs="Times New Roman"/>
          <w:b/>
          <w:bCs/>
          <w:sz w:val="24"/>
          <w:szCs w:val="24"/>
        </w:rPr>
      </w:pPr>
    </w:p>
    <w:p w14:paraId="4A6EEA6E" w14:textId="3B4E7972" w:rsidR="00E273C0" w:rsidRPr="002335C1" w:rsidRDefault="00253BA7" w:rsidP="00763F2C">
      <w:pPr>
        <w:spacing w:after="120" w:line="288" w:lineRule="auto"/>
        <w:jc w:val="both"/>
        <w:rPr>
          <w:rFonts w:ascii="Times New Roman" w:hAnsi="Times New Roman" w:cs="Times New Roman"/>
          <w:b/>
          <w:bCs/>
          <w:sz w:val="24"/>
          <w:szCs w:val="24"/>
        </w:rPr>
      </w:pPr>
      <w:r w:rsidRPr="002335C1">
        <w:rPr>
          <w:rFonts w:ascii="Times New Roman" w:hAnsi="Times New Roman" w:cs="Times New Roman"/>
          <w:b/>
          <w:bCs/>
          <w:sz w:val="24"/>
          <w:szCs w:val="24"/>
        </w:rPr>
        <w:br w:type="page"/>
      </w:r>
    </w:p>
    <w:p w14:paraId="77C03462" w14:textId="77777777" w:rsidR="00A63B0E" w:rsidRPr="002335C1" w:rsidRDefault="00A63B0E" w:rsidP="00A63B0E">
      <w:pPr>
        <w:pStyle w:val="10"/>
        <w:numPr>
          <w:ilvl w:val="8"/>
          <w:numId w:val="9"/>
        </w:numPr>
        <w:shd w:val="clear" w:color="auto" w:fill="D9E2F3" w:themeFill="accent1" w:themeFillTint="33"/>
        <w:spacing w:before="240" w:after="120" w:line="288" w:lineRule="auto"/>
        <w:ind w:left="0" w:right="43" w:firstLine="0"/>
        <w:jc w:val="center"/>
      </w:pPr>
      <w:bookmarkStart w:id="8" w:name="_Toc153461777"/>
      <w:r w:rsidRPr="002335C1">
        <w:lastRenderedPageBreak/>
        <w:t xml:space="preserve">ΘΕΜΑΤΑ ΧΩΡΟΤΑΞΙΑΣ – </w:t>
      </w:r>
      <w:bookmarkEnd w:id="3"/>
      <w:r w:rsidRPr="002335C1">
        <w:t>ΠΟΛΕΟΔΟΜΙΚΑ ΘΕΜΑΤΑ</w:t>
      </w:r>
      <w:bookmarkEnd w:id="8"/>
    </w:p>
    <w:p w14:paraId="31DBA7F8" w14:textId="5D7EFFB0" w:rsidR="00E1323A" w:rsidRPr="002335C1" w:rsidRDefault="00E1323A" w:rsidP="00E1323A">
      <w:pPr>
        <w:pStyle w:val="20"/>
        <w:shd w:val="clear" w:color="auto" w:fill="D9D9D9" w:themeFill="background1" w:themeFillShade="D9"/>
        <w:spacing w:afterLines="160" w:after="384" w:line="276" w:lineRule="auto"/>
        <w:ind w:right="43"/>
        <w:jc w:val="center"/>
        <w:rPr>
          <w:rFonts w:ascii="Times New Roman" w:hAnsi="Times New Roman" w:cs="Times New Roman"/>
          <w:b/>
          <w:bCs/>
          <w:color w:val="auto"/>
          <w:sz w:val="24"/>
          <w:szCs w:val="24"/>
          <w:highlight w:val="yellow"/>
        </w:rPr>
      </w:pPr>
      <w:bookmarkStart w:id="9" w:name="_Toc152776060"/>
      <w:bookmarkStart w:id="10" w:name="_Toc153461778"/>
      <w:r w:rsidRPr="002335C1">
        <w:rPr>
          <w:rFonts w:ascii="Times New Roman" w:hAnsi="Times New Roman" w:cs="Times New Roman"/>
          <w:b/>
          <w:bCs/>
          <w:color w:val="auto"/>
          <w:sz w:val="24"/>
          <w:szCs w:val="24"/>
        </w:rPr>
        <w:t xml:space="preserve">Α. </w:t>
      </w:r>
      <w:bookmarkEnd w:id="9"/>
      <w:r w:rsidR="00C838DE" w:rsidRPr="002335C1">
        <w:rPr>
          <w:rFonts w:ascii="Times New Roman" w:hAnsi="Times New Roman" w:cs="Times New Roman"/>
          <w:b/>
          <w:bCs/>
          <w:color w:val="auto"/>
          <w:sz w:val="24"/>
          <w:szCs w:val="24"/>
        </w:rPr>
        <w:t xml:space="preserve">Νόμος 5069/2023 </w:t>
      </w:r>
      <w:r w:rsidR="00763F2C">
        <w:rPr>
          <w:rFonts w:ascii="Times New Roman" w:hAnsi="Times New Roman" w:cs="Times New Roman"/>
          <w:b/>
          <w:bCs/>
          <w:color w:val="auto"/>
          <w:sz w:val="24"/>
          <w:szCs w:val="24"/>
        </w:rPr>
        <w:t>«</w:t>
      </w:r>
      <w:r w:rsidR="00763F2C" w:rsidRPr="00763F2C">
        <w:rPr>
          <w:rFonts w:ascii="Times New Roman" w:hAnsi="Times New Roman" w:cs="Times New Roman"/>
          <w:b/>
          <w:bCs/>
          <w:color w:val="auto"/>
          <w:sz w:val="24"/>
          <w:szCs w:val="24"/>
        </w:rPr>
        <w:t>Όροι δόμησης, κατασκευής, επιτρεπόμενες χρήσεις γης για κέντρα δεδομένων, χωροταξικές και πολεοδομικές ρυθμίσεις, αξιοποίηση πόρων Πράσινου Ταμείου, λοιπές περιβαλλοντικές  και ενεργειακές διατάξεις και άλλες επείγουσες ρυθμίσεις</w:t>
      </w:r>
      <w:r w:rsidR="00763F2C">
        <w:rPr>
          <w:rFonts w:ascii="Times New Roman" w:hAnsi="Times New Roman" w:cs="Times New Roman"/>
          <w:b/>
          <w:bCs/>
          <w:color w:val="auto"/>
          <w:sz w:val="24"/>
          <w:szCs w:val="24"/>
        </w:rPr>
        <w:t>»</w:t>
      </w:r>
      <w:bookmarkEnd w:id="10"/>
    </w:p>
    <w:p w14:paraId="61369F3A" w14:textId="640AB052" w:rsidR="00A82013" w:rsidRPr="002335C1" w:rsidRDefault="00A82013" w:rsidP="00763F2C">
      <w:pPr>
        <w:pStyle w:val="af0"/>
      </w:pPr>
      <w:r w:rsidRPr="002335C1">
        <w:t xml:space="preserve">Εκδόθηκε ο </w:t>
      </w:r>
      <w:r w:rsidR="00E60B0A" w:rsidRPr="002335C1">
        <w:t xml:space="preserve">Νόμος </w:t>
      </w:r>
      <w:r w:rsidRPr="002335C1">
        <w:t>5069/2023 με ΦΕΚ 193/Α/28-11-2023</w:t>
      </w:r>
      <w:r w:rsidR="00CF4B02" w:rsidRPr="002335C1">
        <w:t>, ο οποίος αφορά</w:t>
      </w:r>
      <w:r w:rsidR="00763F2C">
        <w:t>, εκτός των άλλων,</w:t>
      </w:r>
      <w:r w:rsidR="00CF4B02" w:rsidRPr="002335C1">
        <w:t xml:space="preserve"> </w:t>
      </w:r>
      <w:r w:rsidR="00763F2C">
        <w:t>σ</w:t>
      </w:r>
      <w:r w:rsidR="00CF4B02" w:rsidRPr="002335C1">
        <w:t xml:space="preserve">τους όρους και τους περιορισμούς δόμησης των </w:t>
      </w:r>
      <w:r w:rsidR="00CF4B02" w:rsidRPr="002335C1">
        <w:rPr>
          <w:lang w:val="en-US"/>
        </w:rPr>
        <w:t>data</w:t>
      </w:r>
      <w:r w:rsidR="00CF4B02" w:rsidRPr="002335C1">
        <w:t xml:space="preserve"> </w:t>
      </w:r>
      <w:r w:rsidR="00CF4B02" w:rsidRPr="002335C1">
        <w:rPr>
          <w:lang w:val="en-US"/>
        </w:rPr>
        <w:t>centers</w:t>
      </w:r>
      <w:r w:rsidR="00CF4B02" w:rsidRPr="002335C1">
        <w:t xml:space="preserve"> καθώς και τις παρατάσεις προθεσμιών – τροποποίηση παρ. 5 άρθρου 5 </w:t>
      </w:r>
      <w:proofErr w:type="spellStart"/>
      <w:r w:rsidR="00CF4B02" w:rsidRPr="002335C1">
        <w:t>π.δ.</w:t>
      </w:r>
      <w:proofErr w:type="spellEnd"/>
      <w:r w:rsidR="00CF4B02" w:rsidRPr="002335C1">
        <w:t xml:space="preserve"> 90/2018, παρ. 15 άρθρου 51 ν. 4178/2013, παρ. 2 άρθρου 26 ν. 4280/2014.</w:t>
      </w:r>
    </w:p>
    <w:p w14:paraId="23F7D4BE" w14:textId="2B864E4A" w:rsidR="003D5087" w:rsidRPr="002335C1" w:rsidRDefault="00316CAE" w:rsidP="00763F2C">
      <w:pPr>
        <w:pStyle w:val="af0"/>
        <w:numPr>
          <w:ilvl w:val="0"/>
          <w:numId w:val="42"/>
        </w:numPr>
        <w:rPr>
          <w:b/>
          <w:bCs w:val="0"/>
          <w:u w:val="single"/>
        </w:rPr>
      </w:pPr>
      <w:r w:rsidRPr="002335C1">
        <w:rPr>
          <w:b/>
          <w:bCs w:val="0"/>
          <w:u w:val="single"/>
        </w:rPr>
        <w:t>Ό</w:t>
      </w:r>
      <w:r w:rsidR="003D5087" w:rsidRPr="002335C1">
        <w:rPr>
          <w:b/>
          <w:bCs w:val="0"/>
          <w:u w:val="single"/>
        </w:rPr>
        <w:t>ρο</w:t>
      </w:r>
      <w:r w:rsidRPr="002335C1">
        <w:rPr>
          <w:b/>
          <w:bCs w:val="0"/>
          <w:u w:val="single"/>
        </w:rPr>
        <w:t>ι</w:t>
      </w:r>
      <w:r w:rsidR="003D5087" w:rsidRPr="002335C1">
        <w:rPr>
          <w:b/>
          <w:bCs w:val="0"/>
          <w:u w:val="single"/>
        </w:rPr>
        <w:t xml:space="preserve"> και περιορισμο</w:t>
      </w:r>
      <w:r w:rsidRPr="002335C1">
        <w:rPr>
          <w:b/>
          <w:bCs w:val="0"/>
          <w:u w:val="single"/>
        </w:rPr>
        <w:t>ί</w:t>
      </w:r>
      <w:r w:rsidR="003D5087" w:rsidRPr="002335C1">
        <w:rPr>
          <w:b/>
          <w:bCs w:val="0"/>
          <w:u w:val="single"/>
        </w:rPr>
        <w:t xml:space="preserve"> δόμησης των </w:t>
      </w:r>
      <w:proofErr w:type="spellStart"/>
      <w:r w:rsidR="003D5087" w:rsidRPr="002335C1">
        <w:rPr>
          <w:b/>
          <w:bCs w:val="0"/>
          <w:u w:val="single"/>
        </w:rPr>
        <w:t>data</w:t>
      </w:r>
      <w:proofErr w:type="spellEnd"/>
      <w:r w:rsidR="003D5087" w:rsidRPr="002335C1">
        <w:rPr>
          <w:b/>
          <w:bCs w:val="0"/>
          <w:u w:val="single"/>
        </w:rPr>
        <w:t xml:space="preserve"> </w:t>
      </w:r>
      <w:proofErr w:type="spellStart"/>
      <w:r w:rsidR="003D5087" w:rsidRPr="002335C1">
        <w:rPr>
          <w:b/>
          <w:bCs w:val="0"/>
          <w:u w:val="single"/>
        </w:rPr>
        <w:t>centers</w:t>
      </w:r>
      <w:proofErr w:type="spellEnd"/>
      <w:r w:rsidR="003D5087" w:rsidRPr="002335C1">
        <w:rPr>
          <w:b/>
          <w:bCs w:val="0"/>
          <w:u w:val="single"/>
        </w:rPr>
        <w:t>:</w:t>
      </w:r>
    </w:p>
    <w:p w14:paraId="47A400DC" w14:textId="43EE31C3" w:rsidR="00470D70" w:rsidRPr="002335C1" w:rsidRDefault="00470D70" w:rsidP="00763F2C">
      <w:pPr>
        <w:pStyle w:val="af0"/>
      </w:pPr>
      <w:r w:rsidRPr="002335C1">
        <w:t xml:space="preserve">Σύμφωνα με το άρθρο 5 του ως άνω ΦΕΚ μεταξύ άλλων ορίζονται οι όροι δόμησης των κέντρων δεδομένων και πιο συγκεκριμένα </w:t>
      </w:r>
      <w:proofErr w:type="spellStart"/>
      <w:r w:rsidRPr="002335C1">
        <w:t>αντικαθιστάται</w:t>
      </w:r>
      <w:proofErr w:type="spellEnd"/>
      <w:r w:rsidRPr="002335C1">
        <w:t xml:space="preserve"> η περ. ι) της παρ. 3 του άρθρου 33 του ν. 4759/2020 (Α’ 245), περί όρων δόμησης, αντικαθίσταται ως εξής: «ι) Σε κέντρα δεδομένων (</w:t>
      </w:r>
      <w:proofErr w:type="spellStart"/>
      <w:r w:rsidRPr="002335C1">
        <w:t>Data</w:t>
      </w:r>
      <w:proofErr w:type="spellEnd"/>
      <w:r w:rsidRPr="002335C1">
        <w:t xml:space="preserve"> </w:t>
      </w:r>
      <w:proofErr w:type="spellStart"/>
      <w:r w:rsidRPr="002335C1">
        <w:t>Centres</w:t>
      </w:r>
      <w:proofErr w:type="spellEnd"/>
      <w:r w:rsidRPr="002335C1">
        <w:t xml:space="preserve">) της περ. 21.Α της παρ. ΙΙ του άρθρου 1 του </w:t>
      </w:r>
      <w:proofErr w:type="spellStart"/>
      <w:r w:rsidRPr="002335C1">
        <w:t>π.δ.</w:t>
      </w:r>
      <w:proofErr w:type="spellEnd"/>
      <w:r w:rsidRPr="002335C1">
        <w:t xml:space="preserve"> 59/2018, ο μέγιστος συντελεστής δόμησης ορίζεται σε 0,8, το μέγιστο ποσοστό κάλυψης σε εξήντα τοις εκατό (60%), οι πλάγιες αποστάσεις του κτιρίου από τα όρια του γηπέδου ορίζονται σε 10 μ., και ο μέγιστος συντελεστής κατ’ </w:t>
      </w:r>
      <w:proofErr w:type="spellStart"/>
      <w:r w:rsidRPr="002335C1">
        <w:t>όγκον</w:t>
      </w:r>
      <w:proofErr w:type="spellEnd"/>
      <w:r w:rsidRPr="002335C1">
        <w:t xml:space="preserve"> εκμετάλλευσης σε 6. Για το μέγιστο ύψος και την παρέκκλιση ως προς το ύψος του κτιρίου εφαρμόζονται τα προβλεπόμενα στην περ. θ’. Τα ανωτέρω ισχύουν και στις περιπτώσεις της παρ. 2 του άρθρου 32, ανεξαρτήτως αν έχουν θεσπισθεί όροι και περιορισμοί από πολεοδομικό σχεδιασμό πρώτου επιπέδου.»</w:t>
      </w:r>
    </w:p>
    <w:p w14:paraId="571447D8" w14:textId="22DFCBDE" w:rsidR="003D5087" w:rsidRPr="002335C1" w:rsidRDefault="003D5087" w:rsidP="00763F2C">
      <w:pPr>
        <w:pStyle w:val="af0"/>
        <w:numPr>
          <w:ilvl w:val="0"/>
          <w:numId w:val="42"/>
        </w:numPr>
        <w:rPr>
          <w:rFonts w:eastAsiaTheme="majorEastAsia"/>
          <w:b/>
          <w:u w:val="single"/>
        </w:rPr>
      </w:pPr>
      <w:r w:rsidRPr="002335C1">
        <w:rPr>
          <w:rFonts w:eastAsiaTheme="majorEastAsia"/>
          <w:b/>
          <w:u w:val="single"/>
        </w:rPr>
        <w:t xml:space="preserve">Παρατάσεις προθεσμιών - Τροποποίηση παρ. 5 άρθρου 5 </w:t>
      </w:r>
      <w:proofErr w:type="spellStart"/>
      <w:r w:rsidRPr="002335C1">
        <w:rPr>
          <w:rFonts w:eastAsiaTheme="majorEastAsia"/>
          <w:b/>
          <w:u w:val="single"/>
        </w:rPr>
        <w:t>π.δ.</w:t>
      </w:r>
      <w:proofErr w:type="spellEnd"/>
      <w:r w:rsidRPr="002335C1">
        <w:rPr>
          <w:rFonts w:eastAsiaTheme="majorEastAsia"/>
          <w:b/>
          <w:u w:val="single"/>
        </w:rPr>
        <w:t xml:space="preserve"> 90/2018, παρ. 15 άρθρου 51 ν. 4178/2013, παρ. 2 άρθρου 26 ν. 4280/2014:</w:t>
      </w:r>
    </w:p>
    <w:p w14:paraId="47753979" w14:textId="43BD7A94" w:rsidR="00470D70" w:rsidRPr="002335C1" w:rsidRDefault="00470D70" w:rsidP="00763F2C">
      <w:pPr>
        <w:pStyle w:val="af0"/>
      </w:pPr>
      <w:r w:rsidRPr="002335C1">
        <w:t>Σύμφωνα με το Άρθρο 30 του ως άνω νόμου παρατάσσονται οι προθεσμίες αναθεώρησης και τροποποίησης διαταγμάτων πρώτου πολεοδομικού σχεδιασμού και για την δεσμευτικότητά τους. Πιο συγκεκριμένα η νομοθεσία αναφέρει τα εξής:</w:t>
      </w:r>
    </w:p>
    <w:p w14:paraId="7CA24F13" w14:textId="6C330950" w:rsidR="00E60B0A" w:rsidRPr="002335C1" w:rsidRDefault="00470D70" w:rsidP="00763F2C">
      <w:pPr>
        <w:pStyle w:val="af0"/>
        <w:numPr>
          <w:ilvl w:val="0"/>
          <w:numId w:val="43"/>
        </w:numPr>
      </w:pPr>
      <w:r w:rsidRPr="002335C1">
        <w:t xml:space="preserve">Η προθεσμία του τρίτου εδαφίου της παρ. 5α του άρθρου 5 του </w:t>
      </w:r>
      <w:proofErr w:type="spellStart"/>
      <w:r w:rsidRPr="002335C1">
        <w:t>π.δ.</w:t>
      </w:r>
      <w:proofErr w:type="spellEnd"/>
      <w:r w:rsidRPr="002335C1">
        <w:t xml:space="preserve"> 90/2018 (Α’ 162), περί ολοκλήρωσης εκκρεμών διαδικασιών έγκρισης, αναθεώρησης ή τροποποίησης Γενικών Πολεοδομικών Σχεδίων ή Σχεδίων Χωρικής και Οικιστικής Οργάνωσης Ανοικτής Πόλης, παρατείνεται, και η παρ. 5α διαμορφώνεται ως εξής: «5α. Η αναθεώρηση και τροποποίηση Γενικών Πολεοδομικών Σχεδίων (Γ.Π.Σ.) ή Σχεδίων Χωρικής και Οικιστικής Οργάνωσης Ανοικτής Πόλης (ΣΧΟΟΑΠ) που εγκρίθηκαν κατ’ εφαρμογή του ν. 2508/1997, γίνεται σύμφωνα με το άρθρο 7 του ν. 4447/2016 (Α’ 241). Εκκρεμείς διαδικασίες έγκρισης, αναθεώρησης ή τροποποίησης Γενικών Πολεοδομικών Σχεδίων ή Σχεδίων Χωρικής και Οικιστικής Οργάνωσης Ανοικτής Πόλης μπορεί να συνεχίζονται και να εγκρίνονται σύμφωνα με τα άρθρα 4 και 5 του ν. 2508/1997 (Α’ 124). Εκκρεμείς διαδικασίες έγκρισης, αναθεώρησης ή </w:t>
      </w:r>
      <w:r w:rsidRPr="002335C1">
        <w:lastRenderedPageBreak/>
        <w:t>τροποποίησης για τις οποίες έχει εγκριθεί από το οικείο Δημοτικό Συμβούλιο η Α’ Φάση της κύριας μελέτης, ανεξαρτήτως του χρόνου έγκρισής της, συνεχίζονται και ολοκληρώνονται υποχρεωτικώς με την έκδοση της σχετικής πράξης έγκρισης έως την 31η.3.2024»</w:t>
      </w:r>
      <w:r w:rsidR="00E60B0A" w:rsidRPr="002335C1">
        <w:t>.</w:t>
      </w:r>
      <w:r w:rsidRPr="002335C1">
        <w:t xml:space="preserve"> </w:t>
      </w:r>
    </w:p>
    <w:p w14:paraId="481D1764" w14:textId="56F439BC" w:rsidR="00E60B0A" w:rsidRPr="002335C1" w:rsidRDefault="00470D70" w:rsidP="00763F2C">
      <w:pPr>
        <w:pStyle w:val="af0"/>
        <w:numPr>
          <w:ilvl w:val="0"/>
          <w:numId w:val="43"/>
        </w:numPr>
      </w:pPr>
      <w:r w:rsidRPr="002335C1">
        <w:t>Οι προθεσμίες του τρίτου εδαφίου της παρ. 15 του άρθρου 51 του ν. 4178/2013 (Α’ 174), περί ολοκλήρωσης των Γενικών Πολεοδομικών Σχεδίων, παρατείνονται, και η παρ. 15 διαμορφώνεται ως εξής: «15. Από τη δημοσίευση του παρόντος οι χρήσεις γης που ορίζονται κατά τις ειδικές διατάξεις των Γ.Π.Σ., που εγκρίθηκαν πριν τη δημοσίευση του ν. 2508/1997 (Α’ 124), είναι δεσμευτικές για τη διοίκηση μόνο στην περίπτωση που κατόπιν αυτών εγκρίθηκαν πολεοδομικές μελέτες αναθεώρησης ή ένταξης, σύμφωνα με το Γ.Π.Σ.. Σε κάθε περίπτωση, εντός προθεσμίας ενός (1) έτους από την έναρξη ισχύος του παρόντος κινείται η διαδικασία αναθεώρησης των συγκεκριμένων Γ.Π.Σ., κατόπιν απόφασης του αρμόδιου Δημοτικού Συμβουλίου ή άλλου αρμόδιου οργάνου κατά τις εκάστοτε ισχύουσες διατάξεις. Η ως άνω αναθεώρηση του Γ.Π.Σ. θα πρέπει να έχει ολοκληρωθεί έως τις 31.3.2024, διαφορετικά από 1η.4.2024 εφαρμόζονται αυτοδικαίως δεσμευτικά οι διατάξεις των ως άνω Γ.Π.Σ.. Οι προϋποθέσεις του προηγούμενου εδαφίου ισχύουν και για τις περιπτώσεις όπου έχει κινηθεί η διαδικασία αναθεώρησης κατά τα ανωτέρω»</w:t>
      </w:r>
      <w:r w:rsidR="00E60B0A" w:rsidRPr="002335C1">
        <w:t>.</w:t>
      </w:r>
      <w:r w:rsidRPr="002335C1">
        <w:t xml:space="preserve"> </w:t>
      </w:r>
    </w:p>
    <w:p w14:paraId="054FDB55" w14:textId="6780828C" w:rsidR="00470D70" w:rsidRDefault="00470D70" w:rsidP="00763F2C">
      <w:pPr>
        <w:pStyle w:val="af0"/>
        <w:numPr>
          <w:ilvl w:val="0"/>
          <w:numId w:val="43"/>
        </w:numPr>
      </w:pPr>
      <w:r w:rsidRPr="002335C1">
        <w:t xml:space="preserve">Το δεύτερο εδάφιο της παρ. 2 του άρθρου 26 του ν. 4280/2014 (Α’ 159), περί εκκρεμών διαδικασιών για την πολεοδόμηση εκτάσεων, τροποποιείται ως προς τον χρόνο ισχύος των βεβαιώσεων της παρ. 6 του άρθρου 24 του ν. 2508/1997 (Α’ 124), και η παρ. 2 διαμορφώνεται ως εξής: «2. Εκκρεμείς διαδικασίες για την πολεοδόμηση εκτάσεων με τις διατάξεις του άρθρου 24 του ν. 2508/1997 συνεχίζονται με βάση είτε τις παρούσες είτε τις </w:t>
      </w:r>
      <w:proofErr w:type="spellStart"/>
      <w:r w:rsidRPr="002335C1">
        <w:t>προϊσχύουσες</w:t>
      </w:r>
      <w:proofErr w:type="spellEnd"/>
      <w:r w:rsidRPr="002335C1">
        <w:t xml:space="preserve"> διατάξεις, αν κατά τη δημοσίευση του παρόντος νόμου έχει υποβληθεί στην αρμόδια υπηρεσία του Υπουργείου Περιβάλλοντος και Ενέργειας φάκελος για τη χορήγηση βεβαίωσης του άρθρου 24 παρ. 6 του ν. 2508/1997, η οποία για τις περιπτώσεις αυτές ισχύει για τρία (3) έτη από την έκδοσή της. Σε εκκρεμείς διαδικασίες για την πολεοδόμηση εκτάσεων, για τις οποίες έχει εκδοθεί βεβαίωση της παρ. 6 του άρθρου 24 του ν. 2508/1997, η βεβαίωση αυτή ισχύει έως τις 31.12.2024, υπό την προϋπόθεση ότι εντός τριετίας από την έκδοσή της έχει υποβληθεί προς έγκριση η πολεοδομική μελέτη.»</w:t>
      </w:r>
    </w:p>
    <w:p w14:paraId="33ECAA8C" w14:textId="77777777" w:rsidR="00763F2C" w:rsidRDefault="00763F2C" w:rsidP="00763F2C">
      <w:pPr>
        <w:pStyle w:val="af0"/>
      </w:pPr>
    </w:p>
    <w:p w14:paraId="1247A85F" w14:textId="77777777" w:rsidR="00763F2C" w:rsidRDefault="00763F2C" w:rsidP="00763F2C">
      <w:pPr>
        <w:pStyle w:val="af0"/>
      </w:pPr>
    </w:p>
    <w:p w14:paraId="52A0D04F" w14:textId="77777777" w:rsidR="00763F2C" w:rsidRPr="002335C1" w:rsidRDefault="00763F2C" w:rsidP="00763F2C">
      <w:pPr>
        <w:pStyle w:val="af0"/>
      </w:pPr>
    </w:p>
    <w:p w14:paraId="4D66ADBB" w14:textId="435906DA" w:rsidR="00E1323A" w:rsidRPr="00763F2C" w:rsidRDefault="00E1323A" w:rsidP="00763F2C">
      <w:pPr>
        <w:pStyle w:val="20"/>
        <w:shd w:val="clear" w:color="auto" w:fill="D9D9D9" w:themeFill="background1" w:themeFillShade="D9"/>
        <w:spacing w:before="0" w:after="120" w:line="360" w:lineRule="auto"/>
        <w:ind w:right="45"/>
        <w:jc w:val="center"/>
        <w:rPr>
          <w:rFonts w:ascii="Times New Roman" w:hAnsi="Times New Roman" w:cs="Times New Roman"/>
          <w:b/>
          <w:bCs/>
          <w:color w:val="auto"/>
          <w:sz w:val="24"/>
          <w:szCs w:val="24"/>
        </w:rPr>
      </w:pPr>
      <w:bookmarkStart w:id="11" w:name="_Toc139885145"/>
      <w:bookmarkStart w:id="12" w:name="_Toc153461779"/>
      <w:bookmarkStart w:id="13" w:name="_Hlk153181504"/>
      <w:r w:rsidRPr="002335C1">
        <w:rPr>
          <w:rFonts w:ascii="Times New Roman" w:hAnsi="Times New Roman" w:cs="Times New Roman"/>
          <w:b/>
          <w:bCs/>
          <w:color w:val="auto"/>
          <w:sz w:val="24"/>
          <w:szCs w:val="24"/>
        </w:rPr>
        <w:lastRenderedPageBreak/>
        <w:t xml:space="preserve">Β. </w:t>
      </w:r>
      <w:bookmarkEnd w:id="11"/>
      <w:r w:rsidR="00763F2C">
        <w:rPr>
          <w:rFonts w:ascii="Times New Roman" w:hAnsi="Times New Roman" w:cs="Times New Roman"/>
          <w:b/>
          <w:bCs/>
          <w:color w:val="auto"/>
          <w:sz w:val="24"/>
          <w:szCs w:val="24"/>
        </w:rPr>
        <w:t>«</w:t>
      </w:r>
      <w:r w:rsidRPr="002335C1">
        <w:rPr>
          <w:rFonts w:ascii="Times New Roman" w:hAnsi="Times New Roman" w:cs="Times New Roman"/>
          <w:b/>
          <w:bCs/>
          <w:color w:val="auto"/>
          <w:sz w:val="24"/>
          <w:szCs w:val="24"/>
        </w:rPr>
        <w:t>Δ</w:t>
      </w:r>
      <w:r w:rsidR="00CB3C16" w:rsidRPr="002335C1">
        <w:rPr>
          <w:rFonts w:ascii="Times New Roman" w:hAnsi="Times New Roman" w:cs="Times New Roman"/>
          <w:b/>
          <w:bCs/>
          <w:color w:val="auto"/>
          <w:sz w:val="24"/>
          <w:szCs w:val="24"/>
        </w:rPr>
        <w:t>ιαβατήριο</w:t>
      </w:r>
      <w:r w:rsidRPr="002335C1">
        <w:rPr>
          <w:rFonts w:ascii="Times New Roman" w:hAnsi="Times New Roman" w:cs="Times New Roman"/>
          <w:b/>
          <w:bCs/>
          <w:color w:val="auto"/>
          <w:sz w:val="24"/>
          <w:szCs w:val="24"/>
        </w:rPr>
        <w:t xml:space="preserve"> </w:t>
      </w:r>
      <w:r w:rsidR="00763F2C">
        <w:rPr>
          <w:rFonts w:ascii="Times New Roman" w:hAnsi="Times New Roman" w:cs="Times New Roman"/>
          <w:b/>
          <w:bCs/>
          <w:color w:val="auto"/>
          <w:sz w:val="24"/>
          <w:szCs w:val="24"/>
        </w:rPr>
        <w:t>Α</w:t>
      </w:r>
      <w:r w:rsidR="00CB3C16" w:rsidRPr="002335C1">
        <w:rPr>
          <w:rFonts w:ascii="Times New Roman" w:hAnsi="Times New Roman" w:cs="Times New Roman"/>
          <w:b/>
          <w:bCs/>
          <w:color w:val="auto"/>
          <w:sz w:val="24"/>
          <w:szCs w:val="24"/>
        </w:rPr>
        <w:t>νακαίνισης</w:t>
      </w:r>
      <w:r w:rsidRPr="002335C1">
        <w:rPr>
          <w:rFonts w:ascii="Times New Roman" w:hAnsi="Times New Roman" w:cs="Times New Roman"/>
          <w:b/>
          <w:bCs/>
          <w:color w:val="auto"/>
          <w:sz w:val="24"/>
          <w:szCs w:val="24"/>
        </w:rPr>
        <w:t xml:space="preserve"> </w:t>
      </w:r>
      <w:r w:rsidR="000331BC" w:rsidRPr="002335C1">
        <w:rPr>
          <w:rFonts w:ascii="Times New Roman" w:hAnsi="Times New Roman" w:cs="Times New Roman"/>
          <w:b/>
          <w:bCs/>
          <w:color w:val="auto"/>
          <w:sz w:val="24"/>
          <w:szCs w:val="24"/>
        </w:rPr>
        <w:t>Κ</w:t>
      </w:r>
      <w:r w:rsidR="00CB3C16" w:rsidRPr="002335C1">
        <w:rPr>
          <w:rFonts w:ascii="Times New Roman" w:hAnsi="Times New Roman" w:cs="Times New Roman"/>
          <w:b/>
          <w:bCs/>
          <w:color w:val="auto"/>
          <w:sz w:val="24"/>
          <w:szCs w:val="24"/>
        </w:rPr>
        <w:t>τιρίου</w:t>
      </w:r>
      <w:r w:rsidR="00763F2C">
        <w:rPr>
          <w:rFonts w:ascii="Times New Roman" w:hAnsi="Times New Roman" w:cs="Times New Roman"/>
          <w:b/>
          <w:bCs/>
          <w:color w:val="auto"/>
          <w:sz w:val="24"/>
          <w:szCs w:val="24"/>
        </w:rPr>
        <w:t>»</w:t>
      </w:r>
      <w:bookmarkEnd w:id="12"/>
    </w:p>
    <w:p w14:paraId="2A0E778B" w14:textId="77777777" w:rsidR="00E1323A" w:rsidRPr="002335C1" w:rsidRDefault="00E1323A" w:rsidP="00A858F2">
      <w:pPr>
        <w:spacing w:after="120" w:line="288" w:lineRule="auto"/>
        <w:jc w:val="both"/>
        <w:rPr>
          <w:rFonts w:ascii="Times New Roman" w:hAnsi="Times New Roman" w:cs="Times New Roman"/>
          <w:b/>
          <w:bCs/>
          <w:sz w:val="24"/>
          <w:szCs w:val="24"/>
        </w:rPr>
      </w:pPr>
      <w:r w:rsidRPr="002335C1">
        <w:rPr>
          <w:rFonts w:ascii="Times New Roman" w:hAnsi="Times New Roman" w:cs="Times New Roman"/>
          <w:sz w:val="24"/>
          <w:szCs w:val="24"/>
        </w:rPr>
        <w:t xml:space="preserve">Η Ευρωπαϊκή Επιτροπή ξεκίνησε πριν λίγα χρόνια μια νέα στρατηγική που λέγεται «Κύμα ανακαινίσεων» προκειμένου να βελτιωθεί η ενεργειακή απόδοση των κτιρίων, καθώς αποτελούν τον μεγαλύτερο καταναλωτή ενέργειας με ποσοστό 40%  και δημιουργούν το 36% των εκπομπών αερίων του θερμοκηπίου στην ΕΕ. Για το λόγο αυτό, </w:t>
      </w:r>
      <w:r w:rsidRPr="002335C1">
        <w:rPr>
          <w:rFonts w:ascii="Times New Roman" w:hAnsi="Times New Roman" w:cs="Times New Roman"/>
          <w:b/>
          <w:bCs/>
          <w:sz w:val="24"/>
          <w:szCs w:val="24"/>
        </w:rPr>
        <w:t>τέθηκε στόχος να υπερδιπλασιαστούν τα ποσοστά ανακαινίσεων μέσα στην επόμενη δεκαετία και να διασφαλιστεί ότι οι ανακαινίσεις θα οδηγήσουν σε υψηλότερη ενεργειακή απόδοση και αποδοτικότερη χρήση των πόρων.</w:t>
      </w:r>
    </w:p>
    <w:p w14:paraId="080CDCC0" w14:textId="77777777" w:rsidR="00E1323A" w:rsidRPr="002335C1" w:rsidRDefault="00E1323A" w:rsidP="00A858F2">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Μέχρι τώρα, το εργαλείο που είχαμε στα χέρια μας όσων αφορά την ενεργειακή απόδοση ενός κτιρίου ήταν το Πιστοποιητικό Ενεργειακής Απόδοσης (Ε</w:t>
      </w:r>
      <w:r w:rsidRPr="002335C1">
        <w:rPr>
          <w:rFonts w:ascii="Times New Roman" w:hAnsi="Times New Roman" w:cs="Times New Roman"/>
          <w:sz w:val="24"/>
          <w:szCs w:val="24"/>
          <w:lang w:val="en-US"/>
        </w:rPr>
        <w:t>PC</w:t>
      </w:r>
      <w:r w:rsidRPr="002335C1">
        <w:rPr>
          <w:rFonts w:ascii="Times New Roman" w:hAnsi="Times New Roman" w:cs="Times New Roman"/>
          <w:sz w:val="24"/>
          <w:szCs w:val="24"/>
        </w:rPr>
        <w:t xml:space="preserve">), το οποίο είναι απαραίτητο για οποιαδήποτε πώληση ή ενοικίαση. Ωστόσο οι πληροφορίες που παρέχει το συγκεκριμένο πιστοποιητικό δεν είναι επαρκείς για την ορθή αξιολόγηση του κτιρίου, καθώς υπολείπεται σε παραμέτρους καθοριστικής σημασίας, όπως η πραγματική κατανάλωση ενέργειας αλλά και πληροφορίες που αφορούν την απόδοση των υλικών. </w:t>
      </w:r>
    </w:p>
    <w:p w14:paraId="707D6FA3" w14:textId="5CCAA554" w:rsidR="00E1323A" w:rsidRPr="002335C1" w:rsidRDefault="00E1323A" w:rsidP="00A858F2">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 xml:space="preserve">Γι’ αυτό </w:t>
      </w:r>
      <w:r w:rsidRPr="002335C1">
        <w:rPr>
          <w:rFonts w:ascii="Times New Roman" w:hAnsi="Times New Roman" w:cs="Times New Roman"/>
          <w:b/>
          <w:bCs/>
          <w:sz w:val="24"/>
          <w:szCs w:val="24"/>
        </w:rPr>
        <w:t>λοιπόν η Ευρωπαϊκή Επιτροπή εισάγει ένα νέο αναθεωρημένο εργαλείο, το «διαβατήριο ανακαίνισης κτιρίου</w:t>
      </w:r>
      <w:r w:rsidR="000331BC" w:rsidRPr="002335C1">
        <w:rPr>
          <w:rFonts w:ascii="Times New Roman" w:hAnsi="Times New Roman" w:cs="Times New Roman"/>
          <w:b/>
          <w:bCs/>
          <w:sz w:val="24"/>
          <w:szCs w:val="24"/>
        </w:rPr>
        <w:t>»</w:t>
      </w:r>
      <w:r w:rsidRPr="002335C1">
        <w:rPr>
          <w:rFonts w:ascii="Times New Roman" w:hAnsi="Times New Roman" w:cs="Times New Roman"/>
          <w:sz w:val="24"/>
          <w:szCs w:val="24"/>
        </w:rPr>
        <w:t xml:space="preserve">, το οποίο εστιάζει στην κλιματική ανθεκτικότητα και θα περιλαμβάνει σταδιακές παρεμβάσεις. Καθώς οι ριζικές ανακαινίσεις είναι δύσκολες και αποτελούν μεγάλη επένδυση, το «διαβατήριο» στοχεύει στην σταδιακή αναβάθμιση του κτιρίου μέσω ενός σχεδίου ανακαίνισης, προκειμένου να βελτιωθεί η ενεργειακή απόδοση του. Το σχέδιο αυτό θα περιλαμβάνει λεπτομερώς τα στάδια των αλλαγών μακροπρόθεσμα, την </w:t>
      </w:r>
      <w:proofErr w:type="spellStart"/>
      <w:r w:rsidRPr="002335C1">
        <w:rPr>
          <w:rFonts w:ascii="Times New Roman" w:hAnsi="Times New Roman" w:cs="Times New Roman"/>
          <w:sz w:val="24"/>
          <w:szCs w:val="24"/>
        </w:rPr>
        <w:t>προτεραιοποίηση</w:t>
      </w:r>
      <w:proofErr w:type="spellEnd"/>
      <w:r w:rsidRPr="002335C1">
        <w:rPr>
          <w:rFonts w:ascii="Times New Roman" w:hAnsi="Times New Roman" w:cs="Times New Roman"/>
          <w:sz w:val="24"/>
          <w:szCs w:val="24"/>
        </w:rPr>
        <w:t xml:space="preserve"> των παρεμβάσεων και θα παρακολουθεί τα υλικά που χρησιμοποιούνται στις εργασίες. Με αυτό τον τρόπο θα μπορούν οι ιδιοκτήτες και οι επενδυτές να προγραμματίζουν το καλύτερο χρονοδιάγραμμα αλλά και το εύρος των παρεμβάσεων.</w:t>
      </w:r>
    </w:p>
    <w:p w14:paraId="1730C1C5" w14:textId="77777777" w:rsidR="00E1323A" w:rsidRPr="002335C1" w:rsidRDefault="00E1323A" w:rsidP="00A858F2">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 xml:space="preserve">Επίσης, αφού τα κτίρια λειτουργούν τόσο ως καταναλωτές όσο και παραγωγοί ενέργειας, με την νέα εισροή πληροφορίας,  θα υπάρχει συνεχής σύνδεση μεταξύ κτιρίου και εξωτερικού περιβάλλοντος και θα οδηγηθούμε ένα βήμα πιο κοντά στην υλοποίηση των «έξυπνων κτιρίων». </w:t>
      </w:r>
    </w:p>
    <w:p w14:paraId="4486584A" w14:textId="77777777" w:rsidR="00E1323A" w:rsidRPr="002335C1" w:rsidRDefault="00E1323A" w:rsidP="00A858F2">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Μαζί με τους περιβαλλοντικούς της στόχους, η Επιτροπή θέλει να περιορίσει την ενεργειακή φτώχεια και με το διαβατήριο καλεί τα κράτη μέλη να συμπεριλάβουν τα ζητήματα ανακαίνισης στους κανόνες δημόσιας και ιδιωτικής χρηματοδότησης και να θεσπίσουν κατάλληλα μέσα, ιδίως για τα νοικοκυριά χαμηλού εισοδήματος. Είναι λοιπόν όχι μόνο το επόμενο βήμα του ΠΕΑ αλλά και των προγραμμάτων ενεργειακής εξοικονόμησης και μετάβασης.</w:t>
      </w:r>
    </w:p>
    <w:p w14:paraId="2649A33B" w14:textId="4EB350A1" w:rsidR="00E1323A" w:rsidRPr="002335C1" w:rsidRDefault="00E1323A" w:rsidP="00A858F2">
      <w:pPr>
        <w:spacing w:after="120" w:line="288" w:lineRule="auto"/>
        <w:jc w:val="both"/>
        <w:rPr>
          <w:rFonts w:ascii="Times New Roman" w:hAnsi="Times New Roman" w:cs="Times New Roman"/>
          <w:sz w:val="24"/>
          <w:szCs w:val="24"/>
        </w:rPr>
      </w:pPr>
      <w:r w:rsidRPr="002335C1">
        <w:rPr>
          <w:rFonts w:ascii="Times New Roman" w:hAnsi="Times New Roman" w:cs="Times New Roman"/>
          <w:b/>
          <w:bCs/>
          <w:sz w:val="24"/>
          <w:szCs w:val="24"/>
        </w:rPr>
        <w:t>Τα νέα ελάχιστα πρότυπα ενεργειακής απόδοσης, όσων αφορά της ανακαινίσεις σε ευρωπαϊκό επίπεδο, απαιτούν την αναβάθμιση του 15 % του κτιριακού αποθέματος με τις χειρότερες επιδόσεις κάθε κράτους μέλους</w:t>
      </w:r>
      <w:r w:rsidRPr="002335C1">
        <w:rPr>
          <w:rFonts w:ascii="Times New Roman" w:hAnsi="Times New Roman" w:cs="Times New Roman"/>
          <w:sz w:val="24"/>
          <w:szCs w:val="24"/>
        </w:rPr>
        <w:t xml:space="preserve"> από τη βαθμίδα G του πιστοποιητικού ενεργειακής απόδοσης τουλάχιστον στη βαθμίδα F έως το 2027 για τα μη οικιστικά κτίρια και έως το 2030 για τα οικιστικά κτίρια. </w:t>
      </w:r>
    </w:p>
    <w:p w14:paraId="7207E7F8" w14:textId="77777777" w:rsidR="00E1323A" w:rsidRPr="002335C1" w:rsidRDefault="00E1323A" w:rsidP="00A858F2">
      <w:pPr>
        <w:spacing w:after="120" w:line="288" w:lineRule="auto"/>
        <w:jc w:val="both"/>
        <w:rPr>
          <w:rFonts w:ascii="Times New Roman" w:hAnsi="Times New Roman" w:cs="Times New Roman"/>
          <w:b/>
          <w:bCs/>
          <w:sz w:val="24"/>
          <w:szCs w:val="24"/>
        </w:rPr>
      </w:pPr>
      <w:r w:rsidRPr="002335C1">
        <w:rPr>
          <w:rFonts w:ascii="Times New Roman" w:hAnsi="Times New Roman" w:cs="Times New Roman"/>
          <w:sz w:val="24"/>
          <w:szCs w:val="24"/>
        </w:rPr>
        <w:lastRenderedPageBreak/>
        <w:t xml:space="preserve">Έχουμε λοιπόν το συγκεκριμένο πρόγραμμα να βρίσκεται αυτή τη στιγμή σε πιλοτικό στάδιο και να εφαρμόζεται σε συνολικά σε έξι χώρες, μεταξύ των οποίων και </w:t>
      </w:r>
      <w:r w:rsidRPr="002335C1">
        <w:rPr>
          <w:rFonts w:ascii="Times New Roman" w:hAnsi="Times New Roman" w:cs="Times New Roman"/>
          <w:b/>
          <w:bCs/>
          <w:sz w:val="24"/>
          <w:szCs w:val="24"/>
        </w:rPr>
        <w:t xml:space="preserve">η Ελλάδα, που για αρχή θα πρέπει να εκδώσει διαβατήρια σε δώδεκα δημόσια κτίρια. </w:t>
      </w:r>
    </w:p>
    <w:p w14:paraId="2512AAE6" w14:textId="68946CC0" w:rsidR="00905F7B" w:rsidRPr="002335C1" w:rsidRDefault="00E1323A" w:rsidP="00A858F2">
      <w:pPr>
        <w:spacing w:after="120" w:line="288" w:lineRule="auto"/>
        <w:jc w:val="both"/>
        <w:rPr>
          <w:rFonts w:ascii="Times New Roman" w:hAnsi="Times New Roman" w:cs="Times New Roman"/>
          <w:sz w:val="24"/>
          <w:szCs w:val="24"/>
        </w:rPr>
      </w:pPr>
      <w:r w:rsidRPr="002335C1">
        <w:rPr>
          <w:rFonts w:ascii="Times New Roman" w:hAnsi="Times New Roman" w:cs="Times New Roman"/>
          <w:b/>
          <w:bCs/>
          <w:sz w:val="24"/>
          <w:szCs w:val="24"/>
        </w:rPr>
        <w:t>Το όραμα είναι η επίτευξη κτιριακού αποθέματος με μηδενικές εκπομπές έως το 2050</w:t>
      </w:r>
      <w:r w:rsidRPr="002335C1">
        <w:rPr>
          <w:rFonts w:ascii="Times New Roman" w:hAnsi="Times New Roman" w:cs="Times New Roman"/>
          <w:sz w:val="24"/>
          <w:szCs w:val="24"/>
        </w:rPr>
        <w:t xml:space="preserve"> και με αυτό το στόχο, κάθε μικρό βήμα που θα γίνεται μας φέρνει πιο κοντά σε ένα πιο ανθεκτικό, ψηφιακό, πράσινο μέλλον με βιώσιμες λύσεις και κύριο άξονα τον άνθρωπο και τον πλανήτη.</w:t>
      </w:r>
    </w:p>
    <w:p w14:paraId="6EB03887" w14:textId="77777777" w:rsidR="005F6A25" w:rsidRDefault="005F6A25" w:rsidP="005F6A25">
      <w:pPr>
        <w:jc w:val="both"/>
        <w:rPr>
          <w:rFonts w:ascii="Times New Roman" w:hAnsi="Times New Roman" w:cs="Times New Roman"/>
          <w:sz w:val="24"/>
          <w:szCs w:val="24"/>
        </w:rPr>
      </w:pPr>
    </w:p>
    <w:p w14:paraId="4DBDD391" w14:textId="77777777" w:rsidR="00763F2C" w:rsidRDefault="00763F2C" w:rsidP="005F6A25">
      <w:pPr>
        <w:jc w:val="both"/>
        <w:rPr>
          <w:rFonts w:ascii="Times New Roman" w:hAnsi="Times New Roman" w:cs="Times New Roman"/>
          <w:sz w:val="24"/>
          <w:szCs w:val="24"/>
        </w:rPr>
      </w:pPr>
    </w:p>
    <w:p w14:paraId="34014E0F" w14:textId="77777777" w:rsidR="00763F2C" w:rsidRDefault="00763F2C" w:rsidP="005F6A25">
      <w:pPr>
        <w:jc w:val="both"/>
        <w:rPr>
          <w:rFonts w:ascii="Times New Roman" w:hAnsi="Times New Roman" w:cs="Times New Roman"/>
          <w:sz w:val="24"/>
          <w:szCs w:val="24"/>
        </w:rPr>
      </w:pPr>
    </w:p>
    <w:p w14:paraId="06BA91A7" w14:textId="77777777" w:rsidR="00763F2C" w:rsidRDefault="00763F2C" w:rsidP="005F6A25">
      <w:pPr>
        <w:jc w:val="both"/>
        <w:rPr>
          <w:rFonts w:ascii="Times New Roman" w:hAnsi="Times New Roman" w:cs="Times New Roman"/>
          <w:sz w:val="24"/>
          <w:szCs w:val="24"/>
        </w:rPr>
      </w:pPr>
    </w:p>
    <w:p w14:paraId="68F6221A" w14:textId="77777777" w:rsidR="00763F2C" w:rsidRDefault="00763F2C" w:rsidP="005F6A25">
      <w:pPr>
        <w:jc w:val="both"/>
        <w:rPr>
          <w:rFonts w:ascii="Times New Roman" w:hAnsi="Times New Roman" w:cs="Times New Roman"/>
          <w:sz w:val="24"/>
          <w:szCs w:val="24"/>
        </w:rPr>
      </w:pPr>
    </w:p>
    <w:p w14:paraId="12883F5F" w14:textId="77777777" w:rsidR="00763F2C" w:rsidRDefault="00763F2C" w:rsidP="005F6A25">
      <w:pPr>
        <w:jc w:val="both"/>
        <w:rPr>
          <w:rFonts w:ascii="Times New Roman" w:hAnsi="Times New Roman" w:cs="Times New Roman"/>
          <w:sz w:val="24"/>
          <w:szCs w:val="24"/>
        </w:rPr>
      </w:pPr>
    </w:p>
    <w:p w14:paraId="4494D821" w14:textId="77777777" w:rsidR="00763F2C" w:rsidRDefault="00763F2C" w:rsidP="005F6A25">
      <w:pPr>
        <w:jc w:val="both"/>
        <w:rPr>
          <w:rFonts w:ascii="Times New Roman" w:hAnsi="Times New Roman" w:cs="Times New Roman"/>
          <w:sz w:val="24"/>
          <w:szCs w:val="24"/>
        </w:rPr>
      </w:pPr>
    </w:p>
    <w:p w14:paraId="4C33BF91" w14:textId="77777777" w:rsidR="00763F2C" w:rsidRDefault="00763F2C" w:rsidP="005F6A25">
      <w:pPr>
        <w:jc w:val="both"/>
        <w:rPr>
          <w:rFonts w:ascii="Times New Roman" w:hAnsi="Times New Roman" w:cs="Times New Roman"/>
          <w:sz w:val="24"/>
          <w:szCs w:val="24"/>
        </w:rPr>
      </w:pPr>
    </w:p>
    <w:p w14:paraId="45E89B11" w14:textId="77777777" w:rsidR="00763F2C" w:rsidRDefault="00763F2C" w:rsidP="005F6A25">
      <w:pPr>
        <w:jc w:val="both"/>
        <w:rPr>
          <w:rFonts w:ascii="Times New Roman" w:hAnsi="Times New Roman" w:cs="Times New Roman"/>
          <w:sz w:val="24"/>
          <w:szCs w:val="24"/>
        </w:rPr>
      </w:pPr>
    </w:p>
    <w:p w14:paraId="1C35F0C7" w14:textId="77777777" w:rsidR="00763F2C" w:rsidRDefault="00763F2C" w:rsidP="005F6A25">
      <w:pPr>
        <w:jc w:val="both"/>
        <w:rPr>
          <w:rFonts w:ascii="Times New Roman" w:hAnsi="Times New Roman" w:cs="Times New Roman"/>
          <w:sz w:val="24"/>
          <w:szCs w:val="24"/>
        </w:rPr>
      </w:pPr>
    </w:p>
    <w:p w14:paraId="7EF203BE" w14:textId="77777777" w:rsidR="00763F2C" w:rsidRDefault="00763F2C" w:rsidP="005F6A25">
      <w:pPr>
        <w:jc w:val="both"/>
        <w:rPr>
          <w:rFonts w:ascii="Times New Roman" w:hAnsi="Times New Roman" w:cs="Times New Roman"/>
          <w:sz w:val="24"/>
          <w:szCs w:val="24"/>
        </w:rPr>
      </w:pPr>
    </w:p>
    <w:p w14:paraId="3D9BD8B8" w14:textId="77777777" w:rsidR="00763F2C" w:rsidRDefault="00763F2C" w:rsidP="005F6A25">
      <w:pPr>
        <w:jc w:val="both"/>
        <w:rPr>
          <w:rFonts w:ascii="Times New Roman" w:hAnsi="Times New Roman" w:cs="Times New Roman"/>
          <w:sz w:val="24"/>
          <w:szCs w:val="24"/>
        </w:rPr>
      </w:pPr>
    </w:p>
    <w:p w14:paraId="4CBB5ED9" w14:textId="77777777" w:rsidR="00763F2C" w:rsidRDefault="00763F2C" w:rsidP="005F6A25">
      <w:pPr>
        <w:jc w:val="both"/>
        <w:rPr>
          <w:rFonts w:ascii="Times New Roman" w:hAnsi="Times New Roman" w:cs="Times New Roman"/>
          <w:sz w:val="24"/>
          <w:szCs w:val="24"/>
        </w:rPr>
      </w:pPr>
    </w:p>
    <w:p w14:paraId="5923BF3F" w14:textId="77777777" w:rsidR="00763F2C" w:rsidRDefault="00763F2C" w:rsidP="005F6A25">
      <w:pPr>
        <w:jc w:val="both"/>
        <w:rPr>
          <w:rFonts w:ascii="Times New Roman" w:hAnsi="Times New Roman" w:cs="Times New Roman"/>
          <w:sz w:val="24"/>
          <w:szCs w:val="24"/>
        </w:rPr>
      </w:pPr>
    </w:p>
    <w:p w14:paraId="7BEA60BA" w14:textId="77777777" w:rsidR="00763F2C" w:rsidRDefault="00763F2C" w:rsidP="005F6A25">
      <w:pPr>
        <w:jc w:val="both"/>
        <w:rPr>
          <w:rFonts w:ascii="Times New Roman" w:hAnsi="Times New Roman" w:cs="Times New Roman"/>
          <w:sz w:val="24"/>
          <w:szCs w:val="24"/>
        </w:rPr>
      </w:pPr>
    </w:p>
    <w:p w14:paraId="3B91FE31" w14:textId="77777777" w:rsidR="00763F2C" w:rsidRDefault="00763F2C" w:rsidP="005F6A25">
      <w:pPr>
        <w:jc w:val="both"/>
        <w:rPr>
          <w:rFonts w:ascii="Times New Roman" w:hAnsi="Times New Roman" w:cs="Times New Roman"/>
          <w:sz w:val="24"/>
          <w:szCs w:val="24"/>
        </w:rPr>
      </w:pPr>
    </w:p>
    <w:p w14:paraId="2805DD19" w14:textId="77777777" w:rsidR="00763F2C" w:rsidRDefault="00763F2C" w:rsidP="005F6A25">
      <w:pPr>
        <w:jc w:val="both"/>
        <w:rPr>
          <w:rFonts w:ascii="Times New Roman" w:hAnsi="Times New Roman" w:cs="Times New Roman"/>
          <w:sz w:val="24"/>
          <w:szCs w:val="24"/>
        </w:rPr>
      </w:pPr>
    </w:p>
    <w:p w14:paraId="35F1C851" w14:textId="77777777" w:rsidR="00763F2C" w:rsidRDefault="00763F2C" w:rsidP="005F6A25">
      <w:pPr>
        <w:jc w:val="both"/>
        <w:rPr>
          <w:rFonts w:ascii="Times New Roman" w:hAnsi="Times New Roman" w:cs="Times New Roman"/>
          <w:sz w:val="24"/>
          <w:szCs w:val="24"/>
        </w:rPr>
      </w:pPr>
    </w:p>
    <w:p w14:paraId="73C6E3BE" w14:textId="77777777" w:rsidR="00763F2C" w:rsidRDefault="00763F2C" w:rsidP="005F6A25">
      <w:pPr>
        <w:jc w:val="both"/>
        <w:rPr>
          <w:rFonts w:ascii="Times New Roman" w:hAnsi="Times New Roman" w:cs="Times New Roman"/>
          <w:sz w:val="24"/>
          <w:szCs w:val="24"/>
        </w:rPr>
      </w:pPr>
    </w:p>
    <w:p w14:paraId="0BE12CAF" w14:textId="77777777" w:rsidR="00763F2C" w:rsidRDefault="00763F2C" w:rsidP="005F6A25">
      <w:pPr>
        <w:jc w:val="both"/>
        <w:rPr>
          <w:rFonts w:ascii="Times New Roman" w:hAnsi="Times New Roman" w:cs="Times New Roman"/>
          <w:sz w:val="24"/>
          <w:szCs w:val="24"/>
        </w:rPr>
      </w:pPr>
    </w:p>
    <w:p w14:paraId="710D8C7F" w14:textId="77777777" w:rsidR="00763F2C" w:rsidRDefault="00763F2C" w:rsidP="005F6A25">
      <w:pPr>
        <w:jc w:val="both"/>
        <w:rPr>
          <w:rFonts w:ascii="Times New Roman" w:hAnsi="Times New Roman" w:cs="Times New Roman"/>
          <w:sz w:val="24"/>
          <w:szCs w:val="24"/>
        </w:rPr>
      </w:pPr>
    </w:p>
    <w:p w14:paraId="7691C0E4" w14:textId="77777777" w:rsidR="00763F2C" w:rsidRPr="002335C1" w:rsidRDefault="00763F2C" w:rsidP="005F6A25">
      <w:pPr>
        <w:jc w:val="both"/>
        <w:rPr>
          <w:rFonts w:ascii="Times New Roman" w:hAnsi="Times New Roman" w:cs="Times New Roman"/>
          <w:sz w:val="24"/>
          <w:szCs w:val="24"/>
        </w:rPr>
      </w:pPr>
    </w:p>
    <w:p w14:paraId="6FB71FF9" w14:textId="77777777" w:rsidR="002966B7" w:rsidRPr="002335C1" w:rsidRDefault="002966B7" w:rsidP="002966B7">
      <w:pPr>
        <w:pStyle w:val="10"/>
        <w:numPr>
          <w:ilvl w:val="8"/>
          <w:numId w:val="9"/>
        </w:numPr>
        <w:shd w:val="clear" w:color="auto" w:fill="D9E2F3" w:themeFill="accent1" w:themeFillTint="33"/>
        <w:spacing w:before="240" w:line="288" w:lineRule="auto"/>
        <w:ind w:left="0" w:right="43" w:firstLine="0"/>
        <w:jc w:val="center"/>
      </w:pPr>
      <w:bookmarkStart w:id="14" w:name="_Toc153461780"/>
      <w:r w:rsidRPr="002335C1">
        <w:lastRenderedPageBreak/>
        <w:t>ΘΕΜΑΤΑ ΕΠΙΧΕΙΡΗΜΑΤΙΚΩΝ ΠΑΡΚΩΝ (ΕΠ) / ΟΡΓΑΝΩΜΕΝΩΝ ΥΠΟΔΟΧΕΩΝ ΜΕΤΑΠΟΙΗΤΙΚΩΝ &amp; ΕΠΙΧΕΙΡΗΜΑΤΙΚΩΝ ΔΡΑΣΤΗΡΙΟΤΗΤΩΝ (ΟΥΜΕΔ) ΚΑΙ ΕΦΟΔΙΑΣΤΙΚΗΣ</w:t>
      </w:r>
      <w:bookmarkEnd w:id="14"/>
    </w:p>
    <w:p w14:paraId="5F5278C2" w14:textId="77777777" w:rsidR="002966B7" w:rsidRPr="002335C1" w:rsidRDefault="002966B7" w:rsidP="002966B7">
      <w:pPr>
        <w:pStyle w:val="110"/>
        <w:shd w:val="clear" w:color="auto" w:fill="FFFFFF" w:themeFill="background1"/>
        <w:tabs>
          <w:tab w:val="left" w:pos="284"/>
        </w:tabs>
        <w:spacing w:after="0" w:line="240" w:lineRule="auto"/>
        <w:ind w:left="284" w:right="266"/>
        <w:contextualSpacing w:val="0"/>
        <w:jc w:val="both"/>
        <w:rPr>
          <w:rFonts w:ascii="Times New Roman" w:hAnsi="Times New Roman"/>
          <w:b/>
          <w:i/>
          <w:iCs/>
          <w:sz w:val="4"/>
          <w:szCs w:val="4"/>
        </w:rPr>
      </w:pPr>
    </w:p>
    <w:p w14:paraId="79EF9A7E" w14:textId="77777777" w:rsidR="002966B7" w:rsidRPr="002335C1" w:rsidRDefault="002966B7" w:rsidP="002966B7">
      <w:pPr>
        <w:pStyle w:val="20"/>
        <w:shd w:val="clear" w:color="auto" w:fill="D9D9D9" w:themeFill="background1" w:themeFillShade="D9"/>
        <w:spacing w:before="0" w:after="120" w:line="360" w:lineRule="auto"/>
        <w:ind w:right="45"/>
        <w:jc w:val="center"/>
        <w:rPr>
          <w:rFonts w:ascii="Times New Roman" w:hAnsi="Times New Roman" w:cs="Times New Roman"/>
          <w:b/>
          <w:bCs/>
          <w:color w:val="auto"/>
          <w:sz w:val="24"/>
          <w:szCs w:val="24"/>
        </w:rPr>
      </w:pPr>
      <w:bookmarkStart w:id="15" w:name="_Toc153461781"/>
      <w:r w:rsidRPr="002335C1">
        <w:rPr>
          <w:rFonts w:ascii="Times New Roman" w:hAnsi="Times New Roman" w:cs="Times New Roman"/>
          <w:b/>
          <w:bCs/>
          <w:color w:val="auto"/>
          <w:sz w:val="24"/>
          <w:szCs w:val="24"/>
        </w:rPr>
        <w:t>Α. Ανάπτυξη Επιχειρηματικού Πάρκου Φυλής</w:t>
      </w:r>
      <w:bookmarkEnd w:id="15"/>
    </w:p>
    <w:p w14:paraId="7806C2D0" w14:textId="77777777" w:rsidR="002966B7" w:rsidRPr="002335C1" w:rsidRDefault="002966B7" w:rsidP="002966B7">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 xml:space="preserve">Στο πλαίσιο της περιβαλλοντικής και πολεοδομικής εξυγίανσης της περιοχής του Ελαιώνα και της ανάπλασης της περιοχής, σχεδιάζονται και υλοποιούνται δράσεις που αφορούν στην μετεγκατάσταση των 391 μεταφορικών επιχειρήσεων (πρακτορεία μεταφορών), υπεύθυνες σχεδόν για το σύνολο των εγχώριων μεταφορών, οι οποίες λειτουργούν σήμερα σε διάφορα σημεία του Ελαιώνα σε τριτοκοσμικές συνθήκες. </w:t>
      </w:r>
    </w:p>
    <w:p w14:paraId="366CAD42" w14:textId="77777777" w:rsidR="002966B7" w:rsidRPr="002335C1" w:rsidRDefault="002966B7" w:rsidP="002966B7">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 xml:space="preserve">Το έργο της ανάπλαση της περιοχής έχει ενταχθεί στο Αναπτυξιακό Πρόγραμμα Δημοσίων Συμβάσεων Στρατηγικής Σημασίας (ΑΠΔΣΣΣ), το οποίο ως τμήμα του στρατηγικού σχεδίου ανάπτυξης της χώρας, αποτελεί αναπτυξιακό εργαλείο του σύγχρονου επιτελικού κράτους σε εθνικό, περιφερειακό και τοπικό επίπεδο, καθώς και πυλώνα για την εφαρμογή του ετήσιου ενοποιημένου σχεδίου κυβερνητικής πολιτικής για την παραγωγική ανάταξη και ανασυγκρότηση και την κοινωνική συνοχή. Οι 391 </w:t>
      </w:r>
      <w:proofErr w:type="spellStart"/>
      <w:r w:rsidRPr="002335C1">
        <w:rPr>
          <w:rFonts w:ascii="Times New Roman" w:hAnsi="Times New Roman" w:cs="Times New Roman"/>
          <w:sz w:val="24"/>
          <w:szCs w:val="24"/>
        </w:rPr>
        <w:t>διαμεταφορείς</w:t>
      </w:r>
      <w:proofErr w:type="spellEnd"/>
      <w:r w:rsidRPr="002335C1">
        <w:rPr>
          <w:rFonts w:ascii="Times New Roman" w:hAnsi="Times New Roman" w:cs="Times New Roman"/>
          <w:sz w:val="24"/>
          <w:szCs w:val="24"/>
        </w:rPr>
        <w:t xml:space="preserve"> λειτουργούν στον Ελαιώνα, γύρω από την περιοχή της εν εξελίξει αστικής ανάπλασης, υπό ακαθόριστο νομικό καθεστώς. Η επιβάρυνση τόσο της ευρύτερης περιοχής από τη μη οργανωμένη λειτουργία τους, αλλά κυρίως από τον κυκλοφοριακό φόρτο που δημιουργείται σε βασικούς άξονες του κέντρου της πόλης, είναι μεγάλη.</w:t>
      </w:r>
    </w:p>
    <w:p w14:paraId="023F9505" w14:textId="77777777" w:rsidR="002966B7" w:rsidRPr="002335C1" w:rsidRDefault="002966B7" w:rsidP="002966B7">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 xml:space="preserve">Για την επίτευξη του στόχου της οργανωμένης μετεγκατάστασης των υφιστάμενων 391 επιχειρήσεων στον Ελαιώνα, σχεδιάζεται από το Ταμείο Αξιοποίησης Ακίνητης Περιουσίας του Δημοσίου (ΤΑΙΠΕΔ) η ανάπτυξη ενός Επιχειρηματικού Πάρκου Εφοδιαστικής Αλυσίδας κατά τα προβλεπόμενα του Ν.4982/2022. Ο στόχος του σχεδιαζόμενου έργου είναι η ανάπλαση του Ελαιώνα με την ταυτόχρονη λειτουργική, περιβαλλοντική και επιχειρησιακή αναβάθμιση της δραστηριότητας των μεταφερόμενων επιχειρήσεων. Με την μεταφορά των εν λόγω επιχειρήσεων στο νέο Επιχειρηματικό Πάρκο, εκτιμάται ότι θα μειωθεί κατά 6.500 φορτηγά η κίνηση στον Κηφισό, ενώ σημαντική ώθηση στα </w:t>
      </w:r>
      <w:proofErr w:type="spellStart"/>
      <w:r w:rsidRPr="002335C1">
        <w:rPr>
          <w:rFonts w:ascii="Times New Roman" w:hAnsi="Times New Roman" w:cs="Times New Roman"/>
          <w:sz w:val="24"/>
          <w:szCs w:val="24"/>
        </w:rPr>
        <w:t>logistics</w:t>
      </w:r>
      <w:proofErr w:type="spellEnd"/>
      <w:r w:rsidRPr="002335C1">
        <w:rPr>
          <w:rFonts w:ascii="Times New Roman" w:hAnsi="Times New Roman" w:cs="Times New Roman"/>
          <w:sz w:val="24"/>
          <w:szCs w:val="24"/>
        </w:rPr>
        <w:t xml:space="preserve"> θα δώσει η σύνδεση με τον σιδηρόδρομο και την Αττική Οδό ή την Περιφερειακή Αιγάλεω.</w:t>
      </w:r>
    </w:p>
    <w:p w14:paraId="5C44A4B3" w14:textId="77777777" w:rsidR="002966B7" w:rsidRPr="002335C1" w:rsidRDefault="002966B7" w:rsidP="002966B7">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 xml:space="preserve">Το </w:t>
      </w:r>
      <w:proofErr w:type="spellStart"/>
      <w:r w:rsidRPr="002335C1">
        <w:rPr>
          <w:rFonts w:ascii="Times New Roman" w:hAnsi="Times New Roman" w:cs="Times New Roman"/>
          <w:sz w:val="24"/>
          <w:szCs w:val="24"/>
        </w:rPr>
        <w:t>γεωτεμάχιο</w:t>
      </w:r>
      <w:proofErr w:type="spellEnd"/>
      <w:r w:rsidRPr="002335C1">
        <w:rPr>
          <w:rFonts w:ascii="Times New Roman" w:hAnsi="Times New Roman" w:cs="Times New Roman"/>
          <w:sz w:val="24"/>
          <w:szCs w:val="24"/>
        </w:rPr>
        <w:t xml:space="preserve"> που έχει επιλεχθεί από το ΤΑΙΠΕΔ για την μετεγκατάσταση των μεταφορικών εταιρειών, συνολικής επιφάνειας περί τα 470 στρέμματα, είναι ιδιοκτησίας του Δήμου Φυλής ο οποίος αποδέχεται μέσω της από 17.10.2022 σύμβασης μεταξύ ΤΑΙΠΕΔ και Δήμου Φυλής, που </w:t>
      </w:r>
      <w:proofErr w:type="spellStart"/>
      <w:r w:rsidRPr="002335C1">
        <w:rPr>
          <w:rFonts w:ascii="Times New Roman" w:hAnsi="Times New Roman" w:cs="Times New Roman"/>
          <w:sz w:val="24"/>
          <w:szCs w:val="24"/>
        </w:rPr>
        <w:t>συνήφθη</w:t>
      </w:r>
      <w:proofErr w:type="spellEnd"/>
      <w:r w:rsidRPr="002335C1">
        <w:rPr>
          <w:rFonts w:ascii="Times New Roman" w:hAnsi="Times New Roman" w:cs="Times New Roman"/>
          <w:sz w:val="24"/>
          <w:szCs w:val="24"/>
        </w:rPr>
        <w:t xml:space="preserve"> κατά το άρθρο 5Β του Ν.3986/2011, να παραχωρήσει (ή μεταβιβάσει) τμήμα του για την ανάπτυξη του Επιχειρηματικού Πάρκου. Η επιλεγείσα προς ανάπτυξη θέση του ΕΠ παρουσιάζει σειρά πλεονεκτημάτων αναφορικά με την μεταφορική διασύνδεση που μπορεί να επιτευχθεί καθώς βρίσκεται ανάμεσα στους κόμβους 4 (Ασπρόπυργος) και 5 (Περιφερειακή Αιγάλεω) της Αττικής οδού και μέσω αυτής και του κόμβου 8 θα διασυνδέεται άμεσα με το υπόλοιπο Εθνικό Δίκτυο (Ε75 και Ε65).</w:t>
      </w:r>
    </w:p>
    <w:p w14:paraId="5A5A07D1" w14:textId="77777777" w:rsidR="002966B7" w:rsidRPr="002335C1" w:rsidRDefault="002966B7" w:rsidP="002966B7">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lastRenderedPageBreak/>
        <w:t xml:space="preserve">Η συνολική επένδυση (σύμβαση παραχώρησης) εκτιμάται σε περίπου 250 εκατ. ευρώ, με την πριμοδότηση των εταιρειών μεταφορών, ύψους 20 εκατ. ευρώ, για το κόστος μεταφοράς του, να καλύπτεται από πόρους του Ταμείου Ανάκαμψης, ενώ αναμένεται ο διαγωνισμός στο πρώτο εξάμηνο 2024. Στόχος είναι η δημιουργία ενός μεταφορικού </w:t>
      </w:r>
      <w:proofErr w:type="spellStart"/>
      <w:r w:rsidRPr="002335C1">
        <w:rPr>
          <w:rFonts w:ascii="Times New Roman" w:hAnsi="Times New Roman" w:cs="Times New Roman"/>
          <w:sz w:val="24"/>
          <w:szCs w:val="24"/>
        </w:rPr>
        <w:t>cluster</w:t>
      </w:r>
      <w:proofErr w:type="spellEnd"/>
      <w:r w:rsidRPr="002335C1">
        <w:rPr>
          <w:rFonts w:ascii="Times New Roman" w:hAnsi="Times New Roman" w:cs="Times New Roman"/>
          <w:sz w:val="24"/>
          <w:szCs w:val="24"/>
        </w:rPr>
        <w:t xml:space="preserve"> </w:t>
      </w:r>
      <w:proofErr w:type="spellStart"/>
      <w:r w:rsidRPr="002335C1">
        <w:rPr>
          <w:rFonts w:ascii="Times New Roman" w:hAnsi="Times New Roman" w:cs="Times New Roman"/>
          <w:sz w:val="24"/>
          <w:szCs w:val="24"/>
        </w:rPr>
        <w:t>υπερ</w:t>
      </w:r>
      <w:proofErr w:type="spellEnd"/>
      <w:r w:rsidRPr="002335C1">
        <w:rPr>
          <w:rFonts w:ascii="Times New Roman" w:hAnsi="Times New Roman" w:cs="Times New Roman"/>
          <w:sz w:val="24"/>
          <w:szCs w:val="24"/>
        </w:rPr>
        <w:t xml:space="preserve">-εθνικής εμβέλειας. </w:t>
      </w:r>
    </w:p>
    <w:p w14:paraId="4AEACDC4" w14:textId="77777777" w:rsidR="002966B7" w:rsidRPr="002335C1" w:rsidRDefault="002966B7" w:rsidP="002966B7">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 xml:space="preserve">Ο διεθνής διαγωνισμός παραχώρησης του ακινήτου αναμένεται να ξεκινήσει το πρώτο εξάμηνο του 2024 ώστε η μετεγκατάσταση να γίνει στα τέλη του 2025. Σημειώνεται ότι ο επενδυτής θα έχει ως υποχρέωση την ανάπτυξη των πρακτορείων έκτασης 80-100 στρεμμάτων, ενώ στην υπόλοιπη επιφάνεια θα μπορεί να αναπτύξει άλλες χρήσεις, π.χ. </w:t>
      </w:r>
      <w:proofErr w:type="spellStart"/>
      <w:r w:rsidRPr="002335C1">
        <w:rPr>
          <w:rFonts w:ascii="Times New Roman" w:hAnsi="Times New Roman" w:cs="Times New Roman"/>
          <w:sz w:val="24"/>
          <w:szCs w:val="24"/>
        </w:rPr>
        <w:t>logistics</w:t>
      </w:r>
      <w:proofErr w:type="spellEnd"/>
      <w:r w:rsidRPr="002335C1">
        <w:rPr>
          <w:rFonts w:ascii="Times New Roman" w:hAnsi="Times New Roman" w:cs="Times New Roman"/>
          <w:sz w:val="24"/>
          <w:szCs w:val="24"/>
        </w:rPr>
        <w:t xml:space="preserve">, μεταφορών, διαμετακόμισης, εμπορικές, μεικτών χρήσεων, μεταποίησης κλπ. </w:t>
      </w:r>
    </w:p>
    <w:p w14:paraId="2CE4C72C" w14:textId="77777777" w:rsidR="002966B7" w:rsidRPr="002335C1" w:rsidRDefault="002966B7" w:rsidP="002966B7">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 xml:space="preserve">Επί του παρόντος, με ενέργειες του ΤΑΕΠΕΔ, έχει κατατεθεί στο Υπουργείο Περιβάλλοντος και Ενέργειας το αίτημα για την προέγκριση Ειδικού Πολεοδομικού Σχεδίου του Επιχειρηματικού Πάρκου και αναμένεται η σχετική έγκρισή του. Επίσης, προχωρά η εκπόνηση ενός </w:t>
      </w:r>
      <w:proofErr w:type="spellStart"/>
      <w:r w:rsidRPr="002335C1">
        <w:rPr>
          <w:rFonts w:ascii="Times New Roman" w:hAnsi="Times New Roman" w:cs="Times New Roman"/>
          <w:sz w:val="24"/>
          <w:szCs w:val="24"/>
        </w:rPr>
        <w:t>business</w:t>
      </w:r>
      <w:proofErr w:type="spellEnd"/>
      <w:r w:rsidRPr="002335C1">
        <w:rPr>
          <w:rFonts w:ascii="Times New Roman" w:hAnsi="Times New Roman" w:cs="Times New Roman"/>
          <w:sz w:val="24"/>
          <w:szCs w:val="24"/>
        </w:rPr>
        <w:t xml:space="preserve"> </w:t>
      </w:r>
      <w:proofErr w:type="spellStart"/>
      <w:r w:rsidRPr="002335C1">
        <w:rPr>
          <w:rFonts w:ascii="Times New Roman" w:hAnsi="Times New Roman" w:cs="Times New Roman"/>
          <w:sz w:val="24"/>
          <w:szCs w:val="24"/>
        </w:rPr>
        <w:t>plan</w:t>
      </w:r>
      <w:proofErr w:type="spellEnd"/>
      <w:r w:rsidRPr="002335C1">
        <w:rPr>
          <w:rFonts w:ascii="Times New Roman" w:hAnsi="Times New Roman" w:cs="Times New Roman"/>
          <w:sz w:val="24"/>
          <w:szCs w:val="24"/>
        </w:rPr>
        <w:t xml:space="preserve"> για την αποτελεσματική εγκατάσταση και λειτουργία των επιχειρήσεων </w:t>
      </w:r>
      <w:proofErr w:type="spellStart"/>
      <w:r w:rsidRPr="002335C1">
        <w:rPr>
          <w:rFonts w:ascii="Times New Roman" w:hAnsi="Times New Roman" w:cs="Times New Roman"/>
          <w:sz w:val="24"/>
          <w:szCs w:val="24"/>
        </w:rPr>
        <w:t>διαμεταφορών</w:t>
      </w:r>
      <w:proofErr w:type="spellEnd"/>
      <w:r w:rsidRPr="002335C1">
        <w:rPr>
          <w:rFonts w:ascii="Times New Roman" w:hAnsi="Times New Roman" w:cs="Times New Roman"/>
          <w:sz w:val="24"/>
          <w:szCs w:val="24"/>
        </w:rPr>
        <w:t>.</w:t>
      </w:r>
    </w:p>
    <w:p w14:paraId="5302C511" w14:textId="77777777" w:rsidR="002966B7" w:rsidRPr="002335C1" w:rsidRDefault="002966B7" w:rsidP="002966B7">
      <w:pPr>
        <w:pStyle w:val="af0"/>
      </w:pPr>
    </w:p>
    <w:p w14:paraId="2F6F4F44" w14:textId="08094426" w:rsidR="00430EB6" w:rsidRPr="002335C1" w:rsidRDefault="00430EB6">
      <w:pPr>
        <w:rPr>
          <w:rFonts w:ascii="Times New Roman" w:hAnsi="Times New Roman" w:cs="Times New Roman"/>
          <w:highlight w:val="yellow"/>
        </w:rPr>
      </w:pPr>
      <w:r w:rsidRPr="002335C1">
        <w:rPr>
          <w:rFonts w:ascii="Times New Roman" w:hAnsi="Times New Roman" w:cs="Times New Roman"/>
          <w:highlight w:val="yellow"/>
        </w:rPr>
        <w:br w:type="page"/>
      </w:r>
    </w:p>
    <w:p w14:paraId="33834365" w14:textId="77777777" w:rsidR="002966B7" w:rsidRPr="002335C1" w:rsidRDefault="002966B7" w:rsidP="002966B7">
      <w:pPr>
        <w:pStyle w:val="10"/>
        <w:numPr>
          <w:ilvl w:val="8"/>
          <w:numId w:val="9"/>
        </w:numPr>
        <w:shd w:val="clear" w:color="auto" w:fill="D9E2F3" w:themeFill="accent1" w:themeFillTint="33"/>
        <w:spacing w:before="240" w:after="120" w:line="276" w:lineRule="auto"/>
        <w:ind w:left="0" w:right="43" w:firstLine="0"/>
        <w:jc w:val="center"/>
      </w:pPr>
      <w:bookmarkStart w:id="16" w:name="_Toc152776059"/>
      <w:bookmarkStart w:id="17" w:name="_Toc153461782"/>
      <w:bookmarkEnd w:id="13"/>
      <w:r w:rsidRPr="002335C1">
        <w:lastRenderedPageBreak/>
        <w:t>ΘΕΜΑΤΑ ΔΙΟΙΚΗΣΗΣ, ΟΡΓΑΝΩΣΗΣ ΚΑΙ ΑΝΑΠΤΥΞΗΣ ΕΠΙΧΕΙΡΗΣΕΩΝ ΚΑΙ ΦΟΡΕΩΝ, ΕΣΩΤΕΡΙΚΟΣ ΕΛΕΓΧΟΣ ΣΕ ΙΔΙΩΤΙΚΟ ΚΑΙ ΔΗΜΟΣΙΟ ΤΟΜΕΑ</w:t>
      </w:r>
      <w:bookmarkEnd w:id="16"/>
      <w:bookmarkEnd w:id="17"/>
    </w:p>
    <w:p w14:paraId="4DBD5793" w14:textId="77777777" w:rsidR="002966B7" w:rsidRPr="002335C1" w:rsidRDefault="002966B7" w:rsidP="002966B7">
      <w:pPr>
        <w:pStyle w:val="20"/>
        <w:shd w:val="clear" w:color="auto" w:fill="D9D9D9" w:themeFill="background1" w:themeFillShade="D9"/>
        <w:spacing w:afterLines="160" w:after="384" w:line="276" w:lineRule="auto"/>
        <w:ind w:right="43"/>
        <w:jc w:val="center"/>
        <w:rPr>
          <w:rFonts w:ascii="Times New Roman" w:hAnsi="Times New Roman" w:cs="Times New Roman"/>
          <w:b/>
          <w:bCs/>
          <w:color w:val="auto"/>
          <w:sz w:val="24"/>
          <w:szCs w:val="24"/>
          <w:highlight w:val="yellow"/>
        </w:rPr>
      </w:pPr>
      <w:bookmarkStart w:id="18" w:name="_Toc153461783"/>
      <w:r w:rsidRPr="002335C1">
        <w:rPr>
          <w:rFonts w:ascii="Times New Roman" w:hAnsi="Times New Roman" w:cs="Times New Roman"/>
          <w:b/>
          <w:bCs/>
          <w:color w:val="auto"/>
          <w:sz w:val="24"/>
          <w:szCs w:val="24"/>
        </w:rPr>
        <w:t>Α. Πώς ο εσωτερικός έλεγχος βελτιώνει την παρακολούθηση και την αποτίμηση των κινδύνων στη συμβολή τους σε θέματα Εταιρικής Διακυβέρνησης</w:t>
      </w:r>
      <w:bookmarkEnd w:id="18"/>
    </w:p>
    <w:p w14:paraId="73D59317" w14:textId="77777777" w:rsidR="002966B7" w:rsidRPr="002335C1" w:rsidRDefault="002966B7" w:rsidP="00A858F2">
      <w:pPr>
        <w:spacing w:after="120" w:line="288" w:lineRule="auto"/>
        <w:jc w:val="both"/>
        <w:rPr>
          <w:rFonts w:ascii="Times New Roman" w:hAnsi="Times New Roman" w:cs="Times New Roman"/>
          <w:b/>
          <w:bCs/>
          <w:sz w:val="24"/>
          <w:szCs w:val="24"/>
          <w:u w:val="single"/>
        </w:rPr>
      </w:pPr>
      <w:r w:rsidRPr="002335C1">
        <w:rPr>
          <w:rFonts w:ascii="Times New Roman" w:hAnsi="Times New Roman" w:cs="Times New Roman"/>
          <w:b/>
          <w:bCs/>
          <w:sz w:val="24"/>
          <w:szCs w:val="24"/>
          <w:u w:val="single"/>
        </w:rPr>
        <w:t>ΕΙΣΑΓΩΓΗ</w:t>
      </w:r>
    </w:p>
    <w:p w14:paraId="6378E0C0" w14:textId="77777777" w:rsidR="002966B7" w:rsidRPr="002335C1" w:rsidRDefault="002966B7" w:rsidP="00A858F2">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 xml:space="preserve">Οι σύγχρονες επιχειρήσεις δραστηριοποιούνται σήμερα σε ένα πολύπλοκο περιβάλλον αυξημένης εποπτείας και λογοδοσίας και καλούνται να πορευτούν προς την επίτευξη των στόχων τους με γνώμονα όχι μόνο το εταιρικό αλλά και το κοινωνικό συμφέρον. Οι σημερινές επιχειρήσεις αποτελούν πολύπλοκους οργανισμούς οι οποίοι αλληλοεπιδρούν συστηματικά με το εξωτερικό τους περιβάλλον το οποίο αποτελείται από ένα σύνολο ενδιαφερόμενων μερών (μέτοχοι, θεσμικοί επενδυτές, πελάτες- προμηθευτές, κρατικές αρχές κ.λπ..) τα συμφέροντα των οποίων οφείλουν να διασφαλίζουν, ιδίως αυτές των οποίων οι μετοχές διαπραγματεύονται σε οργανωμένη χρηματιστηριακή αγορά. Στο πλαίσιο αυτό γεννάται ολοένα και περισσότερο </w:t>
      </w:r>
      <w:r w:rsidRPr="002335C1">
        <w:rPr>
          <w:rFonts w:ascii="Times New Roman" w:hAnsi="Times New Roman" w:cs="Times New Roman"/>
          <w:b/>
          <w:bCs/>
          <w:sz w:val="24"/>
          <w:szCs w:val="24"/>
        </w:rPr>
        <w:t>η ανάγκη θεσμοθέτησης κατάλληλων κανόνων διακυβέρνησης</w:t>
      </w:r>
      <w:r w:rsidRPr="002335C1">
        <w:rPr>
          <w:rFonts w:ascii="Times New Roman" w:hAnsi="Times New Roman" w:cs="Times New Roman"/>
          <w:sz w:val="24"/>
          <w:szCs w:val="24"/>
        </w:rPr>
        <w:t xml:space="preserve"> οι οποίοι θα διασφαλίζουν ότι υφίσταται εντός των επιχειρήσεων </w:t>
      </w:r>
      <w:r w:rsidRPr="002335C1">
        <w:rPr>
          <w:rFonts w:ascii="Times New Roman" w:hAnsi="Times New Roman" w:cs="Times New Roman"/>
          <w:b/>
          <w:bCs/>
          <w:sz w:val="24"/>
          <w:szCs w:val="24"/>
        </w:rPr>
        <w:t>ένα σύστημα διοίκησης</w:t>
      </w:r>
      <w:r w:rsidRPr="002335C1">
        <w:rPr>
          <w:rFonts w:ascii="Times New Roman" w:hAnsi="Times New Roman" w:cs="Times New Roman"/>
          <w:sz w:val="24"/>
          <w:szCs w:val="24"/>
        </w:rPr>
        <w:t xml:space="preserve"> κατάλληλο να εντοπίζει και να διαχειρίζεται τους κινδύνους εκείνους που απειλούν τους στόχους που έχουν τεθεί, αλλά και </w:t>
      </w:r>
      <w:r w:rsidRPr="002335C1">
        <w:rPr>
          <w:rFonts w:ascii="Times New Roman" w:hAnsi="Times New Roman" w:cs="Times New Roman"/>
          <w:b/>
          <w:bCs/>
          <w:sz w:val="24"/>
          <w:szCs w:val="24"/>
        </w:rPr>
        <w:t>ένα Σύστημα Εσωτερικού Ελέγχου</w:t>
      </w:r>
      <w:r w:rsidRPr="002335C1">
        <w:rPr>
          <w:rFonts w:ascii="Times New Roman" w:hAnsi="Times New Roman" w:cs="Times New Roman"/>
          <w:sz w:val="24"/>
          <w:szCs w:val="24"/>
        </w:rPr>
        <w:t xml:space="preserve"> αποτελεσματικό στο να αξιολογεί, να αποτιμά και να επικοινωνεί τους κινδύνους αυτούς αλλά και να προτείνει λύσεις. </w:t>
      </w:r>
    </w:p>
    <w:p w14:paraId="2F530848" w14:textId="77777777" w:rsidR="002966B7" w:rsidRDefault="002966B7" w:rsidP="00A858F2">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 xml:space="preserve">Είναι ιδιαίτερα σημαντικό να επισημάνουμε πως η επιτυχημένη εφαρμογή τόσο των κανόνων της Εταιρικής Διακυβέρνησης όσο και η αποτελεσματική εφαρμογή διαδικασιών Εσωτερικού Ελέγχου, οι οποίες θα την πλαισιώσουν, βασίζονται σε μεγάλο βαθμό </w:t>
      </w:r>
      <w:r w:rsidRPr="002335C1">
        <w:rPr>
          <w:rFonts w:ascii="Times New Roman" w:hAnsi="Times New Roman" w:cs="Times New Roman"/>
          <w:b/>
          <w:bCs/>
          <w:sz w:val="24"/>
          <w:szCs w:val="24"/>
        </w:rPr>
        <w:t>στην επιθυμία της ίδιας της εταιρείας</w:t>
      </w:r>
      <w:r w:rsidRPr="002335C1">
        <w:rPr>
          <w:rFonts w:ascii="Times New Roman" w:hAnsi="Times New Roman" w:cs="Times New Roman"/>
          <w:sz w:val="24"/>
          <w:szCs w:val="24"/>
        </w:rPr>
        <w:t xml:space="preserve"> και της Διοίκησης αυτής να υποστηρίζει τα συμφέροντα των μετόχων της, τηρώντας τους κανόνες διαφάνειας που διέπουν της οργανωμένες χρηματαγορές (και όχι μόνο), όντας παράλληλα κοινωνικά υπεύθυνη.</w:t>
      </w:r>
    </w:p>
    <w:p w14:paraId="1D78628B" w14:textId="77777777" w:rsidR="00A858F2" w:rsidRPr="002335C1" w:rsidRDefault="00A858F2" w:rsidP="00A858F2">
      <w:pPr>
        <w:spacing w:after="120" w:line="288" w:lineRule="auto"/>
        <w:jc w:val="both"/>
        <w:rPr>
          <w:rFonts w:ascii="Times New Roman" w:hAnsi="Times New Roman" w:cs="Times New Roman"/>
          <w:sz w:val="24"/>
          <w:szCs w:val="24"/>
        </w:rPr>
      </w:pPr>
    </w:p>
    <w:p w14:paraId="1F718687" w14:textId="77777777" w:rsidR="002966B7" w:rsidRPr="002335C1" w:rsidRDefault="002966B7" w:rsidP="00A858F2">
      <w:pPr>
        <w:spacing w:after="120" w:line="288" w:lineRule="auto"/>
        <w:jc w:val="both"/>
        <w:rPr>
          <w:rFonts w:ascii="Times New Roman" w:hAnsi="Times New Roman" w:cs="Times New Roman"/>
          <w:b/>
          <w:bCs/>
          <w:sz w:val="24"/>
          <w:szCs w:val="24"/>
          <w:u w:val="single"/>
        </w:rPr>
      </w:pPr>
      <w:r w:rsidRPr="002335C1">
        <w:rPr>
          <w:rFonts w:ascii="Times New Roman" w:hAnsi="Times New Roman" w:cs="Times New Roman"/>
          <w:b/>
          <w:bCs/>
          <w:sz w:val="24"/>
          <w:szCs w:val="24"/>
          <w:u w:val="single"/>
        </w:rPr>
        <w:t>ΖΗΤΗΜΑ</w:t>
      </w:r>
    </w:p>
    <w:p w14:paraId="6142B0BF" w14:textId="77777777" w:rsidR="002966B7" w:rsidRPr="002335C1" w:rsidRDefault="002966B7" w:rsidP="00A858F2">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 xml:space="preserve">Μια από της σοβαρότερες προκλήσεις που καλείται να λύσει η Εταιρική Διακυβέρνηση, είναι η </w:t>
      </w:r>
      <w:r w:rsidRPr="002335C1">
        <w:rPr>
          <w:rFonts w:ascii="Times New Roman" w:hAnsi="Times New Roman" w:cs="Times New Roman"/>
          <w:b/>
          <w:bCs/>
          <w:sz w:val="24"/>
          <w:szCs w:val="24"/>
        </w:rPr>
        <w:t>θεωρία εντολέα – εντολοδόχου (</w:t>
      </w:r>
      <w:proofErr w:type="spellStart"/>
      <w:r w:rsidRPr="002335C1">
        <w:rPr>
          <w:rFonts w:ascii="Times New Roman" w:hAnsi="Times New Roman" w:cs="Times New Roman"/>
          <w:b/>
          <w:bCs/>
          <w:sz w:val="24"/>
          <w:szCs w:val="24"/>
        </w:rPr>
        <w:t>agency</w:t>
      </w:r>
      <w:proofErr w:type="spellEnd"/>
      <w:r w:rsidRPr="002335C1">
        <w:rPr>
          <w:rFonts w:ascii="Times New Roman" w:hAnsi="Times New Roman" w:cs="Times New Roman"/>
          <w:b/>
          <w:bCs/>
          <w:sz w:val="24"/>
          <w:szCs w:val="24"/>
        </w:rPr>
        <w:t xml:space="preserve"> </w:t>
      </w:r>
      <w:proofErr w:type="spellStart"/>
      <w:r w:rsidRPr="002335C1">
        <w:rPr>
          <w:rFonts w:ascii="Times New Roman" w:hAnsi="Times New Roman" w:cs="Times New Roman"/>
          <w:b/>
          <w:bCs/>
          <w:sz w:val="24"/>
          <w:szCs w:val="24"/>
        </w:rPr>
        <w:t>theory</w:t>
      </w:r>
      <w:proofErr w:type="spellEnd"/>
      <w:r w:rsidRPr="002335C1">
        <w:rPr>
          <w:rFonts w:ascii="Times New Roman" w:hAnsi="Times New Roman" w:cs="Times New Roman"/>
          <w:b/>
          <w:bCs/>
          <w:sz w:val="24"/>
          <w:szCs w:val="24"/>
        </w:rPr>
        <w:t>),</w:t>
      </w:r>
      <w:r w:rsidRPr="002335C1">
        <w:rPr>
          <w:rFonts w:ascii="Times New Roman" w:hAnsi="Times New Roman" w:cs="Times New Roman"/>
          <w:sz w:val="24"/>
          <w:szCs w:val="24"/>
        </w:rPr>
        <w:t xml:space="preserve"> η δυσκολία δηλαδή να ισορροπήσουν τα συμφέροντα των ασκούντων ενεργά την διοίκηση της εταιρείας με αυτά των μετόχων και των εξωτερικών επενδυτών. Η θεωρεία εντολέα – εντολοδόχου βασίζεται στην αντίληψη ότι η εντολοδόχος διοίκηση έχει πιο πολύ πληροφόρηση από τον εντολέα (μετόχους) και η ασυμμετρία αυτή στην ροή πληροφόρησης επί εταιρικών ζητημάτων δυσχεραίνει την θέση των μετόχων στο να προστατέψουν τα συμφέροντα τους. Είναι λοιπόν απίθανο αν και οι δύο πλευρές επιδιώκουν την μεγιστοποίηση των συμφερόντων τους η διοίκηση να καταβάλει τα μέγιστα για την μεγιστοποίηση των συμφερόντων των μετόχων.</w:t>
      </w:r>
    </w:p>
    <w:p w14:paraId="56838912" w14:textId="77777777" w:rsidR="002966B7" w:rsidRPr="002335C1" w:rsidRDefault="002966B7" w:rsidP="00A858F2">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lastRenderedPageBreak/>
        <w:t xml:space="preserve">Επιπρόσθετα, ένας από τους κυριότερους ρόλους που καλείται να επιτελέσει η Εταιρική Διακυβέρνηση και είναι ίσως αυτός που παρουσιάζει τις ισχυρότερες προκλήσεις στην επίτευξη του είναι </w:t>
      </w:r>
      <w:r w:rsidRPr="002335C1">
        <w:rPr>
          <w:rFonts w:ascii="Times New Roman" w:hAnsi="Times New Roman" w:cs="Times New Roman"/>
          <w:b/>
          <w:bCs/>
          <w:sz w:val="24"/>
          <w:szCs w:val="24"/>
        </w:rPr>
        <w:t>η προστασία των δικαιωμάτων των μετόχων μειοψηφίας</w:t>
      </w:r>
      <w:r w:rsidRPr="002335C1">
        <w:rPr>
          <w:rFonts w:ascii="Times New Roman" w:hAnsi="Times New Roman" w:cs="Times New Roman"/>
          <w:sz w:val="24"/>
          <w:szCs w:val="24"/>
        </w:rPr>
        <w:t>. Ο ρόλος των μέτοχων μειοψηφίας είναι σημαντικότατος για την εύρυθμη συνέχιση της ομαλής επιχειρηματικής δραστηριότητας (</w:t>
      </w:r>
      <w:proofErr w:type="spellStart"/>
      <w:r w:rsidRPr="002335C1">
        <w:rPr>
          <w:rFonts w:ascii="Times New Roman" w:hAnsi="Times New Roman" w:cs="Times New Roman"/>
          <w:sz w:val="24"/>
          <w:szCs w:val="24"/>
        </w:rPr>
        <w:t>Going</w:t>
      </w:r>
      <w:proofErr w:type="spellEnd"/>
      <w:r w:rsidRPr="002335C1">
        <w:rPr>
          <w:rFonts w:ascii="Times New Roman" w:hAnsi="Times New Roman" w:cs="Times New Roman"/>
          <w:sz w:val="24"/>
          <w:szCs w:val="24"/>
        </w:rPr>
        <w:t xml:space="preserve"> </w:t>
      </w:r>
      <w:proofErr w:type="spellStart"/>
      <w:r w:rsidRPr="002335C1">
        <w:rPr>
          <w:rFonts w:ascii="Times New Roman" w:hAnsi="Times New Roman" w:cs="Times New Roman"/>
          <w:sz w:val="24"/>
          <w:szCs w:val="24"/>
        </w:rPr>
        <w:t>Concern</w:t>
      </w:r>
      <w:proofErr w:type="spellEnd"/>
      <w:r w:rsidRPr="002335C1">
        <w:rPr>
          <w:rFonts w:ascii="Times New Roman" w:hAnsi="Times New Roman" w:cs="Times New Roman"/>
          <w:sz w:val="24"/>
          <w:szCs w:val="24"/>
        </w:rPr>
        <w:t xml:space="preserve">) λόγω της αντικειμενικότητας που χαρακτηρίζει ο </w:t>
      </w:r>
      <w:proofErr w:type="spellStart"/>
      <w:r w:rsidRPr="002335C1">
        <w:rPr>
          <w:rFonts w:ascii="Times New Roman" w:hAnsi="Times New Roman" w:cs="Times New Roman"/>
          <w:sz w:val="24"/>
          <w:szCs w:val="24"/>
        </w:rPr>
        <w:t>αποστασιοποιημένος</w:t>
      </w:r>
      <w:proofErr w:type="spellEnd"/>
      <w:r w:rsidRPr="002335C1">
        <w:rPr>
          <w:rFonts w:ascii="Times New Roman" w:hAnsi="Times New Roman" w:cs="Times New Roman"/>
          <w:sz w:val="24"/>
          <w:szCs w:val="24"/>
        </w:rPr>
        <w:t xml:space="preserve"> από διοικητικά και διαχειριστικά θέματα ρόλος τους. Η σαφής και πλήρης γνωστοποίηση όλων των εταιρικών θεμάτων στους μετόχους μειοψηφίας, και ο πλήρης σεβασμός του ρόλου τους κατά την σύγκληση, την συνεδρίαση και τη λήψη αποφάσεων του ανώτατου εταιρικού διοικητικού οργάνου της Γενικής Συνέλευσης, αποτελεί ισχυρό δείκτη καλής Εταιρικής Διακυβέρνησης.</w:t>
      </w:r>
    </w:p>
    <w:p w14:paraId="0F2E50C8" w14:textId="77777777" w:rsidR="002966B7" w:rsidRDefault="002966B7" w:rsidP="00A858F2">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 xml:space="preserve">Το ζήτημα που προκύπτει λοιπόν εδώ είναι, ποια λειτουργία της επιχείρησης, έχει όχι μόνο την επαρκή ανεξαρτησία από την Διοίκηση που χρειάζεται, αλλά και τις ικανότητες και αρμοδιότητες να αξιολογεί κινδύνους ώστε να είναι σε θέση να αντιμετωπίζει προκλήσεις όπως αυτές που παρατέθηκαν παραπάνω; Όπως θα δούμε και ακολούθως, η λειτουργία αυτή είναι </w:t>
      </w:r>
      <w:r w:rsidRPr="002335C1">
        <w:rPr>
          <w:rFonts w:ascii="Times New Roman" w:hAnsi="Times New Roman" w:cs="Times New Roman"/>
          <w:b/>
          <w:bCs/>
          <w:sz w:val="24"/>
          <w:szCs w:val="24"/>
        </w:rPr>
        <w:t>ο Εσωτερικός Έλεγχος και το Σύστημα Εσωτερικού Ελέγχου</w:t>
      </w:r>
      <w:r w:rsidRPr="002335C1">
        <w:rPr>
          <w:rFonts w:ascii="Times New Roman" w:hAnsi="Times New Roman" w:cs="Times New Roman"/>
          <w:sz w:val="24"/>
          <w:szCs w:val="24"/>
        </w:rPr>
        <w:t>.</w:t>
      </w:r>
    </w:p>
    <w:p w14:paraId="14E6E100" w14:textId="77777777" w:rsidR="00A858F2" w:rsidRPr="002335C1" w:rsidRDefault="00A858F2" w:rsidP="00A858F2">
      <w:pPr>
        <w:spacing w:after="120" w:line="288" w:lineRule="auto"/>
        <w:jc w:val="both"/>
        <w:rPr>
          <w:rFonts w:ascii="Times New Roman" w:hAnsi="Times New Roman" w:cs="Times New Roman"/>
          <w:sz w:val="24"/>
          <w:szCs w:val="24"/>
        </w:rPr>
      </w:pPr>
    </w:p>
    <w:p w14:paraId="7EDDC8F1" w14:textId="77777777" w:rsidR="002966B7" w:rsidRPr="002335C1" w:rsidRDefault="002966B7" w:rsidP="00A858F2">
      <w:pPr>
        <w:spacing w:after="120" w:line="288" w:lineRule="auto"/>
        <w:jc w:val="both"/>
        <w:rPr>
          <w:rFonts w:ascii="Times New Roman" w:hAnsi="Times New Roman" w:cs="Times New Roman"/>
          <w:b/>
          <w:bCs/>
          <w:sz w:val="24"/>
          <w:szCs w:val="24"/>
          <w:u w:val="single"/>
        </w:rPr>
      </w:pPr>
      <w:r w:rsidRPr="002335C1">
        <w:rPr>
          <w:rFonts w:ascii="Times New Roman" w:hAnsi="Times New Roman" w:cs="Times New Roman"/>
          <w:b/>
          <w:bCs/>
          <w:sz w:val="24"/>
          <w:szCs w:val="24"/>
          <w:u w:val="single"/>
        </w:rPr>
        <w:t xml:space="preserve">ΘΕΩΡΗΤΙΚΑ ΔΕΔΟΜΕΝΑ </w:t>
      </w:r>
    </w:p>
    <w:p w14:paraId="1D72BFE9" w14:textId="77777777" w:rsidR="002966B7" w:rsidRPr="002335C1" w:rsidRDefault="002966B7" w:rsidP="00A858F2">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 xml:space="preserve">Η επιτροπή </w:t>
      </w:r>
      <w:proofErr w:type="spellStart"/>
      <w:r w:rsidRPr="002335C1">
        <w:rPr>
          <w:rFonts w:ascii="Times New Roman" w:hAnsi="Times New Roman" w:cs="Times New Roman"/>
          <w:sz w:val="24"/>
          <w:szCs w:val="24"/>
        </w:rPr>
        <w:t>Cadbury</w:t>
      </w:r>
      <w:proofErr w:type="spellEnd"/>
      <w:r w:rsidRPr="002335C1">
        <w:rPr>
          <w:rFonts w:ascii="Times New Roman" w:hAnsi="Times New Roman" w:cs="Times New Roman"/>
          <w:sz w:val="24"/>
          <w:szCs w:val="24"/>
        </w:rPr>
        <w:t>, ορίζει από το 1992 ως «Εταιρική Διακυβέρνηση» το σύστημα με το οποίο οι εταιρείες διοικούνται και ελέγχονται. Σύμφωνα με τις Αρχές Εταιρικής Διακυβέρνησης του Οργανισμού Οικονομικής Συνεργασίας και Ανάπτυξης (ΟΟΣΑ) πιο συγκεκριμένα, ως εταιρική διακυβέρνηση εννοούμε το σύστημα σχέσεων που εγκαθιδρύεται μεταξύ της διοίκησης της εταιρείας, των μετόχων, των εργαζομένων και κάθε άλλου ενδιαφερόμενου μέρους και αποσκοπεί στη δημιουργία, ανάπτυξη και βιωσιμότητα δυνατών και ανταγωνιστικών επιχειρήσεων. Αποτελεί τη δομή μέσω της οποίας προσεγγίζονται και τίθενται οι στόχοι της εταιρείας, εντοπίζονται οι βασικοί κίνδυνοι που αυτή αντιμετωπίζει κατά τη λειτουργία της, προσδιορίζονται τα μέσα επίτευξης των εταιρικών στόχων, οργανώνεται το σύστημα διαχείρισης κινδύνων και καθίσταται δυνατή η παρακολούθηση της απόδοσης της Διοίκησης.</w:t>
      </w:r>
    </w:p>
    <w:p w14:paraId="563918F2" w14:textId="77777777" w:rsidR="002966B7" w:rsidRPr="002335C1" w:rsidRDefault="002966B7" w:rsidP="00A858F2">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 xml:space="preserve">Στη χώρα μας η Εταιρική Διακυβέρνηση άρχισε να θεσμοθετείται το 1999 όταν, με πρότυπο τις αρχές του Οργανισμού Οικονομικής Συνεργασίας και Ανάπτυξης (ΟΟΣΑ), η Επιτροπή Κεφαλαιαγοράς υιοθέτησε τις «Αρχές Εταιρικής Διακυβέρνησης στην Ελλάδα - Οδηγίες για τον Ανταγωνιστικό Μετασχηματισμό της». Το σύνολο των αρχών αυτών, μετασχηματίστηκε από τον Σύνδεσμο Ελλήνων Βιομηχάνων (ΣΕΒ) στον πρώτο κώδικα Εταιρικής Διακυβέρνησης στην Ελλάδα το 2001. Οι αρχές αυτές δεν είχαν χαρακτήρα επιτακτικό και στόχος τους ήταν να καλυφθεί το νομοθετικό κενό το οποίο υπήρχε την χρονική εκείνη στιγμή σε υφιστάμενους κανονισμούς Εταιρικής Διακυβέρνησης αλλά και η σταδιακή προσαρμογή των εισηγμένων εταιρειών σε μια κουλτούρα εταιρικής διαφάνειας. </w:t>
      </w:r>
    </w:p>
    <w:p w14:paraId="677EEACE" w14:textId="77777777" w:rsidR="002966B7" w:rsidRPr="002335C1" w:rsidRDefault="002966B7" w:rsidP="00A858F2">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lastRenderedPageBreak/>
        <w:t xml:space="preserve">Έκτοτε, ακολούθησε η ψήφιση σημαντικών νομοθετημάτων τα οποία άρχισαν να προσδιορίζουν το πλαίσιο της Ε.Δ. στην Ελλάδα, με ιδιαίτερα σημαντικό τον Νόμο 3016/2002 ο οποίος επέβαλε την εκλογή και συμμετοχή μη εκτελεστικών και ανεξάρτητων μη εκτελεστικών μελών στα Δ.Σ. των ελληνικών εισηγμένων εταιρειών με σκοπό την μεγαλύτερη διασφάλιση των συμφερόντων των μετόχων αλλά και ενίσχυση της αξιοπιστίας του ρόλου του Δ.Σ. Παράλληλα ο 3016/2002 επέβαλε τη θέσπιση και τη λειτουργία Μονάδας Εσωτερικού Ελέγχου και την υιοθέτηση Εσωτερικού Κανονισμού Λειτουργίας. Ο Εσωτερικός Έλεγχος αποτέλεσε πλέον για πρώτη φορά λειτουργία της Εταιρείας άρρηκτα συνδεδεμένη με την παρακολούθηση θεμάτων που άπτονται της Εταιρικής Διακυβέρνησης. </w:t>
      </w:r>
    </w:p>
    <w:p w14:paraId="0B02DA73" w14:textId="77777777" w:rsidR="002966B7" w:rsidRPr="002335C1" w:rsidRDefault="002966B7" w:rsidP="00A858F2">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Το 2008 η ψήφιση του νόμου Ν.3693/2008 επέβαλε την σύσταση ανεξάρτητων Επιτροπών Ελέγχου οι οποίες απαρτίζονται σύμφωνα με το άρθρο 37 του νόμου κατά πλειοψηφία από ανεξάρτητα μη εκτελεστικά μέλη, ένα εκ των οποίων εκτελεί χρέη Προέδρου της Επιτροπής. Ταυτόχρονα ο νόμος 3693/2008 θέσπισε κανόνες εποπτείας της μονάδας Εσωτερικού Ελέγχου. Εν συνεχεία, ο Νόμος 3873/2010 έδωσε μεγαλύτερη ώθηση προς την κατεύθυνση της εταιρικής διαφάνειας, καθώς, ενσωματώνοντας στην Ελληνική νομοθεσία την Οδηγία 2006/46/ΕK της Ε.Ε., υποχρεώνει τις ανώνυμες εταιρείες  των οποίων οι κινητές αξίες  έχουν εισαχθεί προς διαπραγμάτευση σε οργανωμένη αγορά, να ενσωματώνουν στην ετήσια έκθεση διαχείρισής τους και δήλωση εταιρικής διακυβέρνησης ως ειδικό τμήμα αυτής.</w:t>
      </w:r>
    </w:p>
    <w:p w14:paraId="078319B0" w14:textId="77777777" w:rsidR="002966B7" w:rsidRPr="002335C1" w:rsidRDefault="002966B7" w:rsidP="00A858F2">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Σημαντική αναθεώρηση ή κατάργηση άρθρων των ανωτέρω νόμων έγινε με νεότερα νομοθετήματα όπως ο Ν.4449/2017 και ο 4548/2018. Ο Νόμος 4449/2017 “Υποχρεωτικός έλεγχος των ετήσιων και των ενοποιημένων χρηματοοικονομικών καταστάσεων, δημόσια εποπτεία επί του ελεγκτικού έργου και λοιπές διατάξεις”, ρυθμίζει θέματα επαγγελματικής δεοντολογίας, ανεξαρτησίας και αντικειμενικότητας των εξωτερικών ελεγκτών (Ορκωτών Ελεγκτών Λογιστών και Ελεγκτικών Εταιρειών) καθώς και το ρυθμιστικό πλαίσιο των ελεγκτικών προτύπων και το περιεχόμενο των Εκθέσεων Ελέγχου. Ακόμα εκσυγχρονίζει τον τρόπο σύνθεσης και λειτουργίας των Επιτροπών Ελέγχου. Με την ψήφιση του Νόμου 4548/2018 “Αναμόρφωση του δικαίου των Ανωνύμων Εταιρειών” έγινε ουσιαστική απλοποίηση των διατάξεων που ορίζουν τον τρόπο λειτουργίας των Α.Ε. οι οποίες βασίζονταν επί σειρά δεκαετιών στον Νόμο 2190/1920 “Περί Ανωνύμων Εταιρειών” ο οποίος είχε δεχτεί πλήθος τροποποιήσεων. Επίσης με τον Νόμο 4548/2018 και συγκεκριμένα το άρθρο 152  αναθεωρήθηκαν οι διατάξεις του Νόμου 3873/2010 και προσδιορίστηκε με μεγαλύτερη ακρίβεια το περιεχόμενο της Δήλωσης Εταιρικής Διακυβέρνησης δίνοντας έμφαση στην περιγραφή των κύριων χαρακτηριστικών των συστημάτων εσωτερικού ελέγχου και διαχείρισης κινδύνων της εταιρείας σε σχέση με τη διαδικασία σύνταξης των χρηματοοικονομικών καταστάσεων.</w:t>
      </w:r>
    </w:p>
    <w:p w14:paraId="4B7D3959" w14:textId="77777777" w:rsidR="002966B7" w:rsidRPr="002335C1" w:rsidRDefault="002966B7" w:rsidP="00A858F2">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 xml:space="preserve"> Συγκεκριμένα, σύμφωνα με τον Ελληνικό Κώδικα Εταιρικής Διακυβέρνησης (Ιούνιος 2021) του Ελληνικού Συμβουλίου Εταιρικής Διακυβέρνησης, σε συνδυασμό με τα άρθρα </w:t>
      </w:r>
      <w:r w:rsidRPr="002335C1">
        <w:rPr>
          <w:rFonts w:ascii="Times New Roman" w:hAnsi="Times New Roman" w:cs="Times New Roman"/>
          <w:sz w:val="24"/>
          <w:szCs w:val="24"/>
        </w:rPr>
        <w:lastRenderedPageBreak/>
        <w:t xml:space="preserve">152 του Ν.4548/2018 και 18 του Ν.4706/2020, </w:t>
      </w:r>
      <w:r w:rsidRPr="002335C1">
        <w:rPr>
          <w:rFonts w:ascii="Times New Roman" w:hAnsi="Times New Roman" w:cs="Times New Roman"/>
          <w:b/>
          <w:bCs/>
          <w:sz w:val="24"/>
          <w:szCs w:val="24"/>
        </w:rPr>
        <w:t>η δήλωση εταιρικής διακυβέρνησης</w:t>
      </w:r>
      <w:r w:rsidRPr="002335C1">
        <w:rPr>
          <w:rFonts w:ascii="Times New Roman" w:hAnsi="Times New Roman" w:cs="Times New Roman"/>
          <w:sz w:val="24"/>
          <w:szCs w:val="24"/>
        </w:rPr>
        <w:t xml:space="preserve"> περιλαμβάνει πληροφορίες σχετικά με τη διαχείριση κινδύνων και τον εσωτερικό έλεγχο ως ακολούθως :  </w:t>
      </w:r>
    </w:p>
    <w:p w14:paraId="1E0DDEF4" w14:textId="77777777" w:rsidR="002966B7" w:rsidRPr="002335C1" w:rsidRDefault="002966B7" w:rsidP="00A858F2">
      <w:pPr>
        <w:tabs>
          <w:tab w:val="left" w:pos="284"/>
        </w:tabs>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i.</w:t>
      </w:r>
      <w:r w:rsidRPr="002335C1">
        <w:rPr>
          <w:rFonts w:ascii="Times New Roman" w:hAnsi="Times New Roman" w:cs="Times New Roman"/>
          <w:sz w:val="24"/>
          <w:szCs w:val="24"/>
        </w:rPr>
        <w:tab/>
      </w:r>
      <w:r w:rsidRPr="002335C1">
        <w:rPr>
          <w:rFonts w:ascii="Times New Roman" w:hAnsi="Times New Roman" w:cs="Times New Roman"/>
          <w:b/>
          <w:bCs/>
          <w:sz w:val="24"/>
          <w:szCs w:val="24"/>
        </w:rPr>
        <w:t>περιγραφή του συστήματος εσωτερικού ελέγχου</w:t>
      </w:r>
      <w:r w:rsidRPr="002335C1">
        <w:rPr>
          <w:rFonts w:ascii="Times New Roman" w:hAnsi="Times New Roman" w:cs="Times New Roman"/>
          <w:sz w:val="24"/>
          <w:szCs w:val="24"/>
        </w:rPr>
        <w:t xml:space="preserve">, </w:t>
      </w:r>
    </w:p>
    <w:p w14:paraId="152F0565" w14:textId="77777777" w:rsidR="002966B7" w:rsidRPr="002335C1" w:rsidRDefault="002966B7" w:rsidP="00A858F2">
      <w:pPr>
        <w:spacing w:after="120" w:line="288" w:lineRule="auto"/>
        <w:jc w:val="both"/>
        <w:rPr>
          <w:rFonts w:ascii="Times New Roman" w:hAnsi="Times New Roman" w:cs="Times New Roman"/>
          <w:sz w:val="24"/>
          <w:szCs w:val="24"/>
        </w:rPr>
      </w:pPr>
      <w:proofErr w:type="spellStart"/>
      <w:r w:rsidRPr="002335C1">
        <w:rPr>
          <w:rFonts w:ascii="Times New Roman" w:hAnsi="Times New Roman" w:cs="Times New Roman"/>
          <w:sz w:val="24"/>
          <w:szCs w:val="24"/>
        </w:rPr>
        <w:t>ii</w:t>
      </w:r>
      <w:proofErr w:type="spellEnd"/>
      <w:r w:rsidRPr="002335C1">
        <w:rPr>
          <w:rFonts w:ascii="Times New Roman" w:hAnsi="Times New Roman" w:cs="Times New Roman"/>
          <w:sz w:val="24"/>
          <w:szCs w:val="24"/>
        </w:rPr>
        <w:t xml:space="preserve">. </w:t>
      </w:r>
      <w:r w:rsidRPr="002335C1">
        <w:rPr>
          <w:rFonts w:ascii="Times New Roman" w:hAnsi="Times New Roman" w:cs="Times New Roman"/>
          <w:b/>
          <w:bCs/>
          <w:sz w:val="24"/>
          <w:szCs w:val="24"/>
        </w:rPr>
        <w:t>αναφορά στα αποτελέσματα / ευρήματα της  Έκθεσης Αξιολόγησης</w:t>
      </w:r>
      <w:r w:rsidRPr="002335C1">
        <w:rPr>
          <w:rFonts w:ascii="Times New Roman" w:hAnsi="Times New Roman" w:cs="Times New Roman"/>
          <w:sz w:val="24"/>
          <w:szCs w:val="24"/>
        </w:rPr>
        <w:t xml:space="preserve">, στους κινδύνους και στις συνέπειες των τυχόν ευρημάτων, στην απόκριση της διοίκησης των εταιρειών, καθώς και στην πορεία υλοποίησης των σχεδίων με τα σχετικά χρονοδιαγράμματα, </w:t>
      </w:r>
    </w:p>
    <w:p w14:paraId="47EEA37F" w14:textId="77777777" w:rsidR="002966B7" w:rsidRPr="002335C1" w:rsidRDefault="002966B7" w:rsidP="00A858F2">
      <w:pPr>
        <w:spacing w:after="120" w:line="288" w:lineRule="auto"/>
        <w:jc w:val="both"/>
        <w:rPr>
          <w:rFonts w:ascii="Times New Roman" w:hAnsi="Times New Roman" w:cs="Times New Roman"/>
          <w:sz w:val="24"/>
          <w:szCs w:val="24"/>
        </w:rPr>
      </w:pPr>
      <w:proofErr w:type="spellStart"/>
      <w:r w:rsidRPr="002335C1">
        <w:rPr>
          <w:rFonts w:ascii="Times New Roman" w:hAnsi="Times New Roman" w:cs="Times New Roman"/>
          <w:sz w:val="24"/>
          <w:szCs w:val="24"/>
        </w:rPr>
        <w:t>iii</w:t>
      </w:r>
      <w:proofErr w:type="spellEnd"/>
      <w:r w:rsidRPr="002335C1">
        <w:rPr>
          <w:rFonts w:ascii="Times New Roman" w:hAnsi="Times New Roman" w:cs="Times New Roman"/>
          <w:sz w:val="24"/>
          <w:szCs w:val="24"/>
        </w:rPr>
        <w:t xml:space="preserve">. </w:t>
      </w:r>
      <w:r w:rsidRPr="002335C1">
        <w:rPr>
          <w:rFonts w:ascii="Times New Roman" w:hAnsi="Times New Roman" w:cs="Times New Roman"/>
          <w:b/>
          <w:bCs/>
          <w:sz w:val="24"/>
          <w:szCs w:val="24"/>
        </w:rPr>
        <w:t>δήλωση του Διοικητικού Συμβουλίου</w:t>
      </w:r>
      <w:r w:rsidRPr="002335C1">
        <w:rPr>
          <w:rFonts w:ascii="Times New Roman" w:hAnsi="Times New Roman" w:cs="Times New Roman"/>
          <w:sz w:val="24"/>
          <w:szCs w:val="24"/>
        </w:rPr>
        <w:t xml:space="preserve"> ως προς την πραγματοποίηση ετήσιας επανεξέτασης της εταιρικής στρατηγικής, των κύριων επιχειρηματικών κινδύνων και των συστημάτων εσωτερικού ελέγχου,  </w:t>
      </w:r>
    </w:p>
    <w:p w14:paraId="290314A2" w14:textId="77777777" w:rsidR="002966B7" w:rsidRPr="002335C1" w:rsidRDefault="002966B7" w:rsidP="00A858F2">
      <w:pPr>
        <w:spacing w:after="120" w:line="288" w:lineRule="auto"/>
        <w:jc w:val="both"/>
        <w:rPr>
          <w:rFonts w:ascii="Times New Roman" w:hAnsi="Times New Roman" w:cs="Times New Roman"/>
          <w:sz w:val="24"/>
          <w:szCs w:val="24"/>
        </w:rPr>
      </w:pPr>
      <w:proofErr w:type="spellStart"/>
      <w:r w:rsidRPr="002335C1">
        <w:rPr>
          <w:rFonts w:ascii="Times New Roman" w:hAnsi="Times New Roman" w:cs="Times New Roman"/>
          <w:sz w:val="24"/>
          <w:szCs w:val="24"/>
        </w:rPr>
        <w:t>iv</w:t>
      </w:r>
      <w:proofErr w:type="spellEnd"/>
      <w:r w:rsidRPr="002335C1">
        <w:rPr>
          <w:rFonts w:ascii="Times New Roman" w:hAnsi="Times New Roman" w:cs="Times New Roman"/>
          <w:sz w:val="24"/>
          <w:szCs w:val="24"/>
        </w:rPr>
        <w:t xml:space="preserve">. σε περίπτωση που οι νόμιμοι ελεγκτές ή το ελεγκτικό γραφείο προσφέρουν μη ελεγκτικές υπηρεσίες στην εταιρεία, </w:t>
      </w:r>
      <w:r w:rsidRPr="002335C1">
        <w:rPr>
          <w:rFonts w:ascii="Times New Roman" w:hAnsi="Times New Roman" w:cs="Times New Roman"/>
          <w:b/>
          <w:bCs/>
          <w:sz w:val="24"/>
          <w:szCs w:val="24"/>
        </w:rPr>
        <w:t>αξιολόγηση της επίπτωσης</w:t>
      </w:r>
      <w:r w:rsidRPr="002335C1">
        <w:rPr>
          <w:rFonts w:ascii="Times New Roman" w:hAnsi="Times New Roman" w:cs="Times New Roman"/>
          <w:sz w:val="24"/>
          <w:szCs w:val="24"/>
        </w:rPr>
        <w:t xml:space="preserve"> που μπορεί να έχει το γεγονός αυτό στην αντικειμενικότητα και την αποτελεσματικότητα του υποχρεωτικού ελέγχου.  </w:t>
      </w:r>
    </w:p>
    <w:p w14:paraId="763B47FD" w14:textId="77777777" w:rsidR="002966B7" w:rsidRPr="002335C1" w:rsidRDefault="002966B7" w:rsidP="00A858F2">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Με τον Νόμο 4706/2020 “Εταιρική διακυβέρνηση ανωνύμων εταιρειών, σύγχρονη αγορά κεφαλαίου, ενσωμάτωση στην ελληνική νομοθεσία της Οδηγίας (ΕΕ) 2017/828 του Ευρωπαϊκού Κοινοβουλίου και του Συμβουλίου, μέτρα προς εφαρμογή του Κανονισμού (ΕΕ) 2017/1131 και άλλες διατάξεις.” αναθεωρήθηκε και εκσυγχρονίστηκε σε ακόμα μεγαλύτερο βαθμό το πλαίσιο εταιρικής διακυβέρνησης στην χώρα μας θεσμοθετώντας ακόμα περισσότερο την εμπλοκή της Μονάδας Εσωτερικού Ελέγχου ως παράγοντα διασφάλισης της χρηστής διακυβέρνησης από πλευράς επιχειρήσεων. Σύμφωνα με τον ανωτέρω νόμο, ως Σύστημα Εσωτερικού Ελέγχου ορίζεται το σύνολο των εσωτερικών ελεγκτικών μηχανισμών και διαδικασιών, συμπεριλαμβανομένης της διαχείρισης κινδύνων, του εσωτερικού ελέγχου και της κανονιστικής συμμόρφωσης, που καλύπτει σε συνεχή βάση κάθε δραστηριότητα της Εταιρείας και συντελεί στην ασφαλή και αποτελεσματική λειτουργία της. Το Διοικητικό Συμβούλιο οφείλει σύμφωνα με το άρθρο 4 να διασφαλίζει, ότι οι λειτουργίες που συγκροτούν το Σύστημα εσωτερικού ελέγχου είναι ανεξάρτητες από τους επιχειρηματικούς τομείς που ελέγχουν, και ότι διαθέτουν τους κατάλληλους οικονομικούς και ανθρώπινους πόρους, καθώς και τις εξουσίες για την αποτελεσματική λειτουργία τους, σύμφωνα με όσα επιτάσσει ο ρόλος τους. Οι γραμμές αναφοράς και η κατανομή των αρμοδιοτήτων πρέπει να είναι σαφείς, εκτελεστές και δεόντως τεκμηριωμένες.</w:t>
      </w:r>
    </w:p>
    <w:p w14:paraId="5B45BD81" w14:textId="77777777" w:rsidR="002966B7" w:rsidRPr="002335C1" w:rsidRDefault="002966B7" w:rsidP="00A858F2">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 xml:space="preserve">Περεταίρω, στο Κεφάλαιο Δ του 4706/2020 παρατίθενται οργανωτικές διατάξεις οι οποίες αφορούν το Σύστημα Εταιρικής Διακυβέρνησης το οποίο η εταιρεία οφείλει να υιοθετεί και να εφαρμόζει, τα ελάχιστα περιεχόμενα του Κανονισμού Λειτουργίας της επιχείρησης, λεπτομέρειες για την οργάνωση – λειτουργία και τις αρμοδιότητες της Μονάδας Εσωτερικού Ελέγχου αλλά και αναφορά στον Κώδικα Εταιρικής Διακυβέρνησης τον οποίο η εταιρεία καλείται να υιοθετήσει. Καθίσταται λοιπόν σαφές </w:t>
      </w:r>
      <w:r w:rsidRPr="002335C1">
        <w:rPr>
          <w:rFonts w:ascii="Times New Roman" w:hAnsi="Times New Roman" w:cs="Times New Roman"/>
          <w:sz w:val="24"/>
          <w:szCs w:val="24"/>
        </w:rPr>
        <w:lastRenderedPageBreak/>
        <w:t>με τις σχετικές διατάξεις του νόμου ότι δεν υφίσταται Σύστημα Εταιρικής Διακυβέρνησης χωρίς την λειτουργία ενός επαρκούς και αποτελεσματικού Συστήματος Εσωτερικού Ελέγχου, συμπεριλαμβανομένων των συστημάτων διαχείρισης κινδύνων και κανονιστικής συμμόρφωσης (Άρθρο 13, Νόμος 4706/2020).</w:t>
      </w:r>
    </w:p>
    <w:p w14:paraId="66BA5D44" w14:textId="77777777" w:rsidR="002966B7" w:rsidRPr="002335C1" w:rsidRDefault="002966B7" w:rsidP="00A858F2">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Ειδικότερα, σύμφωνα με το άρθρο 16, η Μονάδα Εσωτερικού Ελέγχου:</w:t>
      </w:r>
    </w:p>
    <w:p w14:paraId="03E65FE8" w14:textId="269A7C9E" w:rsidR="002966B7" w:rsidRPr="002335C1" w:rsidRDefault="002966B7" w:rsidP="00A858F2">
      <w:pPr>
        <w:pStyle w:val="a7"/>
        <w:numPr>
          <w:ilvl w:val="0"/>
          <w:numId w:val="45"/>
        </w:numPr>
        <w:spacing w:after="120" w:line="288" w:lineRule="auto"/>
        <w:contextualSpacing w:val="0"/>
        <w:jc w:val="both"/>
        <w:rPr>
          <w:rFonts w:ascii="Times New Roman" w:hAnsi="Times New Roman" w:cs="Times New Roman"/>
          <w:sz w:val="24"/>
          <w:szCs w:val="24"/>
        </w:rPr>
      </w:pPr>
      <w:r w:rsidRPr="002335C1">
        <w:rPr>
          <w:rFonts w:ascii="Times New Roman" w:hAnsi="Times New Roman" w:cs="Times New Roman"/>
          <w:sz w:val="24"/>
          <w:szCs w:val="24"/>
          <w:lang w:val="el-GR"/>
        </w:rPr>
        <w:t>Διαθέτει και εφαρμόζει Εσωτερικό Κανονισμό Λειτουργίας, ο οποίος εγκρίνεται από το Διοικητικό Συμβούλιο, έπειτα από πρόταση της Επιτροπής Ελέγχου.</w:t>
      </w:r>
      <w:r w:rsidR="00073554" w:rsidRPr="002335C1">
        <w:rPr>
          <w:rFonts w:ascii="Times New Roman" w:hAnsi="Times New Roman" w:cs="Times New Roman"/>
          <w:sz w:val="24"/>
          <w:szCs w:val="24"/>
          <w:lang w:val="el-GR"/>
        </w:rPr>
        <w:t xml:space="preserve"> </w:t>
      </w:r>
      <w:r w:rsidRPr="002335C1">
        <w:rPr>
          <w:rFonts w:ascii="Times New Roman" w:hAnsi="Times New Roman" w:cs="Times New Roman"/>
          <w:sz w:val="24"/>
          <w:szCs w:val="24"/>
        </w:rPr>
        <w:t>Παρα</w:t>
      </w:r>
      <w:proofErr w:type="spellStart"/>
      <w:r w:rsidRPr="002335C1">
        <w:rPr>
          <w:rFonts w:ascii="Times New Roman" w:hAnsi="Times New Roman" w:cs="Times New Roman"/>
          <w:sz w:val="24"/>
          <w:szCs w:val="24"/>
        </w:rPr>
        <w:t>κολουθεί</w:t>
      </w:r>
      <w:proofErr w:type="spellEnd"/>
      <w:r w:rsidRPr="002335C1">
        <w:rPr>
          <w:rFonts w:ascii="Times New Roman" w:hAnsi="Times New Roman" w:cs="Times New Roman"/>
          <w:sz w:val="24"/>
          <w:szCs w:val="24"/>
        </w:rPr>
        <w:t xml:space="preserve">, </w:t>
      </w:r>
      <w:proofErr w:type="spellStart"/>
      <w:r w:rsidRPr="002335C1">
        <w:rPr>
          <w:rFonts w:ascii="Times New Roman" w:hAnsi="Times New Roman" w:cs="Times New Roman"/>
          <w:sz w:val="24"/>
          <w:szCs w:val="24"/>
        </w:rPr>
        <w:t>ελέγχει</w:t>
      </w:r>
      <w:proofErr w:type="spellEnd"/>
      <w:r w:rsidRPr="002335C1">
        <w:rPr>
          <w:rFonts w:ascii="Times New Roman" w:hAnsi="Times New Roman" w:cs="Times New Roman"/>
          <w:sz w:val="24"/>
          <w:szCs w:val="24"/>
        </w:rPr>
        <w:t xml:space="preserve"> και α</w:t>
      </w:r>
      <w:proofErr w:type="spellStart"/>
      <w:r w:rsidRPr="002335C1">
        <w:rPr>
          <w:rFonts w:ascii="Times New Roman" w:hAnsi="Times New Roman" w:cs="Times New Roman"/>
          <w:sz w:val="24"/>
          <w:szCs w:val="24"/>
        </w:rPr>
        <w:t>ξιολογεί</w:t>
      </w:r>
      <w:proofErr w:type="spellEnd"/>
      <w:r w:rsidRPr="002335C1">
        <w:rPr>
          <w:rFonts w:ascii="Times New Roman" w:hAnsi="Times New Roman" w:cs="Times New Roman"/>
          <w:sz w:val="24"/>
          <w:szCs w:val="24"/>
        </w:rPr>
        <w:t>:</w:t>
      </w:r>
    </w:p>
    <w:p w14:paraId="37FA09BE" w14:textId="77777777" w:rsidR="002966B7" w:rsidRPr="002335C1" w:rsidRDefault="002966B7" w:rsidP="00A858F2">
      <w:pPr>
        <w:spacing w:after="120" w:line="288" w:lineRule="auto"/>
        <w:ind w:left="720"/>
        <w:jc w:val="both"/>
        <w:rPr>
          <w:rFonts w:ascii="Times New Roman" w:hAnsi="Times New Roman" w:cs="Times New Roman"/>
          <w:sz w:val="24"/>
          <w:szCs w:val="24"/>
        </w:rPr>
      </w:pPr>
      <w:r w:rsidRPr="002335C1">
        <w:rPr>
          <w:rFonts w:ascii="Times New Roman" w:hAnsi="Times New Roman" w:cs="Times New Roman"/>
          <w:sz w:val="24"/>
          <w:szCs w:val="24"/>
        </w:rPr>
        <w:t>a.</w:t>
      </w:r>
      <w:r w:rsidRPr="002335C1">
        <w:rPr>
          <w:rFonts w:ascii="Times New Roman" w:hAnsi="Times New Roman" w:cs="Times New Roman"/>
          <w:sz w:val="24"/>
          <w:szCs w:val="24"/>
        </w:rPr>
        <w:tab/>
        <w:t>την εφαρμογή του κανονισμού λειτουργίας και το Σύστημα εσωτερικού ελέγχου, ιδίως ως προς την επάρκεια και την ορθότητα της παρεχόμενης χρηματοοικονομικής και μη πληροφόρησης, της διαχείρισης κινδύνων, της κανονιστικής συμμόρφωσης και του Κώδικα Εταιρικής Διακυβέρνησης που έχει υιοθετήσει η Εταιρεία.</w:t>
      </w:r>
    </w:p>
    <w:p w14:paraId="0E549C49" w14:textId="77777777" w:rsidR="002966B7" w:rsidRPr="002335C1" w:rsidRDefault="002966B7" w:rsidP="00A858F2">
      <w:pPr>
        <w:spacing w:after="120" w:line="288" w:lineRule="auto"/>
        <w:ind w:left="720"/>
        <w:jc w:val="both"/>
        <w:rPr>
          <w:rFonts w:ascii="Times New Roman" w:hAnsi="Times New Roman" w:cs="Times New Roman"/>
          <w:sz w:val="24"/>
          <w:szCs w:val="24"/>
        </w:rPr>
      </w:pPr>
      <w:r w:rsidRPr="002335C1">
        <w:rPr>
          <w:rFonts w:ascii="Times New Roman" w:hAnsi="Times New Roman" w:cs="Times New Roman"/>
          <w:sz w:val="24"/>
          <w:szCs w:val="24"/>
        </w:rPr>
        <w:t>b.</w:t>
      </w:r>
      <w:r w:rsidRPr="002335C1">
        <w:rPr>
          <w:rFonts w:ascii="Times New Roman" w:hAnsi="Times New Roman" w:cs="Times New Roman"/>
          <w:sz w:val="24"/>
          <w:szCs w:val="24"/>
        </w:rPr>
        <w:tab/>
        <w:t>τους μηχανισμούς διασφάλισης ποιότητας</w:t>
      </w:r>
    </w:p>
    <w:p w14:paraId="5EFC6353" w14:textId="77777777" w:rsidR="002966B7" w:rsidRPr="002335C1" w:rsidRDefault="002966B7" w:rsidP="00A858F2">
      <w:pPr>
        <w:spacing w:after="120" w:line="288" w:lineRule="auto"/>
        <w:ind w:left="720"/>
        <w:jc w:val="both"/>
        <w:rPr>
          <w:rFonts w:ascii="Times New Roman" w:hAnsi="Times New Roman" w:cs="Times New Roman"/>
          <w:sz w:val="24"/>
          <w:szCs w:val="24"/>
        </w:rPr>
      </w:pPr>
      <w:r w:rsidRPr="002335C1">
        <w:rPr>
          <w:rFonts w:ascii="Times New Roman" w:hAnsi="Times New Roman" w:cs="Times New Roman"/>
          <w:sz w:val="24"/>
          <w:szCs w:val="24"/>
        </w:rPr>
        <w:t>c.</w:t>
      </w:r>
      <w:r w:rsidRPr="002335C1">
        <w:rPr>
          <w:rFonts w:ascii="Times New Roman" w:hAnsi="Times New Roman" w:cs="Times New Roman"/>
          <w:sz w:val="24"/>
          <w:szCs w:val="24"/>
        </w:rPr>
        <w:tab/>
        <w:t>τους μηχανισμούς εταιρικής διακυβέρνησης</w:t>
      </w:r>
    </w:p>
    <w:p w14:paraId="13656B7E" w14:textId="77777777" w:rsidR="00073554" w:rsidRPr="002335C1" w:rsidRDefault="002966B7" w:rsidP="00A858F2">
      <w:pPr>
        <w:spacing w:after="120" w:line="288" w:lineRule="auto"/>
        <w:ind w:left="720"/>
        <w:jc w:val="both"/>
        <w:rPr>
          <w:rFonts w:ascii="Times New Roman" w:hAnsi="Times New Roman" w:cs="Times New Roman"/>
          <w:sz w:val="24"/>
          <w:szCs w:val="24"/>
        </w:rPr>
      </w:pPr>
      <w:r w:rsidRPr="002335C1">
        <w:rPr>
          <w:rFonts w:ascii="Times New Roman" w:hAnsi="Times New Roman" w:cs="Times New Roman"/>
          <w:sz w:val="24"/>
          <w:szCs w:val="24"/>
        </w:rPr>
        <w:t>d.</w:t>
      </w:r>
      <w:r w:rsidRPr="002335C1">
        <w:rPr>
          <w:rFonts w:ascii="Times New Roman" w:hAnsi="Times New Roman" w:cs="Times New Roman"/>
          <w:sz w:val="24"/>
          <w:szCs w:val="24"/>
        </w:rPr>
        <w:tab/>
        <w:t>την τήρηση των δεσμεύσεων που περιέχονται σε ενημερωτικά δελτία και τα επιχειρηματικά σχέδια της Εταιρείας σχετικά με τη χρήση των κεφαλαίων που αντλήθηκαν από τη ρυθμιζόμενη αγορά.</w:t>
      </w:r>
    </w:p>
    <w:p w14:paraId="5227E69A" w14:textId="77777777" w:rsidR="00073554" w:rsidRPr="002335C1" w:rsidRDefault="002966B7" w:rsidP="00A858F2">
      <w:pPr>
        <w:pStyle w:val="a7"/>
        <w:numPr>
          <w:ilvl w:val="0"/>
          <w:numId w:val="45"/>
        </w:numPr>
        <w:spacing w:after="120" w:line="288" w:lineRule="auto"/>
        <w:contextualSpacing w:val="0"/>
        <w:jc w:val="both"/>
        <w:rPr>
          <w:rFonts w:ascii="Times New Roman" w:hAnsi="Times New Roman" w:cs="Times New Roman"/>
          <w:sz w:val="24"/>
          <w:szCs w:val="24"/>
          <w:lang w:val="el-GR"/>
        </w:rPr>
      </w:pPr>
      <w:r w:rsidRPr="002335C1">
        <w:rPr>
          <w:rFonts w:ascii="Times New Roman" w:hAnsi="Times New Roman" w:cs="Times New Roman"/>
          <w:sz w:val="24"/>
          <w:szCs w:val="24"/>
          <w:lang w:val="el-GR"/>
        </w:rPr>
        <w:t>Συντάσσει εκθέσεις προς τις ελεγχόμενες μονάδες με ευρήματα αναφορικά με τους κινδύνους που απορρέουν από τα ανωτέρω και τις προτάσεις βελτίωσης, εάν υπάρχουν.</w:t>
      </w:r>
    </w:p>
    <w:p w14:paraId="164A1798" w14:textId="77777777" w:rsidR="00073554" w:rsidRPr="002335C1" w:rsidRDefault="002966B7" w:rsidP="00A858F2">
      <w:pPr>
        <w:pStyle w:val="a7"/>
        <w:numPr>
          <w:ilvl w:val="0"/>
          <w:numId w:val="45"/>
        </w:numPr>
        <w:spacing w:after="120" w:line="288" w:lineRule="auto"/>
        <w:contextualSpacing w:val="0"/>
        <w:jc w:val="both"/>
        <w:rPr>
          <w:rFonts w:ascii="Times New Roman" w:hAnsi="Times New Roman" w:cs="Times New Roman"/>
          <w:sz w:val="24"/>
          <w:szCs w:val="24"/>
          <w:lang w:val="el-GR"/>
        </w:rPr>
      </w:pPr>
      <w:r w:rsidRPr="002335C1">
        <w:rPr>
          <w:rFonts w:ascii="Times New Roman" w:hAnsi="Times New Roman" w:cs="Times New Roman"/>
          <w:sz w:val="24"/>
          <w:szCs w:val="24"/>
          <w:lang w:val="el-GR"/>
        </w:rPr>
        <w:t>Υποβάλλει κάθε τρεις (3) τουλάχιστον μήνες στην Επιτροπή Ελέγχου αναφορές, στις οποίες περιλαμβάνονται τα σημαντικότερα θέματα, οι προτάσεις της, οι συμφωνημένες δράσεις με τις ελεγχόμενες μονάδες ή η αποδοχή του κινδύνου της μη ανάληψης δράσης από αυτές, τις οποίες η Επιτροπή Ελέγχου παρουσιάζει και υποβάλλει μαζί με τις παρατηρήσεις της στο Διοικητικό Συμβούλιο.</w:t>
      </w:r>
    </w:p>
    <w:p w14:paraId="0CF84475" w14:textId="77777777" w:rsidR="00073554" w:rsidRPr="002335C1" w:rsidRDefault="002966B7" w:rsidP="00A858F2">
      <w:pPr>
        <w:pStyle w:val="a7"/>
        <w:numPr>
          <w:ilvl w:val="0"/>
          <w:numId w:val="45"/>
        </w:numPr>
        <w:spacing w:after="120" w:line="288" w:lineRule="auto"/>
        <w:contextualSpacing w:val="0"/>
        <w:jc w:val="both"/>
        <w:rPr>
          <w:rFonts w:ascii="Times New Roman" w:hAnsi="Times New Roman" w:cs="Times New Roman"/>
          <w:sz w:val="24"/>
          <w:szCs w:val="24"/>
          <w:lang w:val="el-GR"/>
        </w:rPr>
      </w:pPr>
      <w:r w:rsidRPr="002335C1">
        <w:rPr>
          <w:rFonts w:ascii="Times New Roman" w:hAnsi="Times New Roman" w:cs="Times New Roman"/>
          <w:sz w:val="24"/>
          <w:szCs w:val="24"/>
          <w:lang w:val="el-GR"/>
        </w:rPr>
        <w:t>Ο επικεφαλής της Μονάδας Εσωτερικού Ελέγχου παρίσταται στις γενικές συνελεύσεις των μετόχων.</w:t>
      </w:r>
    </w:p>
    <w:p w14:paraId="776CF697" w14:textId="77777777" w:rsidR="00073554" w:rsidRPr="002335C1" w:rsidRDefault="002966B7" w:rsidP="00A858F2">
      <w:pPr>
        <w:pStyle w:val="a7"/>
        <w:numPr>
          <w:ilvl w:val="0"/>
          <w:numId w:val="45"/>
        </w:numPr>
        <w:spacing w:after="120" w:line="288" w:lineRule="auto"/>
        <w:contextualSpacing w:val="0"/>
        <w:jc w:val="both"/>
        <w:rPr>
          <w:rFonts w:ascii="Times New Roman" w:hAnsi="Times New Roman" w:cs="Times New Roman"/>
          <w:sz w:val="24"/>
          <w:szCs w:val="24"/>
          <w:lang w:val="el-GR"/>
        </w:rPr>
      </w:pPr>
      <w:r w:rsidRPr="002335C1">
        <w:rPr>
          <w:rFonts w:ascii="Times New Roman" w:hAnsi="Times New Roman" w:cs="Times New Roman"/>
          <w:sz w:val="24"/>
          <w:szCs w:val="24"/>
          <w:lang w:val="el-GR"/>
        </w:rPr>
        <w:t>Ο επικεφαλής της Μονάδας Εσωτερικού Ελέγχου παρέχει εγγράφως οποιαδήποτε πληροφορία ζητηθεί από την Επιτροπή Κεφαλαιαγοράς, συνεργάζεται με αυτήν και διευκολύνει με κάθε δυνατό τρόπο το έργο της παρακολούθησης, του ελέγχου και της εποπτείας από αυτήν.</w:t>
      </w:r>
    </w:p>
    <w:p w14:paraId="1E6783C8" w14:textId="12057BD9" w:rsidR="002966B7" w:rsidRPr="002335C1" w:rsidRDefault="002966B7" w:rsidP="00A858F2">
      <w:pPr>
        <w:pStyle w:val="a7"/>
        <w:numPr>
          <w:ilvl w:val="0"/>
          <w:numId w:val="45"/>
        </w:numPr>
        <w:spacing w:after="120" w:line="288" w:lineRule="auto"/>
        <w:contextualSpacing w:val="0"/>
        <w:jc w:val="both"/>
        <w:rPr>
          <w:rFonts w:ascii="Times New Roman" w:hAnsi="Times New Roman" w:cs="Times New Roman"/>
          <w:sz w:val="24"/>
          <w:szCs w:val="24"/>
          <w:lang w:val="el-GR"/>
        </w:rPr>
      </w:pPr>
      <w:r w:rsidRPr="002335C1">
        <w:rPr>
          <w:rFonts w:ascii="Times New Roman" w:hAnsi="Times New Roman" w:cs="Times New Roman"/>
          <w:sz w:val="24"/>
          <w:szCs w:val="24"/>
          <w:lang w:val="el-GR"/>
        </w:rPr>
        <w:t>Με απόφαση της Επιτροπής Κεφαλαιαγοράς μπορεί να καθορίζεται κάθε ειδικότερο ζήτημα για την εφαρμογή του παρόντος και ιδίως, τα ζητήματα που είναι σχετικά με τις βέλτιστες πρακτικές ή τα πρότυπα εσωτερικού ελέγχου.</w:t>
      </w:r>
    </w:p>
    <w:p w14:paraId="0028DEC0" w14:textId="77777777" w:rsidR="00073554" w:rsidRPr="002335C1" w:rsidRDefault="00073554" w:rsidP="00A858F2">
      <w:pPr>
        <w:spacing w:after="120" w:line="288" w:lineRule="auto"/>
        <w:jc w:val="both"/>
        <w:rPr>
          <w:rFonts w:ascii="Times New Roman" w:hAnsi="Times New Roman" w:cs="Times New Roman"/>
          <w:sz w:val="24"/>
          <w:szCs w:val="24"/>
        </w:rPr>
      </w:pPr>
    </w:p>
    <w:p w14:paraId="07CC2D3C" w14:textId="77777777" w:rsidR="00A858F2" w:rsidRDefault="002966B7" w:rsidP="00A858F2">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lastRenderedPageBreak/>
        <w:t xml:space="preserve">Τέλος, στο σημείο αυτό πρέπει να αναφερθεί ότι σύμφωνα με τα Διεθνή Πρότυπα για την Επαγγελματική Εφαρμογή του Εσωτερικού Ελέγχου (IPPF) και συγκεκριμένα το πρότυπο 2120.Α1, η λειτουργία Εσωτερικού Ελέγχου πρέπει να εκτιμά την έκθεση σε κινδύνους σχετικά με τα συστήματα διακυβέρνησης, τις λειτουργίες και τα πληροφοριακά συστήματα του οργανισμού. </w:t>
      </w:r>
    </w:p>
    <w:p w14:paraId="0D756CB6" w14:textId="77777777" w:rsidR="00A858F2" w:rsidRDefault="00A858F2" w:rsidP="00A858F2">
      <w:pPr>
        <w:spacing w:after="120" w:line="288" w:lineRule="auto"/>
        <w:jc w:val="both"/>
        <w:rPr>
          <w:rFonts w:ascii="Times New Roman" w:hAnsi="Times New Roman" w:cs="Times New Roman"/>
          <w:sz w:val="24"/>
          <w:szCs w:val="24"/>
        </w:rPr>
      </w:pPr>
    </w:p>
    <w:p w14:paraId="59C0825F" w14:textId="21D1C701" w:rsidR="002966B7" w:rsidRPr="00A858F2" w:rsidRDefault="002966B7" w:rsidP="00A858F2">
      <w:pPr>
        <w:spacing w:after="120" w:line="288" w:lineRule="auto"/>
        <w:jc w:val="both"/>
        <w:rPr>
          <w:rFonts w:ascii="Times New Roman" w:hAnsi="Times New Roman" w:cs="Times New Roman"/>
          <w:b/>
          <w:bCs/>
          <w:sz w:val="24"/>
          <w:szCs w:val="24"/>
          <w:u w:val="single"/>
        </w:rPr>
      </w:pPr>
      <w:r w:rsidRPr="00A858F2">
        <w:rPr>
          <w:rFonts w:ascii="Times New Roman" w:hAnsi="Times New Roman" w:cs="Times New Roman"/>
          <w:b/>
          <w:bCs/>
          <w:sz w:val="24"/>
          <w:szCs w:val="24"/>
          <w:u w:val="single"/>
        </w:rPr>
        <w:t>ΕΜΠΕΙΡΙΚΑ ΔΕΔΟΜΕΝΑ</w:t>
      </w:r>
    </w:p>
    <w:p w14:paraId="495664A8" w14:textId="77777777" w:rsidR="002966B7" w:rsidRPr="002335C1" w:rsidRDefault="002966B7" w:rsidP="00A858F2">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Το αντικείμενο της συμβολής του Εσωτερικού Ελέγχου στην βελτίωση, παρακολούθηση και αποτίμηση κινδύνων που άπτονται επί θεμάτων Εταιρικής Διακυβέρνησης έχει απασχολήσει εκτενώς Έλληνες και διεθνείς ερευνητές. Παράγοντες οι οποίοι εξετάζονται συστηματικά είναι μεταξύ άλλων, η συνεισφορά του Εσωτερικού Ελέγχου στη διαχείριση κινδύνων, η συμβολή του Εσωτερικού Ελέγχου στην τήρηση των κανόνων Εταιρικής Διακυβέρνησης και την συμμόρφωση με τον Κώδικα Διακυβέρνησης που έχει υιοθετήσει η επιχείρηση, η λειτουργική ανεξαρτησία της Μονάδας Εσωτερικού Ελέγχου αλλά και της Επιτροπής Ελέγχου καθώς και οι δεξιότητες και οι γνώσεις των εσωτερικών ελεγκτών και η ποιότητα των παρεχόμενων υπηρεσιών.</w:t>
      </w:r>
    </w:p>
    <w:p w14:paraId="12605B53" w14:textId="77777777" w:rsidR="002966B7" w:rsidRPr="002335C1" w:rsidRDefault="002966B7" w:rsidP="00A858F2">
      <w:pPr>
        <w:spacing w:after="120" w:line="288" w:lineRule="auto"/>
        <w:jc w:val="both"/>
        <w:rPr>
          <w:rFonts w:ascii="Times New Roman" w:hAnsi="Times New Roman" w:cs="Times New Roman"/>
          <w:b/>
          <w:bCs/>
          <w:sz w:val="24"/>
          <w:szCs w:val="24"/>
        </w:rPr>
      </w:pPr>
      <w:r w:rsidRPr="002335C1">
        <w:rPr>
          <w:rFonts w:ascii="Times New Roman" w:hAnsi="Times New Roman" w:cs="Times New Roman"/>
          <w:sz w:val="24"/>
          <w:szCs w:val="24"/>
        </w:rPr>
        <w:t xml:space="preserve">Σε </w:t>
      </w:r>
      <w:r w:rsidRPr="002335C1">
        <w:rPr>
          <w:rFonts w:ascii="Times New Roman" w:hAnsi="Times New Roman" w:cs="Times New Roman"/>
          <w:b/>
          <w:bCs/>
          <w:sz w:val="24"/>
          <w:szCs w:val="24"/>
        </w:rPr>
        <w:t>σχετική έρευνα</w:t>
      </w:r>
      <w:r w:rsidRPr="002335C1">
        <w:rPr>
          <w:rFonts w:ascii="Times New Roman" w:hAnsi="Times New Roman" w:cs="Times New Roman"/>
          <w:sz w:val="24"/>
          <w:szCs w:val="24"/>
        </w:rPr>
        <w:t xml:space="preserve"> η οποία διενεργήθηκε το 2020 και στην οποία εξετάστηκε η συμμόρφωση των εισηγμένων στο Ελληνικό Χρηματιστήριο εταιρειών (του υψηλού δείκτη κεφαλαιοποίησης του Ελληνικού Χρηματιστηρίου Αθηνών - FTSE/</w:t>
      </w:r>
      <w:proofErr w:type="spellStart"/>
      <w:r w:rsidRPr="002335C1">
        <w:rPr>
          <w:rFonts w:ascii="Times New Roman" w:hAnsi="Times New Roman" w:cs="Times New Roman"/>
          <w:sz w:val="24"/>
          <w:szCs w:val="24"/>
        </w:rPr>
        <w:t>Large</w:t>
      </w:r>
      <w:proofErr w:type="spellEnd"/>
      <w:r w:rsidRPr="002335C1">
        <w:rPr>
          <w:rFonts w:ascii="Times New Roman" w:hAnsi="Times New Roman" w:cs="Times New Roman"/>
          <w:sz w:val="24"/>
          <w:szCs w:val="24"/>
        </w:rPr>
        <w:t xml:space="preserve"> </w:t>
      </w:r>
      <w:proofErr w:type="spellStart"/>
      <w:r w:rsidRPr="002335C1">
        <w:rPr>
          <w:rFonts w:ascii="Times New Roman" w:hAnsi="Times New Roman" w:cs="Times New Roman"/>
          <w:sz w:val="24"/>
          <w:szCs w:val="24"/>
        </w:rPr>
        <w:t>Cap</w:t>
      </w:r>
      <w:proofErr w:type="spellEnd"/>
      <w:r w:rsidRPr="002335C1">
        <w:rPr>
          <w:rFonts w:ascii="Times New Roman" w:hAnsi="Times New Roman" w:cs="Times New Roman"/>
          <w:sz w:val="24"/>
          <w:szCs w:val="24"/>
        </w:rPr>
        <w:t xml:space="preserve">) σε θέματα τήρησης γενικών κανόνων Εταιρικής Διακυβέρνησης και αποτύπωσής τους στην Δήλωση Εταιρικής Διακυβέρνησης, καθώς και η αξιολόγηση του Συστήματος Εσωτερικού Ελέγχου τους, </w:t>
      </w:r>
      <w:r w:rsidRPr="002335C1">
        <w:rPr>
          <w:rFonts w:ascii="Times New Roman" w:hAnsi="Times New Roman" w:cs="Times New Roman"/>
          <w:b/>
          <w:bCs/>
          <w:sz w:val="24"/>
          <w:szCs w:val="24"/>
        </w:rPr>
        <w:t>διαπιστώθηκε ότι:</w:t>
      </w:r>
    </w:p>
    <w:p w14:paraId="159C2DE9" w14:textId="77777777" w:rsidR="002966B7" w:rsidRPr="002335C1" w:rsidRDefault="002966B7" w:rsidP="00A858F2">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i.</w:t>
      </w:r>
      <w:r w:rsidRPr="002335C1">
        <w:rPr>
          <w:rFonts w:ascii="Times New Roman" w:hAnsi="Times New Roman" w:cs="Times New Roman"/>
          <w:sz w:val="24"/>
          <w:szCs w:val="24"/>
        </w:rPr>
        <w:tab/>
      </w:r>
      <w:proofErr w:type="spellStart"/>
      <w:r w:rsidRPr="002335C1">
        <w:rPr>
          <w:rFonts w:ascii="Times New Roman" w:hAnsi="Times New Roman" w:cs="Times New Roman"/>
          <w:sz w:val="24"/>
          <w:szCs w:val="24"/>
        </w:rPr>
        <w:t>Tο</w:t>
      </w:r>
      <w:proofErr w:type="spellEnd"/>
      <w:r w:rsidRPr="002335C1">
        <w:rPr>
          <w:rFonts w:ascii="Times New Roman" w:hAnsi="Times New Roman" w:cs="Times New Roman"/>
          <w:sz w:val="24"/>
          <w:szCs w:val="24"/>
        </w:rPr>
        <w:t xml:space="preserve"> σύνολο των εταιρειών του δείγματος είχαν προχωρήσεις σε σύσταση Επιτροπής Ελέγχου γεγονός που καταδεικνύει την έμφαση την οποία δίνουν οι εταιρείες αυτές στην ανάδειξη του έργου, την επίβλεψη και την ανεξάρτητη δράση των Μονάδων Εσωτερικού Ελέγχου που διαθέτουν.</w:t>
      </w:r>
    </w:p>
    <w:p w14:paraId="239A044F" w14:textId="77777777" w:rsidR="002966B7" w:rsidRPr="002335C1" w:rsidRDefault="002966B7" w:rsidP="00A858F2">
      <w:pPr>
        <w:spacing w:after="120" w:line="288" w:lineRule="auto"/>
        <w:jc w:val="both"/>
        <w:rPr>
          <w:rFonts w:ascii="Times New Roman" w:hAnsi="Times New Roman" w:cs="Times New Roman"/>
          <w:sz w:val="24"/>
          <w:szCs w:val="24"/>
        </w:rPr>
      </w:pPr>
      <w:proofErr w:type="spellStart"/>
      <w:r w:rsidRPr="002335C1">
        <w:rPr>
          <w:rFonts w:ascii="Times New Roman" w:hAnsi="Times New Roman" w:cs="Times New Roman"/>
          <w:sz w:val="24"/>
          <w:szCs w:val="24"/>
        </w:rPr>
        <w:t>ii</w:t>
      </w:r>
      <w:proofErr w:type="spellEnd"/>
      <w:r w:rsidRPr="002335C1">
        <w:rPr>
          <w:rFonts w:ascii="Times New Roman" w:hAnsi="Times New Roman" w:cs="Times New Roman"/>
          <w:sz w:val="24"/>
          <w:szCs w:val="24"/>
        </w:rPr>
        <w:t>.</w:t>
      </w:r>
      <w:r w:rsidRPr="002335C1">
        <w:rPr>
          <w:rFonts w:ascii="Times New Roman" w:hAnsi="Times New Roman" w:cs="Times New Roman"/>
          <w:sz w:val="24"/>
          <w:szCs w:val="24"/>
        </w:rPr>
        <w:tab/>
        <w:t xml:space="preserve">Η πλειοψηφία των εταιρειών διενεργούσε κάποιας μορφής αναφορά σχετικής με το υφιστάμενο σύστημα εσωτερικού ελέγχου και διαχείρισης κινδύνων σε σχέση με την διαδικασία σύνταξης των χρηματοοικονομικών τους καταστάσεων. Συγκεκριμένα, ποσοστό 76% προέβαινε σε σχετική αναφορά βασικών διαδικασιών του συστήματος εσωτερικού ελέγχου αναφορικά με την αξιοπιστία των οικονομικών καταστάσεων κάνοντας σχετική αναφορά σε δικλείδες όπως: </w:t>
      </w:r>
    </w:p>
    <w:p w14:paraId="66A41B2C" w14:textId="77777777" w:rsidR="002966B7" w:rsidRPr="002335C1" w:rsidRDefault="002966B7" w:rsidP="00A858F2">
      <w:pPr>
        <w:spacing w:after="120" w:line="288" w:lineRule="auto"/>
        <w:ind w:left="1276" w:hanging="425"/>
        <w:jc w:val="both"/>
        <w:rPr>
          <w:rFonts w:ascii="Times New Roman" w:hAnsi="Times New Roman" w:cs="Times New Roman"/>
          <w:sz w:val="24"/>
          <w:szCs w:val="24"/>
        </w:rPr>
      </w:pPr>
      <w:r w:rsidRPr="002335C1">
        <w:rPr>
          <w:rFonts w:ascii="Times New Roman" w:hAnsi="Times New Roman" w:cs="Times New Roman"/>
          <w:sz w:val="24"/>
          <w:szCs w:val="24"/>
        </w:rPr>
        <w:t>a.</w:t>
      </w:r>
      <w:r w:rsidRPr="002335C1">
        <w:rPr>
          <w:rFonts w:ascii="Times New Roman" w:hAnsi="Times New Roman" w:cs="Times New Roman"/>
          <w:sz w:val="24"/>
          <w:szCs w:val="24"/>
        </w:rPr>
        <w:tab/>
        <w:t xml:space="preserve">Εμπλοκή του Τμήματος Εσωτερικού Ελέγχου σε διαδικασίες επαλήθευσης κονδυλίων επί των οικονομικών καταστάσεων κατά την διάρκεια της ενοποίησης. </w:t>
      </w:r>
    </w:p>
    <w:p w14:paraId="40B343F8" w14:textId="77777777" w:rsidR="002966B7" w:rsidRPr="002335C1" w:rsidRDefault="002966B7" w:rsidP="00A858F2">
      <w:pPr>
        <w:spacing w:after="120" w:line="288" w:lineRule="auto"/>
        <w:ind w:left="1276" w:hanging="425"/>
        <w:jc w:val="both"/>
        <w:rPr>
          <w:rFonts w:ascii="Times New Roman" w:hAnsi="Times New Roman" w:cs="Times New Roman"/>
          <w:sz w:val="24"/>
          <w:szCs w:val="24"/>
        </w:rPr>
      </w:pPr>
      <w:r w:rsidRPr="002335C1">
        <w:rPr>
          <w:rFonts w:ascii="Times New Roman" w:hAnsi="Times New Roman" w:cs="Times New Roman"/>
          <w:sz w:val="24"/>
          <w:szCs w:val="24"/>
        </w:rPr>
        <w:t>b.</w:t>
      </w:r>
      <w:r w:rsidRPr="002335C1">
        <w:rPr>
          <w:rFonts w:ascii="Times New Roman" w:hAnsi="Times New Roman" w:cs="Times New Roman"/>
          <w:sz w:val="24"/>
          <w:szCs w:val="24"/>
        </w:rPr>
        <w:tab/>
        <w:t xml:space="preserve">Επισκόπηση των οικονομικών καταστάσεων και έγκρισή τους από την Επιτροπή Ελέγχου, πριν από την τελική έγκριση τους από την Διοίκηση της Εταιρείας και την Γενική Συνέλευση. </w:t>
      </w:r>
    </w:p>
    <w:p w14:paraId="38436AE5" w14:textId="77777777" w:rsidR="002966B7" w:rsidRPr="002335C1" w:rsidRDefault="002966B7" w:rsidP="00A858F2">
      <w:pPr>
        <w:spacing w:after="120" w:line="288" w:lineRule="auto"/>
        <w:ind w:left="1276" w:hanging="425"/>
        <w:jc w:val="both"/>
        <w:rPr>
          <w:rFonts w:ascii="Times New Roman" w:hAnsi="Times New Roman" w:cs="Times New Roman"/>
          <w:sz w:val="24"/>
          <w:szCs w:val="24"/>
        </w:rPr>
      </w:pPr>
      <w:r w:rsidRPr="002335C1">
        <w:rPr>
          <w:rFonts w:ascii="Times New Roman" w:hAnsi="Times New Roman" w:cs="Times New Roman"/>
          <w:sz w:val="24"/>
          <w:szCs w:val="24"/>
        </w:rPr>
        <w:lastRenderedPageBreak/>
        <w:t>c.</w:t>
      </w:r>
      <w:r w:rsidRPr="002335C1">
        <w:rPr>
          <w:rFonts w:ascii="Times New Roman" w:hAnsi="Times New Roman" w:cs="Times New Roman"/>
          <w:sz w:val="24"/>
          <w:szCs w:val="24"/>
        </w:rPr>
        <w:tab/>
        <w:t xml:space="preserve">Τακτικές συναντήσεις της Επιτροπής Ελέγχου αλλά και του </w:t>
      </w:r>
      <w:proofErr w:type="spellStart"/>
      <w:r w:rsidRPr="002335C1">
        <w:rPr>
          <w:rFonts w:ascii="Times New Roman" w:hAnsi="Times New Roman" w:cs="Times New Roman"/>
          <w:sz w:val="24"/>
          <w:szCs w:val="24"/>
        </w:rPr>
        <w:t>Chief</w:t>
      </w:r>
      <w:proofErr w:type="spellEnd"/>
      <w:r w:rsidRPr="002335C1">
        <w:rPr>
          <w:rFonts w:ascii="Times New Roman" w:hAnsi="Times New Roman" w:cs="Times New Roman"/>
          <w:sz w:val="24"/>
          <w:szCs w:val="24"/>
        </w:rPr>
        <w:t xml:space="preserve"> </w:t>
      </w:r>
      <w:proofErr w:type="spellStart"/>
      <w:r w:rsidRPr="002335C1">
        <w:rPr>
          <w:rFonts w:ascii="Times New Roman" w:hAnsi="Times New Roman" w:cs="Times New Roman"/>
          <w:sz w:val="24"/>
          <w:szCs w:val="24"/>
        </w:rPr>
        <w:t>Audit</w:t>
      </w:r>
      <w:proofErr w:type="spellEnd"/>
      <w:r w:rsidRPr="002335C1">
        <w:rPr>
          <w:rFonts w:ascii="Times New Roman" w:hAnsi="Times New Roman" w:cs="Times New Roman"/>
          <w:sz w:val="24"/>
          <w:szCs w:val="24"/>
        </w:rPr>
        <w:t xml:space="preserve"> Executive με τον αρμόδιο Ορκωτό Λογιστή αναφορικά με τα ευρήματα του τακτικού ελέγχου. </w:t>
      </w:r>
    </w:p>
    <w:p w14:paraId="0D6898F4" w14:textId="77777777" w:rsidR="002966B7" w:rsidRPr="002335C1" w:rsidRDefault="002966B7" w:rsidP="00A858F2">
      <w:pPr>
        <w:spacing w:after="120" w:line="288" w:lineRule="auto"/>
        <w:ind w:left="1276" w:hanging="425"/>
        <w:jc w:val="both"/>
        <w:rPr>
          <w:rFonts w:ascii="Times New Roman" w:hAnsi="Times New Roman" w:cs="Times New Roman"/>
          <w:sz w:val="24"/>
          <w:szCs w:val="24"/>
        </w:rPr>
      </w:pPr>
      <w:r w:rsidRPr="002335C1">
        <w:rPr>
          <w:rFonts w:ascii="Times New Roman" w:hAnsi="Times New Roman" w:cs="Times New Roman"/>
          <w:sz w:val="24"/>
          <w:szCs w:val="24"/>
        </w:rPr>
        <w:t>d.</w:t>
      </w:r>
      <w:r w:rsidRPr="002335C1">
        <w:rPr>
          <w:rFonts w:ascii="Times New Roman" w:hAnsi="Times New Roman" w:cs="Times New Roman"/>
          <w:sz w:val="24"/>
          <w:szCs w:val="24"/>
        </w:rPr>
        <w:tab/>
        <w:t xml:space="preserve">Ύπαρξη ενιαίου πληροφοριακού συστήματος μεταξύ της μητρικής εταιρίας και των θυγατρικών αυτής για την ομαλότερη διαδικασία ενοποίησης.  </w:t>
      </w:r>
    </w:p>
    <w:p w14:paraId="00C0803E" w14:textId="77777777" w:rsidR="002966B7" w:rsidRPr="002335C1" w:rsidRDefault="002966B7" w:rsidP="00A858F2">
      <w:pPr>
        <w:spacing w:after="120" w:line="288" w:lineRule="auto"/>
        <w:ind w:left="1276" w:hanging="425"/>
        <w:jc w:val="both"/>
        <w:rPr>
          <w:rFonts w:ascii="Times New Roman" w:hAnsi="Times New Roman" w:cs="Times New Roman"/>
          <w:sz w:val="24"/>
          <w:szCs w:val="24"/>
        </w:rPr>
      </w:pPr>
      <w:r w:rsidRPr="002335C1">
        <w:rPr>
          <w:rFonts w:ascii="Times New Roman" w:hAnsi="Times New Roman" w:cs="Times New Roman"/>
          <w:sz w:val="24"/>
          <w:szCs w:val="24"/>
        </w:rPr>
        <w:t>e.</w:t>
      </w:r>
      <w:r w:rsidRPr="002335C1">
        <w:rPr>
          <w:rFonts w:ascii="Times New Roman" w:hAnsi="Times New Roman" w:cs="Times New Roman"/>
          <w:sz w:val="24"/>
          <w:szCs w:val="24"/>
        </w:rPr>
        <w:tab/>
        <w:t xml:space="preserve"> Ύπαρξη κατάλληλων αυτοματοποιημένων ελεγκτικών δικλείδων επί του υφιστάμενου πληροφοριακού συστήματος για τον εντοπισμό κινδύνων κατά την διαδικασία σύνταξης των οικονομικών καταστάσεων καθώς και κατά την διαδικασία εργασιών κλεισίματος. </w:t>
      </w:r>
    </w:p>
    <w:p w14:paraId="74047574" w14:textId="77777777" w:rsidR="002966B7" w:rsidRPr="002335C1" w:rsidRDefault="002966B7" w:rsidP="00A858F2">
      <w:pPr>
        <w:spacing w:after="120" w:line="288" w:lineRule="auto"/>
        <w:ind w:left="1276" w:hanging="425"/>
        <w:jc w:val="both"/>
        <w:rPr>
          <w:rFonts w:ascii="Times New Roman" w:hAnsi="Times New Roman" w:cs="Times New Roman"/>
          <w:sz w:val="24"/>
          <w:szCs w:val="24"/>
        </w:rPr>
      </w:pPr>
      <w:r w:rsidRPr="002335C1">
        <w:rPr>
          <w:rFonts w:ascii="Times New Roman" w:hAnsi="Times New Roman" w:cs="Times New Roman"/>
          <w:sz w:val="24"/>
          <w:szCs w:val="24"/>
        </w:rPr>
        <w:t>f.</w:t>
      </w:r>
      <w:r w:rsidRPr="002335C1">
        <w:rPr>
          <w:rFonts w:ascii="Times New Roman" w:hAnsi="Times New Roman" w:cs="Times New Roman"/>
          <w:sz w:val="24"/>
          <w:szCs w:val="24"/>
        </w:rPr>
        <w:tab/>
        <w:t xml:space="preserve">Ύπαρξη κατάλληλου πληροφοριακού συστήματος υποστήριξης της διοίκησης (Executive </w:t>
      </w:r>
      <w:proofErr w:type="spellStart"/>
      <w:r w:rsidRPr="002335C1">
        <w:rPr>
          <w:rFonts w:ascii="Times New Roman" w:hAnsi="Times New Roman" w:cs="Times New Roman"/>
          <w:sz w:val="24"/>
          <w:szCs w:val="24"/>
        </w:rPr>
        <w:t>Support</w:t>
      </w:r>
      <w:proofErr w:type="spellEnd"/>
      <w:r w:rsidRPr="002335C1">
        <w:rPr>
          <w:rFonts w:ascii="Times New Roman" w:hAnsi="Times New Roman" w:cs="Times New Roman"/>
          <w:sz w:val="24"/>
          <w:szCs w:val="24"/>
        </w:rPr>
        <w:t xml:space="preserve"> </w:t>
      </w:r>
      <w:proofErr w:type="spellStart"/>
      <w:r w:rsidRPr="002335C1">
        <w:rPr>
          <w:rFonts w:ascii="Times New Roman" w:hAnsi="Times New Roman" w:cs="Times New Roman"/>
          <w:sz w:val="24"/>
          <w:szCs w:val="24"/>
        </w:rPr>
        <w:t>System</w:t>
      </w:r>
      <w:proofErr w:type="spellEnd"/>
      <w:r w:rsidRPr="002335C1">
        <w:rPr>
          <w:rFonts w:ascii="Times New Roman" w:hAnsi="Times New Roman" w:cs="Times New Roman"/>
          <w:sz w:val="24"/>
          <w:szCs w:val="24"/>
        </w:rPr>
        <w:t xml:space="preserve">) με ικανή πρόσβαση στα στοιχεία των θυγατρικών προς επιβεβαίωση των οικονομικών μεγεθών και της πορείας των θυγατρικών περιοδικά, και ειδικά πριν την σύνταξη των οικονομικών καταστάσεων. </w:t>
      </w:r>
    </w:p>
    <w:p w14:paraId="6A1AE66A" w14:textId="77777777" w:rsidR="002966B7" w:rsidRPr="002335C1" w:rsidRDefault="002966B7" w:rsidP="00A858F2">
      <w:pPr>
        <w:spacing w:after="120" w:line="288" w:lineRule="auto"/>
        <w:ind w:left="1276" w:hanging="425"/>
        <w:jc w:val="both"/>
        <w:rPr>
          <w:rFonts w:ascii="Times New Roman" w:hAnsi="Times New Roman" w:cs="Times New Roman"/>
          <w:sz w:val="24"/>
          <w:szCs w:val="24"/>
        </w:rPr>
      </w:pPr>
      <w:r w:rsidRPr="002335C1">
        <w:rPr>
          <w:rFonts w:ascii="Times New Roman" w:hAnsi="Times New Roman" w:cs="Times New Roman"/>
          <w:sz w:val="24"/>
          <w:szCs w:val="24"/>
        </w:rPr>
        <w:t>g.</w:t>
      </w:r>
      <w:r w:rsidRPr="002335C1">
        <w:rPr>
          <w:rFonts w:ascii="Times New Roman" w:hAnsi="Times New Roman" w:cs="Times New Roman"/>
          <w:sz w:val="24"/>
          <w:szCs w:val="24"/>
        </w:rPr>
        <w:tab/>
        <w:t>Η διαδικασία ενοποίησης διεκπεραιώνεται από αρμόδιο τμήμα.</w:t>
      </w:r>
    </w:p>
    <w:p w14:paraId="25065EE1" w14:textId="77777777" w:rsidR="002966B7" w:rsidRPr="002335C1" w:rsidRDefault="002966B7" w:rsidP="00A858F2">
      <w:pPr>
        <w:spacing w:after="120" w:line="288" w:lineRule="auto"/>
        <w:jc w:val="both"/>
        <w:rPr>
          <w:rFonts w:ascii="Times New Roman" w:hAnsi="Times New Roman" w:cs="Times New Roman"/>
          <w:sz w:val="24"/>
          <w:szCs w:val="24"/>
        </w:rPr>
      </w:pPr>
      <w:proofErr w:type="spellStart"/>
      <w:r w:rsidRPr="002335C1">
        <w:rPr>
          <w:rFonts w:ascii="Times New Roman" w:hAnsi="Times New Roman" w:cs="Times New Roman"/>
          <w:sz w:val="24"/>
          <w:szCs w:val="24"/>
        </w:rPr>
        <w:t>iii</w:t>
      </w:r>
      <w:proofErr w:type="spellEnd"/>
      <w:r w:rsidRPr="002335C1">
        <w:rPr>
          <w:rFonts w:ascii="Times New Roman" w:hAnsi="Times New Roman" w:cs="Times New Roman"/>
          <w:sz w:val="24"/>
          <w:szCs w:val="24"/>
        </w:rPr>
        <w:t>.</w:t>
      </w:r>
      <w:r w:rsidRPr="002335C1">
        <w:rPr>
          <w:rFonts w:ascii="Times New Roman" w:hAnsi="Times New Roman" w:cs="Times New Roman"/>
          <w:sz w:val="24"/>
          <w:szCs w:val="24"/>
        </w:rPr>
        <w:tab/>
        <w:t xml:space="preserve"> Η λειτουργική και διοικητική ανεξαρτησία των Επιτροπών Ελέγχου ήταν επαρκής καθώς, η σύσταση των Επιτροπών ήταν κατά αποκλειστικότητα από μη εκτελεστικά μέλη, αποτελούνταν κατά πλειοψηφία από ανεξάρτητα μέλη Δ.Σ. σε ποσοστό 95% και εξασφάλιζε επαρκή γνώση επί λογιστικών-ελεγκτικών και οικονομικών θεμάτων σε ποσοστό 81%.</w:t>
      </w:r>
    </w:p>
    <w:p w14:paraId="0072A693" w14:textId="77777777" w:rsidR="002966B7" w:rsidRPr="002335C1" w:rsidRDefault="002966B7" w:rsidP="00A858F2">
      <w:pPr>
        <w:spacing w:after="120" w:line="288" w:lineRule="auto"/>
        <w:jc w:val="both"/>
        <w:rPr>
          <w:rFonts w:ascii="Times New Roman" w:hAnsi="Times New Roman" w:cs="Times New Roman"/>
          <w:sz w:val="24"/>
          <w:szCs w:val="24"/>
        </w:rPr>
      </w:pPr>
      <w:proofErr w:type="spellStart"/>
      <w:r w:rsidRPr="002335C1">
        <w:rPr>
          <w:rFonts w:ascii="Times New Roman" w:hAnsi="Times New Roman" w:cs="Times New Roman"/>
          <w:sz w:val="24"/>
          <w:szCs w:val="24"/>
        </w:rPr>
        <w:t>iv</w:t>
      </w:r>
      <w:proofErr w:type="spellEnd"/>
      <w:r w:rsidRPr="002335C1">
        <w:rPr>
          <w:rFonts w:ascii="Times New Roman" w:hAnsi="Times New Roman" w:cs="Times New Roman"/>
          <w:sz w:val="24"/>
          <w:szCs w:val="24"/>
        </w:rPr>
        <w:t>.</w:t>
      </w:r>
      <w:r w:rsidRPr="002335C1">
        <w:rPr>
          <w:rFonts w:ascii="Times New Roman" w:hAnsi="Times New Roman" w:cs="Times New Roman"/>
          <w:sz w:val="24"/>
          <w:szCs w:val="24"/>
        </w:rPr>
        <w:tab/>
        <w:t xml:space="preserve">Η Δήλωση Εταιρικής Διακυβέρνησης διευκρίνιζε τον βαθμό εμπλοκής των Τμημάτων Εσωτερικού Ελέγχου σε διαδικασίες αξιολόγησης κινδύνων, αξιοπιστίας οικονομικών καταστάσεων, καθώς και επάρκειας των δικλείδων ασφαλείας του Συστήματος Εσωτερικού Ελέγχου. </w:t>
      </w:r>
    </w:p>
    <w:p w14:paraId="496CF7CB" w14:textId="77777777" w:rsidR="002966B7" w:rsidRPr="002335C1" w:rsidRDefault="002966B7" w:rsidP="00A858F2">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Συγκεκριμένα, αναφερόταν εμπλοκή των Μονάδων Εσωτερικού Ελέγχου σε διαδικασίες αξιολόγησης κινδύνων σε ποσοστό 81% των εταιρειών, σε θέματα επάρκειας των δικλείδων του Συστήματος Εσωτερικού Ελέγχου σε ποσοστό ομοίως 81%, και σε θέματα αξιοπιστίας των κονδυλίων επί των οικονομικών καταστάσεων σε ποσοστό 71%.</w:t>
      </w:r>
    </w:p>
    <w:p w14:paraId="746B0EE5" w14:textId="77777777" w:rsidR="002966B7" w:rsidRPr="002335C1" w:rsidRDefault="002966B7" w:rsidP="00A858F2">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v.</w:t>
      </w:r>
      <w:r w:rsidRPr="002335C1">
        <w:rPr>
          <w:rFonts w:ascii="Times New Roman" w:hAnsi="Times New Roman" w:cs="Times New Roman"/>
          <w:sz w:val="24"/>
          <w:szCs w:val="24"/>
        </w:rPr>
        <w:tab/>
        <w:t>Ποσοστό 43% του συνολικού δείγματος δεν διενεργούσε αιτιολογημένη αναφορά στις περιπτώσεις μη συμμόρφωσης με τις διατάξεις του υιοθετημένου Κώδικα Εταιρικής Διακυβέρνησης. Από τις εταιρείες αυτές η συντριπτική πλειοψηφία είχαν συστήσει δικό τους εταιρικό Κώδικα Εταιρικής Διακυβέρνησης γεγονός που οδηγεί εύλογα στο συμπέρασμα ότι οι επιχειρήσεις χρησιμοποιούν το δικαίωμα που τους δίνει η ισχύουσα νομοθεσία για σύσταση εταιρικού κώδικα εταιρικής διακυβέρνησης ως διέξοδο στην υιοθέτηση λιγότερο περιοριστικών διατάξεων από αυτές που ορίζει ο Ελληνικός Κώδικας Εταιρικής Διακυβέρνησης.</w:t>
      </w:r>
    </w:p>
    <w:p w14:paraId="4A275EED" w14:textId="77777777" w:rsidR="002966B7" w:rsidRPr="002335C1" w:rsidRDefault="002966B7" w:rsidP="00A858F2">
      <w:pPr>
        <w:spacing w:after="120" w:line="288" w:lineRule="auto"/>
        <w:jc w:val="both"/>
        <w:rPr>
          <w:rFonts w:ascii="Times New Roman" w:hAnsi="Times New Roman" w:cs="Times New Roman"/>
          <w:sz w:val="24"/>
          <w:szCs w:val="24"/>
        </w:rPr>
      </w:pPr>
      <w:r w:rsidRPr="002335C1">
        <w:rPr>
          <w:rFonts w:ascii="Times New Roman" w:hAnsi="Times New Roman" w:cs="Times New Roman"/>
          <w:b/>
          <w:bCs/>
          <w:sz w:val="24"/>
          <w:szCs w:val="24"/>
        </w:rPr>
        <w:t>Σε νεότερη έρευνα</w:t>
      </w:r>
      <w:r w:rsidRPr="002335C1">
        <w:rPr>
          <w:rFonts w:ascii="Times New Roman" w:hAnsi="Times New Roman" w:cs="Times New Roman"/>
          <w:sz w:val="24"/>
          <w:szCs w:val="24"/>
        </w:rPr>
        <w:t xml:space="preserve"> του 2021, εξετάστηκε </w:t>
      </w:r>
      <w:r w:rsidRPr="002335C1">
        <w:rPr>
          <w:rFonts w:ascii="Times New Roman" w:hAnsi="Times New Roman" w:cs="Times New Roman"/>
          <w:b/>
          <w:bCs/>
          <w:sz w:val="24"/>
          <w:szCs w:val="24"/>
        </w:rPr>
        <w:t>η σχέση του εσωτερικού ελέγχου με την διαχείριση κινδύνων αλλά και η συμβολή του στην εταιρική διακυβέρνηση</w:t>
      </w:r>
      <w:r w:rsidRPr="002335C1">
        <w:rPr>
          <w:rFonts w:ascii="Times New Roman" w:hAnsi="Times New Roman" w:cs="Times New Roman"/>
          <w:sz w:val="24"/>
          <w:szCs w:val="24"/>
        </w:rPr>
        <w:t xml:space="preserve">. Η </w:t>
      </w:r>
      <w:r w:rsidRPr="002335C1">
        <w:rPr>
          <w:rFonts w:ascii="Times New Roman" w:hAnsi="Times New Roman" w:cs="Times New Roman"/>
          <w:sz w:val="24"/>
          <w:szCs w:val="24"/>
        </w:rPr>
        <w:lastRenderedPageBreak/>
        <w:t xml:space="preserve">πλειοψηφία των συμμετεχόντων θεώρησε σημαντικό να έχει η επιχείρηση σχέδιο διαχείρισης κινδύνων και ότι ο εσωτερικός έλεγχος συνδράμει στην κατάρτιση σχεδίου διαχείρισης κινδύνων, παρόλα αυτά, περίπου οι μισοί των ερωτηθέντων κρίνουν ότι τα τμήματα εσωτερικού ελέγχου και διαχείρισης κινδύνων συνεργάζονται και αλληλοσυμπληρώνονται σε ικανοποιητικό βαθμό. Είναι σαφές λοιπόν ότι υπάρχουν σημαντικά περιθώρια βελτίωσης στο πως αντιμετωπίζουν οι ελληνικές επιχειρήσεις τα ζητήματα διαχείρισης κινδύνων. </w:t>
      </w:r>
    </w:p>
    <w:p w14:paraId="63718E20" w14:textId="77777777" w:rsidR="002966B7" w:rsidRPr="002335C1" w:rsidRDefault="002966B7" w:rsidP="00A858F2">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 xml:space="preserve">Αναφορικά με την συμβολή του εσωτερικού ελέγχου σε θέματα εταιρικής διακυβέρνησης, ποσοστό άνω του 60% των ερωτηθέντων απαντάει πως το διοικητικό συμβούλιο και η επιτροπή ελέγχου, παρέχουν πληροφορίες στους εσωτερικούς ελεγκτές, συνεργάζονται μαζί τους κατά την  διάρκεια της ελεγκτικής εργασίας και ότι το διοικητικό συμβούλιο υιοθετεί προτάσεις τους για θέματα εταιρικής διακυβέρνησης. Σημαντικό εύρημα αποτελεί και σε αυτήν την έρευνα, το ότι η συντριπτική πλειοψηφία των συμμετεχόντων απαντάει πως </w:t>
      </w:r>
      <w:r w:rsidRPr="002335C1">
        <w:rPr>
          <w:rFonts w:ascii="Times New Roman" w:hAnsi="Times New Roman" w:cs="Times New Roman"/>
          <w:b/>
          <w:bCs/>
          <w:sz w:val="24"/>
          <w:szCs w:val="24"/>
        </w:rPr>
        <w:t>παρέχεται ανεξαρτησία στους εσωτερικούς ελεγκτές και ότι ο εσωτερικός έλεγχος συμβάλλει στην εταιρική διακυβέρνηση</w:t>
      </w:r>
      <w:r w:rsidRPr="002335C1">
        <w:rPr>
          <w:rFonts w:ascii="Times New Roman" w:hAnsi="Times New Roman" w:cs="Times New Roman"/>
          <w:sz w:val="24"/>
          <w:szCs w:val="24"/>
        </w:rPr>
        <w:t xml:space="preserve"> καταλήγοντας στο συμπέρασμα ότι οι ελληνικές επιχειρήσεις δείχνουν ενδιαφέρον σε θέματα ορθής λειτουργίας της εταιρικής διακυβέρνησης παρά την ύπαρξη σημαντικών περιθωρίων βελτίωσης.</w:t>
      </w:r>
    </w:p>
    <w:p w14:paraId="16664E46" w14:textId="77777777" w:rsidR="002966B7" w:rsidRPr="002335C1" w:rsidRDefault="002966B7" w:rsidP="00A858F2">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 xml:space="preserve">Στο σημείο αυτό πρέπει να επισημάνουμε ότι τα θέματα χρηστής διακυβέρνησης και διαχείρισης κινδύνων δεν απασχολούν μόνο τον Ιδιωτικό τομέα και τον χώρο των επιχειρήσεων (ιδίως των εισηγμένων) </w:t>
      </w:r>
      <w:r w:rsidRPr="002335C1">
        <w:rPr>
          <w:rFonts w:ascii="Times New Roman" w:hAnsi="Times New Roman" w:cs="Times New Roman"/>
          <w:b/>
          <w:bCs/>
          <w:sz w:val="24"/>
          <w:szCs w:val="24"/>
        </w:rPr>
        <w:t>αλλά έχουν ιδιαίτερη βαρύτητα και στον Δημόσιο τομέα</w:t>
      </w:r>
      <w:r w:rsidRPr="002335C1">
        <w:rPr>
          <w:rFonts w:ascii="Times New Roman" w:hAnsi="Times New Roman" w:cs="Times New Roman"/>
          <w:sz w:val="24"/>
          <w:szCs w:val="24"/>
        </w:rPr>
        <w:t xml:space="preserve"> και την τοπική αυτοδιοίκηση καθώς αποτελούν φορείς διαχείρισης δημόσιου χρήματος και κρατικών κονδυλίων. Στο πρόσφατο νομοθετικό έργο Ν.4795/2021 γίνεται μια εκτενής αναφορά στο Σύστημα Εσωτερικού Ελέγχου, την λειτουργία του Εσωτερικού Ελέγχου, την σύσταση, οργάνωση, στελέχωση και τις αρμοδιότητες της Μονάδας Εσωτερικού Ελέγχου αλλά και την διεξαγωγή του έργου αυτής στο Δημόσιο Τομέα, τη δημόσια διοίκηση και την τοπική αυτοδιοίκηση. Με την τροποποίηση του από τον Ν.5013/2023 προστέθηκαν και διατάξεις σχετικές με την διαχείριση των κινδύνων που επηρεάζουν την υλοποίηση των στρατηγικών και επιχειρησιακών τους στόχων, καθώς και την αποδοτικότητα και αποτελεσματικότητά τους. Παρόλα αυτά, το πλαίσιο διακυβέρνησης των Δημόσιων Φορέων και οργανισμών αποτελείται από ένα σύνολο ποικίλων νομοθετημάτων και αποφάσεων, τα οποία θεσμοθετούν κυρίως την οργάνωση των Φορέων, τις αρμοδιότητες των τμημάτων και των διευθύνσεων και την σύσταση και τον τρόπο λειτουργίας των οργάνων διοίκησης. Δεν γίνεται όμως κάποια σαφής αναφορά στην ανάγκη ύπαρξης Κώδικα Διακυβέρνησης ή σύνταξης Δήλωσης Διακυβέρνησης καθώς και στην υποχρέωση σύνταξης αναλυτικού Κανονισμού Λειτουργίας. Επίσης, οι στόχοι τους οποίους επιχειρεί να επιτύχει ο Φορέας δεν είναι ακόμα επαρκώς καταγεγραμμένοι και θεσμοθετημένοι. Στην πλειοψηφία των περιπτώσεων απουσιάζει η ύπαρξη αναλυτικά καταγεγραμμένων καθηκόντων και </w:t>
      </w:r>
      <w:r w:rsidRPr="002335C1">
        <w:rPr>
          <w:rFonts w:ascii="Times New Roman" w:hAnsi="Times New Roman" w:cs="Times New Roman"/>
          <w:sz w:val="24"/>
          <w:szCs w:val="24"/>
        </w:rPr>
        <w:lastRenderedPageBreak/>
        <w:t>αρμοδιοτήτων του προσωπικού, αλλά και ουσιαστική αποτύπωση των διαδικασιών του Φορέα και των υπευθύνων αυτών ώστε να προκύπτει μια σαφής αλυσίδα λογοδοσίας.</w:t>
      </w:r>
    </w:p>
    <w:p w14:paraId="6DD59570" w14:textId="77777777" w:rsidR="002966B7" w:rsidRDefault="002966B7" w:rsidP="00A858F2">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 xml:space="preserve">Αναφορικά με το Σύστημα Εσωτερικού Ελέγχου και Διαχείρισης Κινδύνων των Δημόσιων Φορέων και οργανισμών, </w:t>
      </w:r>
      <w:r w:rsidRPr="002335C1">
        <w:rPr>
          <w:rFonts w:ascii="Times New Roman" w:hAnsi="Times New Roman" w:cs="Times New Roman"/>
          <w:sz w:val="24"/>
          <w:szCs w:val="24"/>
          <w:u w:val="single"/>
        </w:rPr>
        <w:t>η πλειοψηφία των Διοικήσεων δεν έχει προχωρήσει</w:t>
      </w:r>
      <w:r w:rsidRPr="002335C1">
        <w:rPr>
          <w:rFonts w:ascii="Times New Roman" w:hAnsi="Times New Roman" w:cs="Times New Roman"/>
          <w:sz w:val="24"/>
          <w:szCs w:val="24"/>
        </w:rPr>
        <w:t xml:space="preserve"> ακόμα στην σύσταση Επιτροπών Ελέγχου η οποία να εγγυάται την ανεξαρτησία της Μονάδας Εσωτερικού Ελέγχου, να παρακολουθεί τις εργασίες της και να διασφαλίζει την ποιότητα του έργου της. Οι Φορείς και οι οργανισμοί αυτοί συχνά δυσκολεύονται να προχωρήσουν σε πλήρη καταγραφή και συνεχή ενημέρωση των διαδικασιών που αφορούν σε όλες τις λειτουργίες και τις δράσεις τους αλλά και στον εντοπισμό, την αποτίμηση και την καταγραφή των κινδύνων που επηρεάζουν την επίτευξη των στόχων τους καθώς και την επάρκεια του συστήματος διακυβέρνησης (Μητρώο Κινδύνων). Συνεπώς καθίσταται ακόμα πιο δύσκολο να προχωρήσουν στη θεσμοθέτηση και καταγραφή κατάλληλων δικλίδων εντοπισμού και μετριασμού των ανωτέρω κινδύνων.</w:t>
      </w:r>
    </w:p>
    <w:p w14:paraId="3EF70999" w14:textId="77777777" w:rsidR="00A858F2" w:rsidRPr="002335C1" w:rsidRDefault="00A858F2" w:rsidP="00A858F2">
      <w:pPr>
        <w:spacing w:after="120" w:line="288" w:lineRule="auto"/>
        <w:jc w:val="both"/>
        <w:rPr>
          <w:rFonts w:ascii="Times New Roman" w:hAnsi="Times New Roman" w:cs="Times New Roman"/>
          <w:sz w:val="24"/>
          <w:szCs w:val="24"/>
        </w:rPr>
      </w:pPr>
    </w:p>
    <w:p w14:paraId="35D2EADD" w14:textId="77777777" w:rsidR="002966B7" w:rsidRPr="00A858F2" w:rsidRDefault="002966B7" w:rsidP="00A858F2">
      <w:pPr>
        <w:spacing w:after="120" w:line="288" w:lineRule="auto"/>
        <w:jc w:val="both"/>
        <w:rPr>
          <w:rFonts w:ascii="Times New Roman" w:hAnsi="Times New Roman" w:cs="Times New Roman"/>
          <w:b/>
          <w:bCs/>
          <w:sz w:val="24"/>
          <w:szCs w:val="24"/>
          <w:u w:val="single"/>
        </w:rPr>
      </w:pPr>
      <w:r w:rsidRPr="00A858F2">
        <w:rPr>
          <w:rFonts w:ascii="Times New Roman" w:hAnsi="Times New Roman" w:cs="Times New Roman"/>
          <w:b/>
          <w:bCs/>
          <w:sz w:val="24"/>
          <w:szCs w:val="24"/>
          <w:u w:val="single"/>
        </w:rPr>
        <w:t>ΣΥΜΠΕΡΑΣΜΑΤΑ</w:t>
      </w:r>
    </w:p>
    <w:p w14:paraId="7788FFD1" w14:textId="77777777" w:rsidR="002966B7" w:rsidRPr="002335C1" w:rsidRDefault="002966B7" w:rsidP="00A858F2">
      <w:pPr>
        <w:spacing w:after="120" w:line="288" w:lineRule="auto"/>
        <w:jc w:val="both"/>
        <w:rPr>
          <w:rFonts w:ascii="Times New Roman" w:hAnsi="Times New Roman" w:cs="Times New Roman"/>
          <w:b/>
          <w:bCs/>
          <w:sz w:val="24"/>
          <w:szCs w:val="24"/>
        </w:rPr>
      </w:pPr>
      <w:r w:rsidRPr="002335C1">
        <w:rPr>
          <w:rFonts w:ascii="Times New Roman" w:hAnsi="Times New Roman" w:cs="Times New Roman"/>
          <w:sz w:val="24"/>
          <w:szCs w:val="24"/>
        </w:rPr>
        <w:t xml:space="preserve">Ο Εσωτερικός Έλεγχος θεωρείται σήμερα από τους </w:t>
      </w:r>
      <w:r w:rsidRPr="002335C1">
        <w:rPr>
          <w:rFonts w:ascii="Times New Roman" w:hAnsi="Times New Roman" w:cs="Times New Roman"/>
          <w:b/>
          <w:bCs/>
          <w:sz w:val="24"/>
          <w:szCs w:val="24"/>
        </w:rPr>
        <w:t>πιο σημαντικούς παράγοντες διασφάλισης ορθής εταιρικής διακυβέρνησης</w:t>
      </w:r>
      <w:r w:rsidRPr="002335C1">
        <w:rPr>
          <w:rFonts w:ascii="Times New Roman" w:hAnsi="Times New Roman" w:cs="Times New Roman"/>
          <w:sz w:val="24"/>
          <w:szCs w:val="24"/>
        </w:rPr>
        <w:t xml:space="preserve"> και ανήκει πλέον στις βασικές λειτουργίες μιας επιχείρησης εξυπηρετώντας στην </w:t>
      </w:r>
      <w:r w:rsidRPr="002335C1">
        <w:rPr>
          <w:rFonts w:ascii="Times New Roman" w:hAnsi="Times New Roman" w:cs="Times New Roman"/>
          <w:b/>
          <w:bCs/>
          <w:sz w:val="24"/>
          <w:szCs w:val="24"/>
        </w:rPr>
        <w:t>ορθότερη και ορθολογικότερη διαχείριση των κινδύνων και των διαδικασιών ελέγχου της</w:t>
      </w:r>
      <w:r w:rsidRPr="002335C1">
        <w:rPr>
          <w:rFonts w:ascii="Times New Roman" w:hAnsi="Times New Roman" w:cs="Times New Roman"/>
          <w:sz w:val="24"/>
          <w:szCs w:val="24"/>
        </w:rPr>
        <w:t xml:space="preserve">. Μέσω της συνεχούς αξιολόγησης του συστήματος εταιρικής διακυβέρνησης και του συστήματος διαχείρισης κινδύνων, ο Εσωτερικός Έλεγχος </w:t>
      </w:r>
      <w:r w:rsidRPr="002335C1">
        <w:rPr>
          <w:rFonts w:ascii="Times New Roman" w:hAnsi="Times New Roman" w:cs="Times New Roman"/>
          <w:b/>
          <w:bCs/>
          <w:sz w:val="24"/>
          <w:szCs w:val="24"/>
        </w:rPr>
        <w:t>συνδράμει καθοριστικά στην πραγματοποίηση των στόχων μιας επιχείρησης και προσθέτει αξία</w:t>
      </w:r>
      <w:r w:rsidRPr="002335C1">
        <w:rPr>
          <w:rFonts w:ascii="Times New Roman" w:hAnsi="Times New Roman" w:cs="Times New Roman"/>
          <w:sz w:val="24"/>
          <w:szCs w:val="24"/>
        </w:rPr>
        <w:t xml:space="preserve"> καθώς με συνεχή αξιολόγηση των διαδικασιών της και την μελέτη των ενδογενών κινδύνων είναι σε θέση να διενεργεί προτάσεις οι οποίες βελτιώνουν την αποδοτικότητα της. Η ύπαρξη σημαντικών οικονομικών σκανδάλων σε διεθνές και εθνικό επίπεδο αλλά και η πρόσφατη οικονομική κρίση στην χώρα μας ενίσχυσαν σημαντικά την ανάγκη καθιέρωσης και θεσμοθέτησης ενός σαφώς καθορισμένου πλαισίου διακυβέρνησης το οποίο να διασφαλίζει τα συμφέροντα τόσο των μετόχων και των εργαζομένων όσο και των λοιπών ενδιαφερομένων. Συνεπώς, η εταιρική διακυβέρνηση αποτελεί βασικό στοιχείο για τη βελτίωση και εξέλιξη της οικονομικής κατάστασης μιας επιχείρησης και της ενίσχυσης της εμπιστοσύνης των επενδυτών </w:t>
      </w:r>
      <w:r w:rsidRPr="002335C1">
        <w:rPr>
          <w:rFonts w:ascii="Times New Roman" w:hAnsi="Times New Roman" w:cs="Times New Roman"/>
          <w:b/>
          <w:bCs/>
          <w:sz w:val="24"/>
          <w:szCs w:val="24"/>
        </w:rPr>
        <w:t xml:space="preserve">οδηγώντας σε καλύτερη αποδοτικότητα και αποτελεσματικότητα. </w:t>
      </w:r>
    </w:p>
    <w:p w14:paraId="5DCAE577" w14:textId="77777777" w:rsidR="002966B7" w:rsidRPr="002335C1" w:rsidRDefault="002966B7" w:rsidP="00A858F2">
      <w:pPr>
        <w:spacing w:after="120" w:line="288" w:lineRule="auto"/>
        <w:jc w:val="both"/>
        <w:rPr>
          <w:rFonts w:ascii="Times New Roman" w:hAnsi="Times New Roman" w:cs="Times New Roman"/>
          <w:sz w:val="24"/>
          <w:szCs w:val="24"/>
        </w:rPr>
      </w:pPr>
      <w:r w:rsidRPr="002335C1">
        <w:rPr>
          <w:rFonts w:ascii="Times New Roman" w:hAnsi="Times New Roman" w:cs="Times New Roman"/>
          <w:sz w:val="24"/>
          <w:szCs w:val="24"/>
        </w:rPr>
        <w:t xml:space="preserve">Η </w:t>
      </w:r>
      <w:r w:rsidRPr="002335C1">
        <w:rPr>
          <w:rFonts w:ascii="Times New Roman" w:hAnsi="Times New Roman" w:cs="Times New Roman"/>
          <w:b/>
          <w:bCs/>
          <w:sz w:val="24"/>
          <w:szCs w:val="24"/>
        </w:rPr>
        <w:t>καθιέρωση ενός αντίστοιχου πλαισίου χρηστής διακυβέρνησης</w:t>
      </w:r>
      <w:r w:rsidRPr="002335C1">
        <w:rPr>
          <w:rFonts w:ascii="Times New Roman" w:hAnsi="Times New Roman" w:cs="Times New Roman"/>
          <w:sz w:val="24"/>
          <w:szCs w:val="24"/>
        </w:rPr>
        <w:t xml:space="preserve"> θα ήταν ιδιαίτερα ευεργετική και για τους </w:t>
      </w:r>
      <w:r w:rsidRPr="002335C1">
        <w:rPr>
          <w:rFonts w:ascii="Times New Roman" w:hAnsi="Times New Roman" w:cs="Times New Roman"/>
          <w:b/>
          <w:bCs/>
          <w:sz w:val="24"/>
          <w:szCs w:val="24"/>
        </w:rPr>
        <w:t>φορείς και οργανισμούς του Δημόσιου τομέα</w:t>
      </w:r>
      <w:r w:rsidRPr="002335C1">
        <w:rPr>
          <w:rFonts w:ascii="Times New Roman" w:hAnsi="Times New Roman" w:cs="Times New Roman"/>
          <w:sz w:val="24"/>
          <w:szCs w:val="24"/>
        </w:rPr>
        <w:t xml:space="preserve"> αλλά δεν έχει ακόμα καθιερωθεί. Δεδομένου ότι η πλειοψηφία των ανωτέρω Φορέων δεν έχουν προχωρήσει  μέχρι στιγμής σε αναλυτική καταγραφή του Περιβάλλοντος Εσωτερικού Ελέγχου και του Ελεγκτικού Σύμπαντος, οι Μονάδες Εσωτερικού Ελέγχου προσπαθούν να μένουν ενημερωμένες για ότι αφορά τον Φορέα και εν γένει να ενημερώνουν άμεσα την Διοίκηση για οτιδήποτε υποπέσει στην αντίληψη τους καθώς δεν έχει ακόμα γίνει </w:t>
      </w:r>
      <w:r w:rsidRPr="002335C1">
        <w:rPr>
          <w:rFonts w:ascii="Times New Roman" w:hAnsi="Times New Roman" w:cs="Times New Roman"/>
          <w:sz w:val="24"/>
          <w:szCs w:val="24"/>
        </w:rPr>
        <w:lastRenderedPageBreak/>
        <w:t>συστηματική αποτύπωση και αποτίμηση των πιθανών κινδύνων. Δεδομένων των σημαντικών ελλείψεων στους  τομείς που αναφέρθηκαν ανωτέρω, οι εκθέσεις των Μ.Ε.Ε. περιλαμβάνουν κυρίως επισημάνσεις και προτάσεις τόσο για την τον τρόπο δημιουργίας αποτελεσματικών δικλείδων όσο και για τις βάσεις δημιουργίας ενός αποτελεσματικού Συστήματος Εσωτερικού Ελέγχου και Συστήματος Διακυβέρνησης.</w:t>
      </w:r>
    </w:p>
    <w:p w14:paraId="55F5030F" w14:textId="77777777" w:rsidR="002966B7" w:rsidRDefault="002966B7" w:rsidP="00A858F2">
      <w:pPr>
        <w:spacing w:after="120" w:line="288" w:lineRule="auto"/>
        <w:jc w:val="both"/>
        <w:rPr>
          <w:rFonts w:ascii="Times New Roman" w:hAnsi="Times New Roman" w:cs="Times New Roman"/>
          <w:b/>
          <w:bCs/>
          <w:sz w:val="24"/>
          <w:szCs w:val="24"/>
        </w:rPr>
      </w:pPr>
    </w:p>
    <w:p w14:paraId="50377529" w14:textId="77777777" w:rsidR="00482602" w:rsidRPr="002966B7" w:rsidRDefault="00482602" w:rsidP="00A858F2">
      <w:pPr>
        <w:spacing w:after="120" w:line="288" w:lineRule="auto"/>
        <w:jc w:val="both"/>
        <w:rPr>
          <w:rFonts w:ascii="Times New Roman" w:hAnsi="Times New Roman" w:cs="Times New Roman"/>
          <w:sz w:val="24"/>
          <w:szCs w:val="24"/>
        </w:rPr>
      </w:pPr>
    </w:p>
    <w:sectPr w:rsidR="00482602" w:rsidRPr="002966B7" w:rsidSect="007A2688">
      <w:pgSz w:w="11906" w:h="16838"/>
      <w:pgMar w:top="1423" w:right="1558" w:bottom="1440" w:left="180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C8A1F" w14:textId="77777777" w:rsidR="007428E9" w:rsidRDefault="007428E9" w:rsidP="00B35B16">
      <w:pPr>
        <w:spacing w:after="0" w:line="240" w:lineRule="auto"/>
      </w:pPr>
      <w:r>
        <w:separator/>
      </w:r>
    </w:p>
    <w:p w14:paraId="300BAC6B" w14:textId="77777777" w:rsidR="007428E9" w:rsidRDefault="007428E9"/>
  </w:endnote>
  <w:endnote w:type="continuationSeparator" w:id="0">
    <w:p w14:paraId="64D4B1C7" w14:textId="77777777" w:rsidR="007428E9" w:rsidRDefault="007428E9" w:rsidP="00B35B16">
      <w:pPr>
        <w:spacing w:after="0" w:line="240" w:lineRule="auto"/>
      </w:pPr>
      <w:r>
        <w:continuationSeparator/>
      </w:r>
    </w:p>
    <w:p w14:paraId="4EB4FFBA" w14:textId="77777777" w:rsidR="007428E9" w:rsidRDefault="007428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Helvetica Neue">
    <w:altName w:val="Arial"/>
    <w:charset w:val="00"/>
    <w:family w:val="roman"/>
    <w:pitch w:val="default"/>
  </w:font>
  <w:font w:name="Consolas">
    <w:panose1 w:val="020B0609020204030204"/>
    <w:charset w:val="A1"/>
    <w:family w:val="modern"/>
    <w:pitch w:val="fixed"/>
    <w:sig w:usb0="E00006FF" w:usb1="0000FCFF" w:usb2="00000001" w:usb3="00000000" w:csb0="0000019F" w:csb1="00000000"/>
  </w:font>
  <w:font w:name="Georgia">
    <w:panose1 w:val="020405020504050203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4A111" w14:textId="77777777" w:rsidR="00C24E3E" w:rsidRPr="006F6193" w:rsidRDefault="00C24E3E" w:rsidP="00C24E3E">
    <w:pPr>
      <w:pBdr>
        <w:top w:val="single" w:sz="4" w:space="1" w:color="auto"/>
      </w:pBd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i/>
        <w:iCs/>
        <w:color w:val="333333"/>
        <w:sz w:val="20"/>
        <w:szCs w:val="20"/>
      </w:rPr>
      <w:tab/>
    </w: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 xml:space="preserve">Ακαδημίας  6, 10671 Αθήνα,  </w:t>
    </w:r>
  </w:p>
  <w:p w14:paraId="60B3CB56" w14:textId="77777777" w:rsidR="00C24E3E" w:rsidRPr="006F6193" w:rsidRDefault="00C24E3E" w:rsidP="00C24E3E">
    <w:pP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color w:val="333333"/>
        <w:sz w:val="20"/>
        <w:szCs w:val="20"/>
      </w:rPr>
      <w:tab/>
    </w:r>
    <w:r w:rsidRPr="006F6193">
      <w:rPr>
        <w:rFonts w:ascii="Times New Roman" w:eastAsia="Times New Roman" w:hAnsi="Times New Roman" w:cs="Times New Roman"/>
        <w:b/>
        <w:bCs/>
        <w:color w:val="333333"/>
        <w:sz w:val="20"/>
        <w:szCs w:val="20"/>
      </w:rPr>
      <w:t>Τηλ: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r>
      <w:rPr>
        <w:rFonts w:ascii="Times New Roman" w:eastAsia="Times New Roman" w:hAnsi="Times New Roman" w:cs="Times New Roman"/>
        <w:b/>
        <w:bCs/>
        <w:color w:val="333333"/>
        <w:sz w:val="20"/>
        <w:szCs w:val="20"/>
      </w:rPr>
      <w:tab/>
    </w:r>
    <w:r w:rsidRPr="00C95A90">
      <w:rPr>
        <w:rFonts w:ascii="Times New Roman" w:eastAsia="Times New Roman" w:hAnsi="Times New Roman" w:cs="Times New Roman"/>
        <w:b/>
        <w:bCs/>
        <w:color w:val="333333"/>
        <w:sz w:val="20"/>
        <w:szCs w:val="20"/>
      </w:rPr>
      <w:fldChar w:fldCharType="begin"/>
    </w:r>
    <w:r w:rsidRPr="00C95A90">
      <w:rPr>
        <w:rFonts w:ascii="Times New Roman" w:eastAsia="Times New Roman" w:hAnsi="Times New Roman" w:cs="Times New Roman"/>
        <w:b/>
        <w:bCs/>
        <w:color w:val="333333"/>
        <w:sz w:val="20"/>
        <w:szCs w:val="20"/>
      </w:rPr>
      <w:instrText>PAGE   \* MERGEFORMAT</w:instrText>
    </w:r>
    <w:r w:rsidRPr="00C95A90">
      <w:rPr>
        <w:rFonts w:ascii="Times New Roman" w:eastAsia="Times New Roman" w:hAnsi="Times New Roman" w:cs="Times New Roman"/>
        <w:b/>
        <w:bCs/>
        <w:color w:val="333333"/>
        <w:sz w:val="20"/>
        <w:szCs w:val="20"/>
      </w:rPr>
      <w:fldChar w:fldCharType="separate"/>
    </w:r>
    <w:r>
      <w:rPr>
        <w:rFonts w:ascii="Times New Roman" w:eastAsia="Times New Roman" w:hAnsi="Times New Roman" w:cs="Times New Roman"/>
        <w:b/>
        <w:bCs/>
        <w:color w:val="333333"/>
        <w:sz w:val="20"/>
        <w:szCs w:val="20"/>
      </w:rPr>
      <w:t>2</w:t>
    </w:r>
    <w:r w:rsidRPr="00C95A90">
      <w:rPr>
        <w:rFonts w:ascii="Times New Roman" w:eastAsia="Times New Roman" w:hAnsi="Times New Roman" w:cs="Times New Roman"/>
        <w:b/>
        <w:bCs/>
        <w:color w:val="333333"/>
        <w:sz w:val="20"/>
        <w:szCs w:val="20"/>
      </w:rPr>
      <w:fldChar w:fldCharType="end"/>
    </w:r>
  </w:p>
  <w:p w14:paraId="6C8C8AFE" w14:textId="77777777" w:rsidR="00C24E3E" w:rsidRDefault="00C24E3E" w:rsidP="00C24E3E">
    <w:pPr>
      <w:tabs>
        <w:tab w:val="center" w:pos="4153"/>
        <w:tab w:val="right" w:pos="8306"/>
      </w:tabs>
      <w:spacing w:after="0" w:line="240" w:lineRule="auto"/>
      <w:rPr>
        <w:rFonts w:ascii="Times New Roman" w:eastAsia="Times New Roman" w:hAnsi="Times New Roman" w:cs="Times New Roman"/>
        <w:b/>
        <w:bCs/>
        <w:color w:val="0000FF"/>
        <w:sz w:val="20"/>
        <w:szCs w:val="20"/>
        <w:u w:val="single"/>
        <w:lang w:val="de-DE"/>
      </w:rPr>
    </w:pPr>
    <w:r>
      <w:rPr>
        <w:rFonts w:ascii="Times New Roman" w:eastAsia="Times New Roman" w:hAnsi="Times New Roman" w:cs="Times New Roman"/>
        <w:b/>
        <w:bCs/>
        <w:sz w:val="20"/>
        <w:szCs w:val="20"/>
        <w:lang w:val="de-DE"/>
      </w:rPr>
      <w:tab/>
    </w: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hyperlink r:id="rId1" w:history="1">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proofErr w:type="spellStart"/>
      <w:r w:rsidRPr="006F6193">
        <w:rPr>
          <w:rFonts w:ascii="Times New Roman" w:eastAsia="Times New Roman" w:hAnsi="Times New Roman" w:cs="Times New Roman"/>
          <w:b/>
          <w:bCs/>
          <w:color w:val="0000FF"/>
          <w:sz w:val="20"/>
          <w:szCs w:val="20"/>
          <w:u w:val="single"/>
          <w:lang w:val="de-DE"/>
        </w:rPr>
        <w:t>gr</w:t>
      </w:r>
      <w:proofErr w:type="spellEnd"/>
    </w:hyperlink>
  </w:p>
  <w:p w14:paraId="3784F2D3" w14:textId="3CBEEB46" w:rsidR="00502C43" w:rsidRPr="00C24E3E" w:rsidRDefault="00502C43" w:rsidP="00C24E3E">
    <w:pPr>
      <w:pStyle w:val="a5"/>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3421" w14:textId="20C448BF" w:rsidR="00C24E3E" w:rsidRPr="006F6193" w:rsidRDefault="00C24E3E" w:rsidP="00C24E3E">
    <w:pPr>
      <w:pBdr>
        <w:top w:val="single" w:sz="4" w:space="1" w:color="auto"/>
      </w:pBd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Ακαδημίας  6, 10671 Αθήνα,</w:t>
    </w:r>
  </w:p>
  <w:p w14:paraId="7CEC924D" w14:textId="2527808F" w:rsidR="00C24E3E" w:rsidRPr="006F6193"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r w:rsidRPr="006F6193">
      <w:rPr>
        <w:rFonts w:ascii="Times New Roman" w:eastAsia="Times New Roman" w:hAnsi="Times New Roman" w:cs="Times New Roman"/>
        <w:b/>
        <w:bCs/>
        <w:color w:val="333333"/>
        <w:sz w:val="20"/>
        <w:szCs w:val="20"/>
      </w:rPr>
      <w:t>Τηλ: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p>
  <w:p w14:paraId="1AB59CA5" w14:textId="777BB820" w:rsidR="00C24E3E" w:rsidRPr="004375F2"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Cs w:val="24"/>
        <w:lang w:val="en-US"/>
      </w:rPr>
    </w:pP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hyperlink r:id="rId1" w:history="1">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proofErr w:type="spellStart"/>
      <w:r w:rsidRPr="006F6193">
        <w:rPr>
          <w:rFonts w:ascii="Times New Roman" w:eastAsia="Times New Roman" w:hAnsi="Times New Roman" w:cs="Times New Roman"/>
          <w:b/>
          <w:bCs/>
          <w:color w:val="0000FF"/>
          <w:sz w:val="20"/>
          <w:szCs w:val="20"/>
          <w:u w:val="single"/>
          <w:lang w:val="de-DE"/>
        </w:rPr>
        <w:t>gr</w:t>
      </w:r>
      <w:proofErr w:type="spellEnd"/>
    </w:hyperlink>
  </w:p>
  <w:p w14:paraId="6184BFCC" w14:textId="77777777" w:rsidR="00C24E3E" w:rsidRPr="00C24E3E" w:rsidRDefault="00C24E3E" w:rsidP="00C24E3E">
    <w:pPr>
      <w:pStyle w:val="a5"/>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AC4C3" w14:textId="77777777" w:rsidR="007428E9" w:rsidRDefault="007428E9" w:rsidP="00B35B16">
      <w:pPr>
        <w:spacing w:after="0" w:line="240" w:lineRule="auto"/>
      </w:pPr>
      <w:r>
        <w:separator/>
      </w:r>
    </w:p>
    <w:p w14:paraId="52BB4CF9" w14:textId="77777777" w:rsidR="007428E9" w:rsidRDefault="007428E9"/>
  </w:footnote>
  <w:footnote w:type="continuationSeparator" w:id="0">
    <w:p w14:paraId="5EFA404E" w14:textId="77777777" w:rsidR="007428E9" w:rsidRDefault="007428E9" w:rsidP="00B35B16">
      <w:pPr>
        <w:spacing w:after="0" w:line="240" w:lineRule="auto"/>
      </w:pPr>
      <w:r>
        <w:continuationSeparator/>
      </w:r>
    </w:p>
    <w:p w14:paraId="4181DE1B" w14:textId="77777777" w:rsidR="007428E9" w:rsidRDefault="007428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B5B6" w14:textId="7CA2D686" w:rsidR="00863901" w:rsidRPr="005A3BFB" w:rsidRDefault="00863901" w:rsidP="007A2688">
    <w:pPr>
      <w:pStyle w:val="a4"/>
      <w:pBdr>
        <w:bottom w:val="single" w:sz="4" w:space="1" w:color="auto"/>
      </w:pBdr>
      <w:spacing w:after="120"/>
      <w:ind w:right="91"/>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ΕΠΙΜΕΛΗΤΗΡΙΩΝΕΛΛΑΔΟΣ</w:t>
    </w:r>
    <w:r>
      <w:rPr>
        <w:rFonts w:ascii="Times New Roman" w:hAnsi="Times New Roman" w:cs="Times New Roman"/>
        <w:b/>
        <w:bCs/>
        <w:color w:val="4F81BD"/>
        <w:spacing w:val="20"/>
        <w:sz w:val="28"/>
        <w:szCs w:val="2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3B25" w14:textId="77777777" w:rsidR="007A2688" w:rsidRPr="005A3BFB" w:rsidRDefault="007A2688" w:rsidP="007A2688">
    <w:pPr>
      <w:pStyle w:val="a4"/>
      <w:pBdr>
        <w:bottom w:val="single" w:sz="4" w:space="1" w:color="auto"/>
      </w:pBdr>
      <w:ind w:right="88"/>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ΕΠΙΜΕΛΗΤΗΡΙΩΝΕΛΛΑΔΟΣ</w:t>
    </w:r>
    <w:r>
      <w:rPr>
        <w:rFonts w:ascii="Times New Roman" w:hAnsi="Times New Roman" w:cs="Times New Roman"/>
        <w:b/>
        <w:bCs/>
        <w:color w:val="4F81BD"/>
        <w:spacing w:val="20"/>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41DD8"/>
    <w:lvl w:ilvl="0">
      <w:start w:val="1"/>
      <w:numFmt w:val="bullet"/>
      <w:pStyle w:val="a"/>
      <w:lvlText w:val=""/>
      <w:lvlJc w:val="left"/>
      <w:pPr>
        <w:tabs>
          <w:tab w:val="num" w:pos="349"/>
        </w:tabs>
        <w:ind w:left="349" w:hanging="360"/>
      </w:pPr>
      <w:rPr>
        <w:rFonts w:ascii="Symbol" w:hAnsi="Symbol" w:hint="default"/>
      </w:rPr>
    </w:lvl>
  </w:abstractNum>
  <w:abstractNum w:abstractNumId="1" w15:restartNumberingAfterBreak="0">
    <w:nsid w:val="063A1850"/>
    <w:multiLevelType w:val="hybridMultilevel"/>
    <w:tmpl w:val="89F027EC"/>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406AF6"/>
    <w:multiLevelType w:val="hybridMultilevel"/>
    <w:tmpl w:val="30D6C9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AE1233"/>
    <w:multiLevelType w:val="multilevel"/>
    <w:tmpl w:val="B240BCCE"/>
    <w:lvl w:ilvl="0">
      <w:start w:val="1"/>
      <w:numFmt w:val="decimal"/>
      <w:lvlText w:val="%1."/>
      <w:lvlJc w:val="left"/>
      <w:pPr>
        <w:ind w:left="502" w:hanging="360"/>
      </w:pPr>
      <w:rPr>
        <w:rFonts w:hint="default"/>
      </w:rPr>
    </w:lvl>
    <w:lvl w:ilvl="1">
      <w:start w:val="1"/>
      <w:numFmt w:val="decimal"/>
      <w:isLgl/>
      <w:lvlText w:val="%1.%2"/>
      <w:lvlJc w:val="left"/>
      <w:pPr>
        <w:ind w:left="572" w:hanging="360"/>
      </w:pPr>
      <w:rPr>
        <w:rFonts w:hint="default"/>
      </w:rPr>
    </w:lvl>
    <w:lvl w:ilvl="2">
      <w:start w:val="1"/>
      <w:numFmt w:val="decimal"/>
      <w:isLgl/>
      <w:lvlText w:val="%1.%2.%3"/>
      <w:lvlJc w:val="left"/>
      <w:pPr>
        <w:ind w:left="1002" w:hanging="720"/>
      </w:pPr>
      <w:rPr>
        <w:rFonts w:hint="default"/>
      </w:rPr>
    </w:lvl>
    <w:lvl w:ilvl="3">
      <w:start w:val="1"/>
      <w:numFmt w:val="decimal"/>
      <w:isLgl/>
      <w:lvlText w:val="%4."/>
      <w:lvlJc w:val="left"/>
      <w:pPr>
        <w:ind w:left="1072" w:hanging="720"/>
      </w:pPr>
      <w:rPr>
        <w:rFonts w:ascii="Arial" w:eastAsia="Times New Roman" w:hAnsi="Arial" w:cs="Arial"/>
      </w:rPr>
    </w:lvl>
    <w:lvl w:ilvl="4">
      <w:start w:val="1"/>
      <w:numFmt w:val="decimal"/>
      <w:isLgl/>
      <w:lvlText w:val="%1.%2.%3.%4.%5"/>
      <w:lvlJc w:val="left"/>
      <w:pPr>
        <w:ind w:left="1502" w:hanging="1080"/>
      </w:pPr>
      <w:rPr>
        <w:rFonts w:hint="default"/>
      </w:rPr>
    </w:lvl>
    <w:lvl w:ilvl="5">
      <w:start w:val="1"/>
      <w:numFmt w:val="decimal"/>
      <w:isLgl/>
      <w:lvlText w:val="%1.%2.%3.%4.%5.%6"/>
      <w:lvlJc w:val="left"/>
      <w:pPr>
        <w:ind w:left="157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72" w:hanging="1440"/>
      </w:pPr>
      <w:rPr>
        <w:rFonts w:hint="default"/>
      </w:rPr>
    </w:lvl>
    <w:lvl w:ilvl="8">
      <w:start w:val="1"/>
      <w:numFmt w:val="decimal"/>
      <w:lvlText w:val="%9."/>
      <w:lvlJc w:val="left"/>
      <w:pPr>
        <w:ind w:left="927" w:hanging="360"/>
      </w:pPr>
      <w:rPr>
        <w:color w:val="auto"/>
      </w:rPr>
    </w:lvl>
  </w:abstractNum>
  <w:abstractNum w:abstractNumId="4" w15:restartNumberingAfterBreak="0">
    <w:nsid w:val="0B71308D"/>
    <w:multiLevelType w:val="hybridMultilevel"/>
    <w:tmpl w:val="883CD2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F95692"/>
    <w:multiLevelType w:val="hybridMultilevel"/>
    <w:tmpl w:val="EE280708"/>
    <w:lvl w:ilvl="0" w:tplc="5240E12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35E4383"/>
    <w:multiLevelType w:val="hybridMultilevel"/>
    <w:tmpl w:val="72B6091E"/>
    <w:styleLink w:val="5"/>
    <w:lvl w:ilvl="0" w:tplc="3AAC22A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FEE8F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DD287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7845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A83BE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EE87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0483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02CF3D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F8C86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6532095"/>
    <w:multiLevelType w:val="hybridMultilevel"/>
    <w:tmpl w:val="5C823AB2"/>
    <w:styleLink w:val="3"/>
    <w:lvl w:ilvl="0" w:tplc="1DC452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A30C48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70B2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E2A96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230E0F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5A03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E83B5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CEE063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12E5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7EA173C"/>
    <w:multiLevelType w:val="hybridMultilevel"/>
    <w:tmpl w:val="FEEC57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93253E3"/>
    <w:multiLevelType w:val="hybridMultilevel"/>
    <w:tmpl w:val="D1E4D92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99D47DC"/>
    <w:multiLevelType w:val="hybridMultilevel"/>
    <w:tmpl w:val="1DFC9E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A6250BC"/>
    <w:multiLevelType w:val="hybridMultilevel"/>
    <w:tmpl w:val="0FA0AA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C9A7C34"/>
    <w:multiLevelType w:val="hybridMultilevel"/>
    <w:tmpl w:val="58CABA3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EB123CD"/>
    <w:multiLevelType w:val="hybridMultilevel"/>
    <w:tmpl w:val="5848528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42E393C"/>
    <w:multiLevelType w:val="multilevel"/>
    <w:tmpl w:val="07908C20"/>
    <w:styleLink w:val="WWNum14"/>
    <w:lvl w:ilvl="0">
      <w:numFmt w:val="bullet"/>
      <w:lvlText w:val=""/>
      <w:lvlJc w:val="left"/>
      <w:pPr>
        <w:ind w:left="1033" w:hanging="360"/>
      </w:pPr>
      <w:rPr>
        <w:rFonts w:ascii="Wingdings" w:hAnsi="Wingdings"/>
        <w:color w:val="auto"/>
      </w:rPr>
    </w:lvl>
    <w:lvl w:ilvl="1">
      <w:numFmt w:val="bullet"/>
      <w:lvlText w:val="o"/>
      <w:lvlJc w:val="left"/>
      <w:pPr>
        <w:ind w:left="1753" w:hanging="360"/>
      </w:pPr>
      <w:rPr>
        <w:rFonts w:ascii="Courier New" w:hAnsi="Courier New" w:cs="Courier New"/>
      </w:rPr>
    </w:lvl>
    <w:lvl w:ilvl="2">
      <w:numFmt w:val="bullet"/>
      <w:lvlText w:val=""/>
      <w:lvlJc w:val="left"/>
      <w:pPr>
        <w:ind w:left="2473" w:hanging="360"/>
      </w:pPr>
      <w:rPr>
        <w:rFonts w:ascii="Wingdings" w:hAnsi="Wingdings"/>
      </w:rPr>
    </w:lvl>
    <w:lvl w:ilvl="3">
      <w:numFmt w:val="bullet"/>
      <w:lvlText w:val=""/>
      <w:lvlJc w:val="left"/>
      <w:pPr>
        <w:ind w:left="3193" w:hanging="360"/>
      </w:pPr>
      <w:rPr>
        <w:rFonts w:ascii="Symbol" w:hAnsi="Symbol"/>
      </w:rPr>
    </w:lvl>
    <w:lvl w:ilvl="4">
      <w:numFmt w:val="bullet"/>
      <w:lvlText w:val="o"/>
      <w:lvlJc w:val="left"/>
      <w:pPr>
        <w:ind w:left="3913" w:hanging="360"/>
      </w:pPr>
      <w:rPr>
        <w:rFonts w:ascii="Courier New" w:hAnsi="Courier New" w:cs="Courier New"/>
      </w:rPr>
    </w:lvl>
    <w:lvl w:ilvl="5">
      <w:numFmt w:val="bullet"/>
      <w:lvlText w:val=""/>
      <w:lvlJc w:val="left"/>
      <w:pPr>
        <w:ind w:left="4633" w:hanging="360"/>
      </w:pPr>
      <w:rPr>
        <w:rFonts w:ascii="Wingdings" w:hAnsi="Wingdings"/>
      </w:rPr>
    </w:lvl>
    <w:lvl w:ilvl="6">
      <w:numFmt w:val="bullet"/>
      <w:lvlText w:val=""/>
      <w:lvlJc w:val="left"/>
      <w:pPr>
        <w:ind w:left="5353" w:hanging="360"/>
      </w:pPr>
      <w:rPr>
        <w:rFonts w:ascii="Symbol" w:hAnsi="Symbol"/>
      </w:rPr>
    </w:lvl>
    <w:lvl w:ilvl="7">
      <w:numFmt w:val="bullet"/>
      <w:lvlText w:val="o"/>
      <w:lvlJc w:val="left"/>
      <w:pPr>
        <w:ind w:left="6073" w:hanging="360"/>
      </w:pPr>
      <w:rPr>
        <w:rFonts w:ascii="Courier New" w:hAnsi="Courier New" w:cs="Courier New"/>
      </w:rPr>
    </w:lvl>
    <w:lvl w:ilvl="8">
      <w:numFmt w:val="bullet"/>
      <w:lvlText w:val=""/>
      <w:lvlJc w:val="left"/>
      <w:pPr>
        <w:ind w:left="6793" w:hanging="360"/>
      </w:pPr>
      <w:rPr>
        <w:rFonts w:ascii="Wingdings" w:hAnsi="Wingdings"/>
      </w:rPr>
    </w:lvl>
  </w:abstractNum>
  <w:abstractNum w:abstractNumId="15" w15:restartNumberingAfterBreak="0">
    <w:nsid w:val="265262DC"/>
    <w:multiLevelType w:val="hybridMultilevel"/>
    <w:tmpl w:val="A7CA5C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99332EC"/>
    <w:multiLevelType w:val="hybridMultilevel"/>
    <w:tmpl w:val="8E42E7D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A692E31"/>
    <w:multiLevelType w:val="multilevel"/>
    <w:tmpl w:val="9338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E42523"/>
    <w:multiLevelType w:val="hybridMultilevel"/>
    <w:tmpl w:val="E79E45B2"/>
    <w:styleLink w:val="1"/>
    <w:lvl w:ilvl="0" w:tplc="08C4874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E02295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6C67D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EBC47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4ACF20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4C24E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3A0CA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87842F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0522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9" w15:restartNumberingAfterBreak="0">
    <w:nsid w:val="353B529C"/>
    <w:multiLevelType w:val="hybridMultilevel"/>
    <w:tmpl w:val="C66E17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726766B"/>
    <w:multiLevelType w:val="hybridMultilevel"/>
    <w:tmpl w:val="629EBFF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C152F86"/>
    <w:multiLevelType w:val="hybridMultilevel"/>
    <w:tmpl w:val="EA9CFF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0A30024"/>
    <w:multiLevelType w:val="hybridMultilevel"/>
    <w:tmpl w:val="328A4F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331020C"/>
    <w:multiLevelType w:val="hybridMultilevel"/>
    <w:tmpl w:val="5DAC19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4BE6C2A"/>
    <w:multiLevelType w:val="hybridMultilevel"/>
    <w:tmpl w:val="960A8516"/>
    <w:lvl w:ilvl="0" w:tplc="4370A5B0">
      <w:start w:val="1"/>
      <w:numFmt w:val="lowerRoman"/>
      <w:lvlText w:val="%1)"/>
      <w:lvlJc w:val="left"/>
      <w:pPr>
        <w:ind w:left="720" w:hanging="360"/>
      </w:pPr>
      <w:rPr>
        <w:rFonts w:ascii="Calibri" w:eastAsia="Calibri" w:hAnsi="Calibri" w:cs="Calibri" w:hint="default"/>
        <w:b w:val="0"/>
        <w:bCs w:val="0"/>
        <w:i w:val="0"/>
        <w:iCs w:val="0"/>
        <w:spacing w:val="-1"/>
        <w:w w:val="100"/>
        <w:sz w:val="22"/>
        <w:szCs w:val="22"/>
        <w:lang w:val="el-GR" w:eastAsia="en-US" w:bidi="ar-SA"/>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56F07AA"/>
    <w:multiLevelType w:val="hybridMultilevel"/>
    <w:tmpl w:val="85E651DA"/>
    <w:styleLink w:val="4"/>
    <w:lvl w:ilvl="0" w:tplc="8C9E26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C275E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E92A3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84C5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C80A6E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27495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88E5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A0C920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22CC7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6A14F66"/>
    <w:multiLevelType w:val="hybridMultilevel"/>
    <w:tmpl w:val="6B504C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A101D28"/>
    <w:multiLevelType w:val="multilevel"/>
    <w:tmpl w:val="81E0DBA0"/>
    <w:styleLink w:val="WWNum13"/>
    <w:lvl w:ilvl="0">
      <w:start w:val="1"/>
      <w:numFmt w:val="decimal"/>
      <w:lvlText w:val="%1."/>
      <w:lvlJc w:val="left"/>
      <w:pPr>
        <w:ind w:left="720" w:hanging="360"/>
      </w:pPr>
    </w:lvl>
    <w:lvl w:ilvl="1">
      <w:start w:val="4"/>
      <w:numFmt w:val="decimal"/>
      <w:lvlText w:val="%1.%2."/>
      <w:lvlJc w:val="left"/>
      <w:pPr>
        <w:ind w:left="720" w:hanging="360"/>
      </w:pPr>
      <w:rPr>
        <w:b/>
        <w:strike w:val="0"/>
        <w:dstrike w:val="0"/>
        <w:color w:val="00000A"/>
        <w:u w:val="none"/>
        <w:effect w:val="none"/>
      </w:rPr>
    </w:lvl>
    <w:lvl w:ilvl="2">
      <w:start w:val="1"/>
      <w:numFmt w:val="decimal"/>
      <w:lvlText w:val="%1.%2.%3."/>
      <w:lvlJc w:val="left"/>
      <w:pPr>
        <w:ind w:left="1080" w:hanging="720"/>
      </w:pPr>
      <w:rPr>
        <w:b/>
        <w:color w:val="00000A"/>
        <w:u w:val="single"/>
      </w:rPr>
    </w:lvl>
    <w:lvl w:ilvl="3">
      <w:start w:val="1"/>
      <w:numFmt w:val="decimal"/>
      <w:lvlText w:val="%1.%2.%3.%4."/>
      <w:lvlJc w:val="left"/>
      <w:pPr>
        <w:ind w:left="1080" w:hanging="720"/>
      </w:pPr>
      <w:rPr>
        <w:b/>
        <w:color w:val="00000A"/>
        <w:u w:val="single"/>
      </w:rPr>
    </w:lvl>
    <w:lvl w:ilvl="4">
      <w:start w:val="1"/>
      <w:numFmt w:val="decimal"/>
      <w:lvlText w:val="%1.%2.%3.%4.%5."/>
      <w:lvlJc w:val="left"/>
      <w:pPr>
        <w:ind w:left="1440" w:hanging="1080"/>
      </w:pPr>
      <w:rPr>
        <w:b/>
        <w:color w:val="00000A"/>
        <w:u w:val="single"/>
      </w:rPr>
    </w:lvl>
    <w:lvl w:ilvl="5">
      <w:start w:val="1"/>
      <w:numFmt w:val="decimal"/>
      <w:lvlText w:val="%1.%2.%3.%4.%5.%6."/>
      <w:lvlJc w:val="left"/>
      <w:pPr>
        <w:ind w:left="1440" w:hanging="1080"/>
      </w:pPr>
      <w:rPr>
        <w:b/>
        <w:color w:val="00000A"/>
        <w:u w:val="single"/>
      </w:rPr>
    </w:lvl>
    <w:lvl w:ilvl="6">
      <w:start w:val="1"/>
      <w:numFmt w:val="decimal"/>
      <w:lvlText w:val="%1.%2.%3.%4.%5.%6.%7."/>
      <w:lvlJc w:val="left"/>
      <w:pPr>
        <w:ind w:left="1800" w:hanging="1440"/>
      </w:pPr>
      <w:rPr>
        <w:b/>
        <w:color w:val="00000A"/>
        <w:u w:val="single"/>
      </w:rPr>
    </w:lvl>
    <w:lvl w:ilvl="7">
      <w:start w:val="1"/>
      <w:numFmt w:val="decimal"/>
      <w:lvlText w:val="%1.%2.%3.%4.%5.%6.%7.%8."/>
      <w:lvlJc w:val="left"/>
      <w:pPr>
        <w:ind w:left="1800" w:hanging="1440"/>
      </w:pPr>
      <w:rPr>
        <w:b/>
        <w:color w:val="00000A"/>
        <w:u w:val="single"/>
      </w:rPr>
    </w:lvl>
    <w:lvl w:ilvl="8">
      <w:start w:val="1"/>
      <w:numFmt w:val="decimal"/>
      <w:lvlText w:val="%1.%2.%3.%4.%5.%6.%7.%8.%9."/>
      <w:lvlJc w:val="left"/>
      <w:pPr>
        <w:ind w:left="2160" w:hanging="1800"/>
      </w:pPr>
      <w:rPr>
        <w:b/>
        <w:color w:val="00000A"/>
        <w:u w:val="single"/>
      </w:rPr>
    </w:lvl>
  </w:abstractNum>
  <w:abstractNum w:abstractNumId="28" w15:restartNumberingAfterBreak="0">
    <w:nsid w:val="4DFC08D4"/>
    <w:multiLevelType w:val="hybridMultilevel"/>
    <w:tmpl w:val="C3C4AE1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FA813E7"/>
    <w:multiLevelType w:val="hybridMultilevel"/>
    <w:tmpl w:val="F39ADC5A"/>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7274090"/>
    <w:multiLevelType w:val="hybridMultilevel"/>
    <w:tmpl w:val="4202DCD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9DA4A98"/>
    <w:multiLevelType w:val="hybridMultilevel"/>
    <w:tmpl w:val="811A2A28"/>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A757F40"/>
    <w:multiLevelType w:val="hybridMultilevel"/>
    <w:tmpl w:val="4AFE748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B1F7812"/>
    <w:multiLevelType w:val="hybridMultilevel"/>
    <w:tmpl w:val="37E22C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DE2604D"/>
    <w:multiLevelType w:val="hybridMultilevel"/>
    <w:tmpl w:val="688A1620"/>
    <w:styleLink w:val="2"/>
    <w:lvl w:ilvl="0" w:tplc="2B42D54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C4C13E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8502C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8AC1EB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EC293A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B423B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07C2A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88863B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A025C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5" w15:restartNumberingAfterBreak="0">
    <w:nsid w:val="5F2A2895"/>
    <w:multiLevelType w:val="multilevel"/>
    <w:tmpl w:val="45DEB75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Style2"/>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10703B6"/>
    <w:multiLevelType w:val="hybridMultilevel"/>
    <w:tmpl w:val="8B0CF36C"/>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25C29BA"/>
    <w:multiLevelType w:val="hybridMultilevel"/>
    <w:tmpl w:val="EFA07C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B7364C3"/>
    <w:multiLevelType w:val="hybridMultilevel"/>
    <w:tmpl w:val="C09C99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F1F43E9"/>
    <w:multiLevelType w:val="hybridMultilevel"/>
    <w:tmpl w:val="F3C80128"/>
    <w:lvl w:ilvl="0" w:tplc="4370A5B0">
      <w:start w:val="1"/>
      <w:numFmt w:val="lowerRoman"/>
      <w:lvlText w:val="%1)"/>
      <w:lvlJc w:val="left"/>
      <w:pPr>
        <w:ind w:left="720" w:hanging="360"/>
      </w:pPr>
      <w:rPr>
        <w:rFonts w:ascii="Calibri" w:eastAsia="Calibri" w:hAnsi="Calibri" w:cs="Calibri" w:hint="default"/>
        <w:b w:val="0"/>
        <w:bCs w:val="0"/>
        <w:i w:val="0"/>
        <w:iCs w:val="0"/>
        <w:spacing w:val="-1"/>
        <w:w w:val="100"/>
        <w:sz w:val="22"/>
        <w:szCs w:val="22"/>
        <w:lang w:val="el-GR" w:eastAsia="en-US" w:bidi="ar-SA"/>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14001DE"/>
    <w:multiLevelType w:val="hybridMultilevel"/>
    <w:tmpl w:val="AD72980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2E22557"/>
    <w:multiLevelType w:val="hybridMultilevel"/>
    <w:tmpl w:val="4B56AEE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720529B"/>
    <w:multiLevelType w:val="hybridMultilevel"/>
    <w:tmpl w:val="A70AB32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9126EBD"/>
    <w:multiLevelType w:val="hybridMultilevel"/>
    <w:tmpl w:val="BEE873C0"/>
    <w:lvl w:ilvl="0" w:tplc="4370A5B0">
      <w:start w:val="1"/>
      <w:numFmt w:val="lowerRoman"/>
      <w:lvlText w:val="%1)"/>
      <w:lvlJc w:val="left"/>
      <w:pPr>
        <w:ind w:left="720" w:hanging="360"/>
      </w:pPr>
      <w:rPr>
        <w:rFonts w:ascii="Calibri" w:eastAsia="Calibri" w:hAnsi="Calibri" w:cs="Calibri" w:hint="default"/>
        <w:b w:val="0"/>
        <w:bCs w:val="0"/>
        <w:i w:val="0"/>
        <w:iCs w:val="0"/>
        <w:spacing w:val="-1"/>
        <w:w w:val="100"/>
        <w:sz w:val="22"/>
        <w:szCs w:val="22"/>
        <w:lang w:val="el-GR"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F0127CD"/>
    <w:multiLevelType w:val="hybridMultilevel"/>
    <w:tmpl w:val="2FFAEBD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29055806">
    <w:abstractNumId w:val="25"/>
  </w:num>
  <w:num w:numId="2" w16cid:durableId="371459961">
    <w:abstractNumId w:val="6"/>
  </w:num>
  <w:num w:numId="3" w16cid:durableId="1357344649">
    <w:abstractNumId w:val="18"/>
  </w:num>
  <w:num w:numId="4" w16cid:durableId="165287051">
    <w:abstractNumId w:val="34"/>
  </w:num>
  <w:num w:numId="5" w16cid:durableId="1918586719">
    <w:abstractNumId w:val="7"/>
  </w:num>
  <w:num w:numId="6" w16cid:durableId="506793637">
    <w:abstractNumId w:val="0"/>
  </w:num>
  <w:num w:numId="7" w16cid:durableId="845632189">
    <w:abstractNumId w:val="27"/>
  </w:num>
  <w:num w:numId="8" w16cid:durableId="312219290">
    <w:abstractNumId w:val="14"/>
  </w:num>
  <w:num w:numId="9" w16cid:durableId="1597982927">
    <w:abstractNumId w:val="3"/>
  </w:num>
  <w:num w:numId="10" w16cid:durableId="525680824">
    <w:abstractNumId w:val="35"/>
  </w:num>
  <w:num w:numId="11" w16cid:durableId="1834561003">
    <w:abstractNumId w:val="15"/>
  </w:num>
  <w:num w:numId="12" w16cid:durableId="645939002">
    <w:abstractNumId w:val="43"/>
  </w:num>
  <w:num w:numId="13" w16cid:durableId="153617672">
    <w:abstractNumId w:val="24"/>
  </w:num>
  <w:num w:numId="14" w16cid:durableId="1644698901">
    <w:abstractNumId w:val="39"/>
  </w:num>
  <w:num w:numId="15" w16cid:durableId="546571500">
    <w:abstractNumId w:val="44"/>
  </w:num>
  <w:num w:numId="16" w16cid:durableId="611859116">
    <w:abstractNumId w:val="4"/>
  </w:num>
  <w:num w:numId="17" w16cid:durableId="1252741633">
    <w:abstractNumId w:val="26"/>
  </w:num>
  <w:num w:numId="18" w16cid:durableId="533034281">
    <w:abstractNumId w:val="37"/>
  </w:num>
  <w:num w:numId="19" w16cid:durableId="135996382">
    <w:abstractNumId w:val="17"/>
  </w:num>
  <w:num w:numId="20" w16cid:durableId="1960183006">
    <w:abstractNumId w:val="42"/>
  </w:num>
  <w:num w:numId="21" w16cid:durableId="1867936996">
    <w:abstractNumId w:val="13"/>
  </w:num>
  <w:num w:numId="22" w16cid:durableId="487333736">
    <w:abstractNumId w:val="9"/>
  </w:num>
  <w:num w:numId="23" w16cid:durableId="2120903748">
    <w:abstractNumId w:val="22"/>
  </w:num>
  <w:num w:numId="24" w16cid:durableId="1950114276">
    <w:abstractNumId w:val="16"/>
  </w:num>
  <w:num w:numId="25" w16cid:durableId="106589229">
    <w:abstractNumId w:val="30"/>
  </w:num>
  <w:num w:numId="26" w16cid:durableId="1630550604">
    <w:abstractNumId w:val="31"/>
  </w:num>
  <w:num w:numId="27" w16cid:durableId="633102837">
    <w:abstractNumId w:val="23"/>
  </w:num>
  <w:num w:numId="28" w16cid:durableId="2060129605">
    <w:abstractNumId w:val="10"/>
  </w:num>
  <w:num w:numId="29" w16cid:durableId="946933861">
    <w:abstractNumId w:val="11"/>
  </w:num>
  <w:num w:numId="30" w16cid:durableId="1276138940">
    <w:abstractNumId w:val="33"/>
  </w:num>
  <w:num w:numId="31" w16cid:durableId="1824662104">
    <w:abstractNumId w:val="1"/>
  </w:num>
  <w:num w:numId="32" w16cid:durableId="649945553">
    <w:abstractNumId w:val="28"/>
  </w:num>
  <w:num w:numId="33" w16cid:durableId="362752033">
    <w:abstractNumId w:val="36"/>
  </w:num>
  <w:num w:numId="34" w16cid:durableId="663438477">
    <w:abstractNumId w:val="12"/>
  </w:num>
  <w:num w:numId="35" w16cid:durableId="15663790">
    <w:abstractNumId w:val="2"/>
  </w:num>
  <w:num w:numId="36" w16cid:durableId="1337883327">
    <w:abstractNumId w:val="19"/>
  </w:num>
  <w:num w:numId="37" w16cid:durableId="14698693">
    <w:abstractNumId w:val="38"/>
  </w:num>
  <w:num w:numId="38" w16cid:durableId="122575565">
    <w:abstractNumId w:val="21"/>
  </w:num>
  <w:num w:numId="39" w16cid:durableId="1185512689">
    <w:abstractNumId w:val="41"/>
  </w:num>
  <w:num w:numId="40" w16cid:durableId="936794681">
    <w:abstractNumId w:val="29"/>
  </w:num>
  <w:num w:numId="41" w16cid:durableId="582179616">
    <w:abstractNumId w:val="20"/>
  </w:num>
  <w:num w:numId="42" w16cid:durableId="1813134156">
    <w:abstractNumId w:val="8"/>
  </w:num>
  <w:num w:numId="43" w16cid:durableId="1103767246">
    <w:abstractNumId w:val="40"/>
  </w:num>
  <w:num w:numId="44" w16cid:durableId="1388411399">
    <w:abstractNumId w:val="5"/>
  </w:num>
  <w:num w:numId="45" w16cid:durableId="182439662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16"/>
    <w:rsid w:val="00003728"/>
    <w:rsid w:val="000216B0"/>
    <w:rsid w:val="00024D66"/>
    <w:rsid w:val="00026D19"/>
    <w:rsid w:val="00026D85"/>
    <w:rsid w:val="00032BC2"/>
    <w:rsid w:val="000331BC"/>
    <w:rsid w:val="0003367B"/>
    <w:rsid w:val="00034DC6"/>
    <w:rsid w:val="00041AB4"/>
    <w:rsid w:val="0005592B"/>
    <w:rsid w:val="0006333A"/>
    <w:rsid w:val="00067ECD"/>
    <w:rsid w:val="00070142"/>
    <w:rsid w:val="00071628"/>
    <w:rsid w:val="00072BA8"/>
    <w:rsid w:val="00073554"/>
    <w:rsid w:val="00081DC4"/>
    <w:rsid w:val="00084647"/>
    <w:rsid w:val="00085448"/>
    <w:rsid w:val="0008609B"/>
    <w:rsid w:val="000861D9"/>
    <w:rsid w:val="00093E31"/>
    <w:rsid w:val="000975A1"/>
    <w:rsid w:val="000A0120"/>
    <w:rsid w:val="000B4417"/>
    <w:rsid w:val="000B6337"/>
    <w:rsid w:val="000C70D6"/>
    <w:rsid w:val="000D13E4"/>
    <w:rsid w:val="000D5161"/>
    <w:rsid w:val="000D5972"/>
    <w:rsid w:val="000D6C92"/>
    <w:rsid w:val="000E15C8"/>
    <w:rsid w:val="000E1E19"/>
    <w:rsid w:val="000E2774"/>
    <w:rsid w:val="000E415A"/>
    <w:rsid w:val="000F266E"/>
    <w:rsid w:val="000F2944"/>
    <w:rsid w:val="000F7EFD"/>
    <w:rsid w:val="0010088F"/>
    <w:rsid w:val="00111E09"/>
    <w:rsid w:val="001140DB"/>
    <w:rsid w:val="0011676F"/>
    <w:rsid w:val="00116B9F"/>
    <w:rsid w:val="001243BD"/>
    <w:rsid w:val="00124D70"/>
    <w:rsid w:val="00126C95"/>
    <w:rsid w:val="00134CCE"/>
    <w:rsid w:val="00137E31"/>
    <w:rsid w:val="001405C8"/>
    <w:rsid w:val="00145730"/>
    <w:rsid w:val="0015317E"/>
    <w:rsid w:val="00161125"/>
    <w:rsid w:val="0016124F"/>
    <w:rsid w:val="001622B4"/>
    <w:rsid w:val="00164EFD"/>
    <w:rsid w:val="00167242"/>
    <w:rsid w:val="00170EB6"/>
    <w:rsid w:val="00172217"/>
    <w:rsid w:val="001755B3"/>
    <w:rsid w:val="001755FC"/>
    <w:rsid w:val="00175DC1"/>
    <w:rsid w:val="0017646D"/>
    <w:rsid w:val="00176E93"/>
    <w:rsid w:val="00177777"/>
    <w:rsid w:val="00184D58"/>
    <w:rsid w:val="0019444A"/>
    <w:rsid w:val="00194D05"/>
    <w:rsid w:val="001A1B01"/>
    <w:rsid w:val="001A36D2"/>
    <w:rsid w:val="001A4FB1"/>
    <w:rsid w:val="001B15BA"/>
    <w:rsid w:val="001B273B"/>
    <w:rsid w:val="001B2B4D"/>
    <w:rsid w:val="001B6781"/>
    <w:rsid w:val="001C49CA"/>
    <w:rsid w:val="001C64C2"/>
    <w:rsid w:val="001D157F"/>
    <w:rsid w:val="001D4FD2"/>
    <w:rsid w:val="001D6A94"/>
    <w:rsid w:val="001D7EE8"/>
    <w:rsid w:val="001E047C"/>
    <w:rsid w:val="001E34A8"/>
    <w:rsid w:val="001E3F9F"/>
    <w:rsid w:val="001E64A7"/>
    <w:rsid w:val="001E7357"/>
    <w:rsid w:val="001F3116"/>
    <w:rsid w:val="001F48C8"/>
    <w:rsid w:val="001F66DA"/>
    <w:rsid w:val="0020140A"/>
    <w:rsid w:val="00202569"/>
    <w:rsid w:val="00203D9D"/>
    <w:rsid w:val="00210B55"/>
    <w:rsid w:val="002137A5"/>
    <w:rsid w:val="002137AD"/>
    <w:rsid w:val="002158F9"/>
    <w:rsid w:val="00220810"/>
    <w:rsid w:val="00222893"/>
    <w:rsid w:val="0022466A"/>
    <w:rsid w:val="002270A5"/>
    <w:rsid w:val="002314B1"/>
    <w:rsid w:val="00231BB0"/>
    <w:rsid w:val="002335C1"/>
    <w:rsid w:val="002341B7"/>
    <w:rsid w:val="00234A1D"/>
    <w:rsid w:val="00240924"/>
    <w:rsid w:val="00241BDA"/>
    <w:rsid w:val="0024249F"/>
    <w:rsid w:val="0024365A"/>
    <w:rsid w:val="00243770"/>
    <w:rsid w:val="00250E3B"/>
    <w:rsid w:val="00253BA7"/>
    <w:rsid w:val="00266031"/>
    <w:rsid w:val="00272825"/>
    <w:rsid w:val="002768D4"/>
    <w:rsid w:val="00280286"/>
    <w:rsid w:val="0028049E"/>
    <w:rsid w:val="002878BE"/>
    <w:rsid w:val="00292052"/>
    <w:rsid w:val="00294C9C"/>
    <w:rsid w:val="002966B7"/>
    <w:rsid w:val="002A134F"/>
    <w:rsid w:val="002A207E"/>
    <w:rsid w:val="002A707A"/>
    <w:rsid w:val="002B1806"/>
    <w:rsid w:val="002B204B"/>
    <w:rsid w:val="002C128D"/>
    <w:rsid w:val="002C3AFB"/>
    <w:rsid w:val="002C5D47"/>
    <w:rsid w:val="002D7D6A"/>
    <w:rsid w:val="002E4A4D"/>
    <w:rsid w:val="002E4A80"/>
    <w:rsid w:val="002E4BB0"/>
    <w:rsid w:val="002F2292"/>
    <w:rsid w:val="002F2E14"/>
    <w:rsid w:val="002F3E4D"/>
    <w:rsid w:val="00302E32"/>
    <w:rsid w:val="003062DC"/>
    <w:rsid w:val="00307890"/>
    <w:rsid w:val="003106B6"/>
    <w:rsid w:val="00316CAE"/>
    <w:rsid w:val="00321021"/>
    <w:rsid w:val="0032576E"/>
    <w:rsid w:val="00330315"/>
    <w:rsid w:val="00332ADC"/>
    <w:rsid w:val="003336A7"/>
    <w:rsid w:val="00335CF3"/>
    <w:rsid w:val="003408D0"/>
    <w:rsid w:val="00347D1C"/>
    <w:rsid w:val="00363A6F"/>
    <w:rsid w:val="00365BF6"/>
    <w:rsid w:val="003661BE"/>
    <w:rsid w:val="003663A6"/>
    <w:rsid w:val="00367154"/>
    <w:rsid w:val="00371295"/>
    <w:rsid w:val="003725BA"/>
    <w:rsid w:val="0037551F"/>
    <w:rsid w:val="00382489"/>
    <w:rsid w:val="00384361"/>
    <w:rsid w:val="00393248"/>
    <w:rsid w:val="00393D26"/>
    <w:rsid w:val="00394679"/>
    <w:rsid w:val="00395427"/>
    <w:rsid w:val="00396B63"/>
    <w:rsid w:val="003A1296"/>
    <w:rsid w:val="003A57FE"/>
    <w:rsid w:val="003A7925"/>
    <w:rsid w:val="003B3E78"/>
    <w:rsid w:val="003B3FEB"/>
    <w:rsid w:val="003B5715"/>
    <w:rsid w:val="003B5C89"/>
    <w:rsid w:val="003B6A0D"/>
    <w:rsid w:val="003B752E"/>
    <w:rsid w:val="003B7562"/>
    <w:rsid w:val="003C3A43"/>
    <w:rsid w:val="003C45ED"/>
    <w:rsid w:val="003D2C96"/>
    <w:rsid w:val="003D310A"/>
    <w:rsid w:val="003D3219"/>
    <w:rsid w:val="003D5087"/>
    <w:rsid w:val="003E0A01"/>
    <w:rsid w:val="003E1B61"/>
    <w:rsid w:val="003F0EB7"/>
    <w:rsid w:val="003F1645"/>
    <w:rsid w:val="00403820"/>
    <w:rsid w:val="0040778F"/>
    <w:rsid w:val="00410E53"/>
    <w:rsid w:val="00414CE8"/>
    <w:rsid w:val="00417EFF"/>
    <w:rsid w:val="00420B9D"/>
    <w:rsid w:val="00424595"/>
    <w:rsid w:val="00425367"/>
    <w:rsid w:val="00430EB6"/>
    <w:rsid w:val="00431155"/>
    <w:rsid w:val="00432D53"/>
    <w:rsid w:val="004362C0"/>
    <w:rsid w:val="004435E2"/>
    <w:rsid w:val="004450A2"/>
    <w:rsid w:val="0044511D"/>
    <w:rsid w:val="00450338"/>
    <w:rsid w:val="00453E82"/>
    <w:rsid w:val="00454190"/>
    <w:rsid w:val="004554D3"/>
    <w:rsid w:val="00455619"/>
    <w:rsid w:val="004660CC"/>
    <w:rsid w:val="00467942"/>
    <w:rsid w:val="00470D70"/>
    <w:rsid w:val="004818BC"/>
    <w:rsid w:val="00482602"/>
    <w:rsid w:val="0048368D"/>
    <w:rsid w:val="00485D0D"/>
    <w:rsid w:val="00492458"/>
    <w:rsid w:val="004933B9"/>
    <w:rsid w:val="004A6724"/>
    <w:rsid w:val="004A6A3D"/>
    <w:rsid w:val="004A6C61"/>
    <w:rsid w:val="004B35BC"/>
    <w:rsid w:val="004C61CD"/>
    <w:rsid w:val="004D29AA"/>
    <w:rsid w:val="004D3A1D"/>
    <w:rsid w:val="004D4457"/>
    <w:rsid w:val="004D6235"/>
    <w:rsid w:val="004D7F8C"/>
    <w:rsid w:val="004E0017"/>
    <w:rsid w:val="004E555F"/>
    <w:rsid w:val="004E58FF"/>
    <w:rsid w:val="004E663D"/>
    <w:rsid w:val="004F0C88"/>
    <w:rsid w:val="004F144E"/>
    <w:rsid w:val="004F22C4"/>
    <w:rsid w:val="004F700A"/>
    <w:rsid w:val="0050081B"/>
    <w:rsid w:val="00500A24"/>
    <w:rsid w:val="00501A2E"/>
    <w:rsid w:val="00502C43"/>
    <w:rsid w:val="00502DBC"/>
    <w:rsid w:val="00511EEC"/>
    <w:rsid w:val="00526911"/>
    <w:rsid w:val="00527327"/>
    <w:rsid w:val="00527DB2"/>
    <w:rsid w:val="005330F4"/>
    <w:rsid w:val="005355C4"/>
    <w:rsid w:val="00536EA0"/>
    <w:rsid w:val="00542A98"/>
    <w:rsid w:val="00545A84"/>
    <w:rsid w:val="00554204"/>
    <w:rsid w:val="005619C0"/>
    <w:rsid w:val="00567FD9"/>
    <w:rsid w:val="00570024"/>
    <w:rsid w:val="00574F7A"/>
    <w:rsid w:val="00582AF9"/>
    <w:rsid w:val="00584317"/>
    <w:rsid w:val="00590AE5"/>
    <w:rsid w:val="00592401"/>
    <w:rsid w:val="005A575E"/>
    <w:rsid w:val="005A6235"/>
    <w:rsid w:val="005B3109"/>
    <w:rsid w:val="005C5CE1"/>
    <w:rsid w:val="005C7A3F"/>
    <w:rsid w:val="005D0AC4"/>
    <w:rsid w:val="005D153D"/>
    <w:rsid w:val="005D1E7A"/>
    <w:rsid w:val="005D2860"/>
    <w:rsid w:val="005D35C0"/>
    <w:rsid w:val="005D6211"/>
    <w:rsid w:val="005D799E"/>
    <w:rsid w:val="005E0141"/>
    <w:rsid w:val="005E3A58"/>
    <w:rsid w:val="005F11F0"/>
    <w:rsid w:val="005F1A6E"/>
    <w:rsid w:val="005F3A9A"/>
    <w:rsid w:val="005F40DF"/>
    <w:rsid w:val="005F4D28"/>
    <w:rsid w:val="005F6A25"/>
    <w:rsid w:val="005F6ABA"/>
    <w:rsid w:val="005F731C"/>
    <w:rsid w:val="00602D13"/>
    <w:rsid w:val="00607024"/>
    <w:rsid w:val="006107DA"/>
    <w:rsid w:val="006117ED"/>
    <w:rsid w:val="0061741C"/>
    <w:rsid w:val="00623DDD"/>
    <w:rsid w:val="00623F7B"/>
    <w:rsid w:val="006266A4"/>
    <w:rsid w:val="006278C0"/>
    <w:rsid w:val="00627FD4"/>
    <w:rsid w:val="0063309C"/>
    <w:rsid w:val="00634801"/>
    <w:rsid w:val="0064038A"/>
    <w:rsid w:val="00642507"/>
    <w:rsid w:val="00644487"/>
    <w:rsid w:val="00647561"/>
    <w:rsid w:val="006526B1"/>
    <w:rsid w:val="006549B6"/>
    <w:rsid w:val="006633EF"/>
    <w:rsid w:val="006660E5"/>
    <w:rsid w:val="00667BF1"/>
    <w:rsid w:val="006706DE"/>
    <w:rsid w:val="00673E0B"/>
    <w:rsid w:val="006828C2"/>
    <w:rsid w:val="00694595"/>
    <w:rsid w:val="006A0743"/>
    <w:rsid w:val="006A1743"/>
    <w:rsid w:val="006A3640"/>
    <w:rsid w:val="006A4C13"/>
    <w:rsid w:val="006B0ACF"/>
    <w:rsid w:val="006B2F64"/>
    <w:rsid w:val="006C0368"/>
    <w:rsid w:val="006C29FE"/>
    <w:rsid w:val="006C36EA"/>
    <w:rsid w:val="006C5E39"/>
    <w:rsid w:val="006C7332"/>
    <w:rsid w:val="006D0A85"/>
    <w:rsid w:val="006D4382"/>
    <w:rsid w:val="006D6914"/>
    <w:rsid w:val="006E55FA"/>
    <w:rsid w:val="006F4085"/>
    <w:rsid w:val="006F4E7D"/>
    <w:rsid w:val="00701E57"/>
    <w:rsid w:val="00703CD6"/>
    <w:rsid w:val="00704476"/>
    <w:rsid w:val="00704482"/>
    <w:rsid w:val="0071040B"/>
    <w:rsid w:val="007115F4"/>
    <w:rsid w:val="007235D9"/>
    <w:rsid w:val="007258FD"/>
    <w:rsid w:val="00725F76"/>
    <w:rsid w:val="007428E9"/>
    <w:rsid w:val="00752A76"/>
    <w:rsid w:val="00757A4B"/>
    <w:rsid w:val="00763F2C"/>
    <w:rsid w:val="00780B22"/>
    <w:rsid w:val="0078110B"/>
    <w:rsid w:val="00784567"/>
    <w:rsid w:val="00793E5B"/>
    <w:rsid w:val="007A246D"/>
    <w:rsid w:val="007A2688"/>
    <w:rsid w:val="007B1F73"/>
    <w:rsid w:val="007D1E26"/>
    <w:rsid w:val="007D759F"/>
    <w:rsid w:val="007E0537"/>
    <w:rsid w:val="007E35F2"/>
    <w:rsid w:val="007E6C20"/>
    <w:rsid w:val="007E780C"/>
    <w:rsid w:val="007F001B"/>
    <w:rsid w:val="007F2485"/>
    <w:rsid w:val="007F415A"/>
    <w:rsid w:val="008043E8"/>
    <w:rsid w:val="008116A6"/>
    <w:rsid w:val="0081353A"/>
    <w:rsid w:val="00813B97"/>
    <w:rsid w:val="00815935"/>
    <w:rsid w:val="00816BA3"/>
    <w:rsid w:val="008171DE"/>
    <w:rsid w:val="00826082"/>
    <w:rsid w:val="00826397"/>
    <w:rsid w:val="00826F84"/>
    <w:rsid w:val="008271E9"/>
    <w:rsid w:val="00833526"/>
    <w:rsid w:val="00835A4E"/>
    <w:rsid w:val="00835E65"/>
    <w:rsid w:val="00841407"/>
    <w:rsid w:val="00842C17"/>
    <w:rsid w:val="00844649"/>
    <w:rsid w:val="00850DCC"/>
    <w:rsid w:val="00852C9E"/>
    <w:rsid w:val="0086051F"/>
    <w:rsid w:val="0086068F"/>
    <w:rsid w:val="00863901"/>
    <w:rsid w:val="008666C7"/>
    <w:rsid w:val="00866EB2"/>
    <w:rsid w:val="00872CC5"/>
    <w:rsid w:val="008765B2"/>
    <w:rsid w:val="008814A3"/>
    <w:rsid w:val="00882320"/>
    <w:rsid w:val="008855F3"/>
    <w:rsid w:val="008860D6"/>
    <w:rsid w:val="0089105B"/>
    <w:rsid w:val="00893C52"/>
    <w:rsid w:val="008A0F61"/>
    <w:rsid w:val="008A1AAB"/>
    <w:rsid w:val="008A2612"/>
    <w:rsid w:val="008C7FB8"/>
    <w:rsid w:val="008D455D"/>
    <w:rsid w:val="008E0373"/>
    <w:rsid w:val="008E1C68"/>
    <w:rsid w:val="008F30FC"/>
    <w:rsid w:val="008F3F4D"/>
    <w:rsid w:val="00900268"/>
    <w:rsid w:val="00901C3D"/>
    <w:rsid w:val="0090537E"/>
    <w:rsid w:val="00905F7B"/>
    <w:rsid w:val="00911946"/>
    <w:rsid w:val="00912094"/>
    <w:rsid w:val="00921467"/>
    <w:rsid w:val="00921BA9"/>
    <w:rsid w:val="00933053"/>
    <w:rsid w:val="0093361F"/>
    <w:rsid w:val="009353BA"/>
    <w:rsid w:val="00935EAE"/>
    <w:rsid w:val="009368D6"/>
    <w:rsid w:val="00937766"/>
    <w:rsid w:val="00937B6C"/>
    <w:rsid w:val="00940440"/>
    <w:rsid w:val="00947F31"/>
    <w:rsid w:val="009507B0"/>
    <w:rsid w:val="009528E7"/>
    <w:rsid w:val="00952FF7"/>
    <w:rsid w:val="00955863"/>
    <w:rsid w:val="00955A96"/>
    <w:rsid w:val="00957288"/>
    <w:rsid w:val="009574EA"/>
    <w:rsid w:val="00960CF3"/>
    <w:rsid w:val="00962409"/>
    <w:rsid w:val="00966E74"/>
    <w:rsid w:val="00966F22"/>
    <w:rsid w:val="009670BC"/>
    <w:rsid w:val="00967277"/>
    <w:rsid w:val="0096773B"/>
    <w:rsid w:val="00972026"/>
    <w:rsid w:val="00977842"/>
    <w:rsid w:val="0099170E"/>
    <w:rsid w:val="00991B80"/>
    <w:rsid w:val="009A4015"/>
    <w:rsid w:val="009A5211"/>
    <w:rsid w:val="009B1502"/>
    <w:rsid w:val="009B459B"/>
    <w:rsid w:val="009B7C6F"/>
    <w:rsid w:val="009C11A4"/>
    <w:rsid w:val="009D220D"/>
    <w:rsid w:val="009D2423"/>
    <w:rsid w:val="009D58D8"/>
    <w:rsid w:val="009D61C2"/>
    <w:rsid w:val="009D7E3B"/>
    <w:rsid w:val="009E31EC"/>
    <w:rsid w:val="009E43A6"/>
    <w:rsid w:val="009E775A"/>
    <w:rsid w:val="009F4134"/>
    <w:rsid w:val="00A00807"/>
    <w:rsid w:val="00A04774"/>
    <w:rsid w:val="00A059A5"/>
    <w:rsid w:val="00A05BE4"/>
    <w:rsid w:val="00A05EA5"/>
    <w:rsid w:val="00A12F0B"/>
    <w:rsid w:val="00A166E6"/>
    <w:rsid w:val="00A23392"/>
    <w:rsid w:val="00A2405E"/>
    <w:rsid w:val="00A243ED"/>
    <w:rsid w:val="00A25152"/>
    <w:rsid w:val="00A343E6"/>
    <w:rsid w:val="00A40861"/>
    <w:rsid w:val="00A438A1"/>
    <w:rsid w:val="00A45FCC"/>
    <w:rsid w:val="00A5048D"/>
    <w:rsid w:val="00A55F3B"/>
    <w:rsid w:val="00A57E57"/>
    <w:rsid w:val="00A61418"/>
    <w:rsid w:val="00A616D5"/>
    <w:rsid w:val="00A6208F"/>
    <w:rsid w:val="00A631E3"/>
    <w:rsid w:val="00A63B0E"/>
    <w:rsid w:val="00A63FC3"/>
    <w:rsid w:val="00A65FD1"/>
    <w:rsid w:val="00A66E5E"/>
    <w:rsid w:val="00A7194C"/>
    <w:rsid w:val="00A75D0A"/>
    <w:rsid w:val="00A82013"/>
    <w:rsid w:val="00A84CFE"/>
    <w:rsid w:val="00A858F2"/>
    <w:rsid w:val="00A8612B"/>
    <w:rsid w:val="00A86704"/>
    <w:rsid w:val="00A87A49"/>
    <w:rsid w:val="00A87FC5"/>
    <w:rsid w:val="00A9340D"/>
    <w:rsid w:val="00AA074B"/>
    <w:rsid w:val="00AA0AE0"/>
    <w:rsid w:val="00AA40F1"/>
    <w:rsid w:val="00AB7176"/>
    <w:rsid w:val="00AC0D4E"/>
    <w:rsid w:val="00AD6A20"/>
    <w:rsid w:val="00AD6F5C"/>
    <w:rsid w:val="00AE2918"/>
    <w:rsid w:val="00AF72C4"/>
    <w:rsid w:val="00B0638E"/>
    <w:rsid w:val="00B06ACC"/>
    <w:rsid w:val="00B10EDB"/>
    <w:rsid w:val="00B13570"/>
    <w:rsid w:val="00B1396B"/>
    <w:rsid w:val="00B13AFB"/>
    <w:rsid w:val="00B14213"/>
    <w:rsid w:val="00B143FA"/>
    <w:rsid w:val="00B20797"/>
    <w:rsid w:val="00B22CB3"/>
    <w:rsid w:val="00B2398F"/>
    <w:rsid w:val="00B24F0E"/>
    <w:rsid w:val="00B26D8B"/>
    <w:rsid w:val="00B2753F"/>
    <w:rsid w:val="00B32399"/>
    <w:rsid w:val="00B332B5"/>
    <w:rsid w:val="00B33509"/>
    <w:rsid w:val="00B35B16"/>
    <w:rsid w:val="00B36CA5"/>
    <w:rsid w:val="00B47E58"/>
    <w:rsid w:val="00B507CD"/>
    <w:rsid w:val="00B53DD3"/>
    <w:rsid w:val="00B547DA"/>
    <w:rsid w:val="00B556A4"/>
    <w:rsid w:val="00B55E78"/>
    <w:rsid w:val="00B63FD4"/>
    <w:rsid w:val="00B6417B"/>
    <w:rsid w:val="00B7059D"/>
    <w:rsid w:val="00B72C82"/>
    <w:rsid w:val="00B72FCD"/>
    <w:rsid w:val="00B73C93"/>
    <w:rsid w:val="00B73F34"/>
    <w:rsid w:val="00B821C5"/>
    <w:rsid w:val="00B85F8B"/>
    <w:rsid w:val="00B8775E"/>
    <w:rsid w:val="00B87762"/>
    <w:rsid w:val="00B979B4"/>
    <w:rsid w:val="00BA0252"/>
    <w:rsid w:val="00BA42A7"/>
    <w:rsid w:val="00BA5DA2"/>
    <w:rsid w:val="00BB1C39"/>
    <w:rsid w:val="00BC2E92"/>
    <w:rsid w:val="00BD099A"/>
    <w:rsid w:val="00BD794E"/>
    <w:rsid w:val="00BE0AE4"/>
    <w:rsid w:val="00BF6EDD"/>
    <w:rsid w:val="00C001A5"/>
    <w:rsid w:val="00C01F6B"/>
    <w:rsid w:val="00C02415"/>
    <w:rsid w:val="00C03BC8"/>
    <w:rsid w:val="00C06F5E"/>
    <w:rsid w:val="00C10B0B"/>
    <w:rsid w:val="00C114D1"/>
    <w:rsid w:val="00C11F0C"/>
    <w:rsid w:val="00C142C6"/>
    <w:rsid w:val="00C1655C"/>
    <w:rsid w:val="00C221C2"/>
    <w:rsid w:val="00C22F44"/>
    <w:rsid w:val="00C240C6"/>
    <w:rsid w:val="00C24E3E"/>
    <w:rsid w:val="00C25780"/>
    <w:rsid w:val="00C2651F"/>
    <w:rsid w:val="00C26C37"/>
    <w:rsid w:val="00C3177A"/>
    <w:rsid w:val="00C31DB7"/>
    <w:rsid w:val="00C33B14"/>
    <w:rsid w:val="00C468C0"/>
    <w:rsid w:val="00C47BEC"/>
    <w:rsid w:val="00C64A56"/>
    <w:rsid w:val="00C67457"/>
    <w:rsid w:val="00C72160"/>
    <w:rsid w:val="00C72289"/>
    <w:rsid w:val="00C74719"/>
    <w:rsid w:val="00C75699"/>
    <w:rsid w:val="00C81CA5"/>
    <w:rsid w:val="00C838DE"/>
    <w:rsid w:val="00C859FF"/>
    <w:rsid w:val="00C86AF8"/>
    <w:rsid w:val="00C86D19"/>
    <w:rsid w:val="00C87B8E"/>
    <w:rsid w:val="00C93F3C"/>
    <w:rsid w:val="00C9666B"/>
    <w:rsid w:val="00C97ECF"/>
    <w:rsid w:val="00CA7D93"/>
    <w:rsid w:val="00CB218B"/>
    <w:rsid w:val="00CB2A29"/>
    <w:rsid w:val="00CB37ED"/>
    <w:rsid w:val="00CB3C16"/>
    <w:rsid w:val="00CB7685"/>
    <w:rsid w:val="00CC150C"/>
    <w:rsid w:val="00CC3BA7"/>
    <w:rsid w:val="00CC6D3A"/>
    <w:rsid w:val="00CD13ED"/>
    <w:rsid w:val="00CD5A0D"/>
    <w:rsid w:val="00CD612E"/>
    <w:rsid w:val="00CE2346"/>
    <w:rsid w:val="00CE4E27"/>
    <w:rsid w:val="00CE5047"/>
    <w:rsid w:val="00CE53B8"/>
    <w:rsid w:val="00CE626A"/>
    <w:rsid w:val="00CF0452"/>
    <w:rsid w:val="00CF4B02"/>
    <w:rsid w:val="00CF7CFF"/>
    <w:rsid w:val="00D00A0F"/>
    <w:rsid w:val="00D02FE8"/>
    <w:rsid w:val="00D04192"/>
    <w:rsid w:val="00D04BE0"/>
    <w:rsid w:val="00D1028C"/>
    <w:rsid w:val="00D11331"/>
    <w:rsid w:val="00D1148C"/>
    <w:rsid w:val="00D12B8C"/>
    <w:rsid w:val="00D1348B"/>
    <w:rsid w:val="00D167A0"/>
    <w:rsid w:val="00D167FF"/>
    <w:rsid w:val="00D201B1"/>
    <w:rsid w:val="00D20402"/>
    <w:rsid w:val="00D21022"/>
    <w:rsid w:val="00D235B4"/>
    <w:rsid w:val="00D30F88"/>
    <w:rsid w:val="00D35058"/>
    <w:rsid w:val="00D46B7E"/>
    <w:rsid w:val="00D47D7F"/>
    <w:rsid w:val="00D5057E"/>
    <w:rsid w:val="00D51BD0"/>
    <w:rsid w:val="00D51CF2"/>
    <w:rsid w:val="00D530EA"/>
    <w:rsid w:val="00D565BC"/>
    <w:rsid w:val="00D66DC9"/>
    <w:rsid w:val="00D705AA"/>
    <w:rsid w:val="00D77C19"/>
    <w:rsid w:val="00D804D8"/>
    <w:rsid w:val="00D8250C"/>
    <w:rsid w:val="00D82B7B"/>
    <w:rsid w:val="00D82DE7"/>
    <w:rsid w:val="00D840DB"/>
    <w:rsid w:val="00D96E6B"/>
    <w:rsid w:val="00DA102A"/>
    <w:rsid w:val="00DC35B4"/>
    <w:rsid w:val="00DC4E9F"/>
    <w:rsid w:val="00DC6572"/>
    <w:rsid w:val="00DD101D"/>
    <w:rsid w:val="00DD1C4E"/>
    <w:rsid w:val="00DE38A6"/>
    <w:rsid w:val="00DE7106"/>
    <w:rsid w:val="00DF0D32"/>
    <w:rsid w:val="00DF34C7"/>
    <w:rsid w:val="00DF5B5E"/>
    <w:rsid w:val="00E0127A"/>
    <w:rsid w:val="00E029C5"/>
    <w:rsid w:val="00E074FA"/>
    <w:rsid w:val="00E1323A"/>
    <w:rsid w:val="00E178A7"/>
    <w:rsid w:val="00E20300"/>
    <w:rsid w:val="00E20350"/>
    <w:rsid w:val="00E25107"/>
    <w:rsid w:val="00E273C0"/>
    <w:rsid w:val="00E30D6C"/>
    <w:rsid w:val="00E3575B"/>
    <w:rsid w:val="00E41E84"/>
    <w:rsid w:val="00E42BE2"/>
    <w:rsid w:val="00E436F2"/>
    <w:rsid w:val="00E43F13"/>
    <w:rsid w:val="00E45736"/>
    <w:rsid w:val="00E45884"/>
    <w:rsid w:val="00E571BB"/>
    <w:rsid w:val="00E60B0A"/>
    <w:rsid w:val="00E61544"/>
    <w:rsid w:val="00E620F6"/>
    <w:rsid w:val="00E65242"/>
    <w:rsid w:val="00E70D95"/>
    <w:rsid w:val="00E74CCD"/>
    <w:rsid w:val="00E82214"/>
    <w:rsid w:val="00E90FCC"/>
    <w:rsid w:val="00E926D0"/>
    <w:rsid w:val="00E9700D"/>
    <w:rsid w:val="00EA3FCC"/>
    <w:rsid w:val="00EA4EF1"/>
    <w:rsid w:val="00EA6457"/>
    <w:rsid w:val="00EB0F3E"/>
    <w:rsid w:val="00EB2D09"/>
    <w:rsid w:val="00EB4303"/>
    <w:rsid w:val="00EB5ACB"/>
    <w:rsid w:val="00EC0FE9"/>
    <w:rsid w:val="00EC28AB"/>
    <w:rsid w:val="00EC344D"/>
    <w:rsid w:val="00ED27AB"/>
    <w:rsid w:val="00ED6064"/>
    <w:rsid w:val="00ED70F3"/>
    <w:rsid w:val="00EE5D5F"/>
    <w:rsid w:val="00EF05CE"/>
    <w:rsid w:val="00EF77BF"/>
    <w:rsid w:val="00F05D7D"/>
    <w:rsid w:val="00F0763B"/>
    <w:rsid w:val="00F169E3"/>
    <w:rsid w:val="00F20C36"/>
    <w:rsid w:val="00F25948"/>
    <w:rsid w:val="00F31069"/>
    <w:rsid w:val="00F3287B"/>
    <w:rsid w:val="00F350CD"/>
    <w:rsid w:val="00F359FA"/>
    <w:rsid w:val="00F35D9E"/>
    <w:rsid w:val="00F40687"/>
    <w:rsid w:val="00F41913"/>
    <w:rsid w:val="00F50D19"/>
    <w:rsid w:val="00F55FBC"/>
    <w:rsid w:val="00F567A9"/>
    <w:rsid w:val="00F57887"/>
    <w:rsid w:val="00F57DE5"/>
    <w:rsid w:val="00F60E67"/>
    <w:rsid w:val="00F6457B"/>
    <w:rsid w:val="00F71D96"/>
    <w:rsid w:val="00F71E3B"/>
    <w:rsid w:val="00F74539"/>
    <w:rsid w:val="00F75A83"/>
    <w:rsid w:val="00F77040"/>
    <w:rsid w:val="00F826BD"/>
    <w:rsid w:val="00F83D5A"/>
    <w:rsid w:val="00F86C31"/>
    <w:rsid w:val="00F87E21"/>
    <w:rsid w:val="00F87F61"/>
    <w:rsid w:val="00F90F0B"/>
    <w:rsid w:val="00F92F2C"/>
    <w:rsid w:val="00F934A6"/>
    <w:rsid w:val="00F95E3E"/>
    <w:rsid w:val="00F96C59"/>
    <w:rsid w:val="00FA1CF5"/>
    <w:rsid w:val="00FA304C"/>
    <w:rsid w:val="00FB39B6"/>
    <w:rsid w:val="00FB3DD6"/>
    <w:rsid w:val="00FB4DC8"/>
    <w:rsid w:val="00FC58D6"/>
    <w:rsid w:val="00FC68D2"/>
    <w:rsid w:val="00FD0430"/>
    <w:rsid w:val="00FD08FD"/>
    <w:rsid w:val="00FE0BEF"/>
    <w:rsid w:val="00FE1010"/>
    <w:rsid w:val="00FE2F4B"/>
    <w:rsid w:val="00FE3B5A"/>
    <w:rsid w:val="00FF1A47"/>
    <w:rsid w:val="00FF1C4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D7EB5"/>
  <w15:chartTrackingRefBased/>
  <w15:docId w15:val="{16CD140A-05C6-403A-8CEC-2A254CC7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40440"/>
  </w:style>
  <w:style w:type="paragraph" w:styleId="10">
    <w:name w:val="heading 1"/>
    <w:aliases w:val="H1 Char,H1,Head1,Heading apps,h1,BMS Heading 1,H11,H12,H13,H14,H15,H16,H17,Outline1,Level 1 Topic Heading,Header1,Heading 1-ERI,l1,Head 1 (Chapter heading),Head 1,Head 11,Head 12,Head 111,Head 13,Head 112,Head 14,Head 113,Head 15,Head 114"/>
    <w:basedOn w:val="a0"/>
    <w:next w:val="a0"/>
    <w:link w:val="1Char"/>
    <w:qFormat/>
    <w:rsid w:val="00B35B16"/>
    <w:pPr>
      <w:keepNext/>
      <w:spacing w:after="0" w:line="240" w:lineRule="auto"/>
      <w:outlineLvl w:val="0"/>
    </w:pPr>
    <w:rPr>
      <w:rFonts w:ascii="Times New Roman" w:eastAsia="Times New Roman" w:hAnsi="Times New Roman" w:cs="Times New Roman"/>
      <w:b/>
      <w:bCs/>
      <w:sz w:val="24"/>
      <w:szCs w:val="24"/>
      <w:lang w:eastAsia="el-GR"/>
    </w:rPr>
  </w:style>
  <w:style w:type="paragraph" w:styleId="20">
    <w:name w:val="heading 2"/>
    <w:aliases w:val="2,Header 2,h2,Heading Bug,H2,Sub-Head1,Heading 2- no#,H21,H22,H23,H2Normal,Sub Head,H211,H212,H221,H2111,H24,H213,H222,H2112,H231,H2121,H2211,H21111,H25,H26,H214,H223,H2113,H27,H215,H224,H2114,H28,H216,H225,H2115,H232,H241,H2122,H2212,ni2"/>
    <w:basedOn w:val="a0"/>
    <w:next w:val="a0"/>
    <w:link w:val="2Char"/>
    <w:unhideWhenUsed/>
    <w:qFormat/>
    <w:rsid w:val="00B35B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H3,Proposa,Project 3,h3,Heading 3 - old,1.2.3.,alltoc,3,Heading 4 Proposal,h31,h32,Bold Head,bh,(1.1.1),hd3,Minor,1.1.1 Heading,0,Heading 2.3,(Alt+3),Titles,(Alt+3)1,(Alt+3)2,(Alt+3)3,(Alt+3)4,(Alt+3)5,(Alt+3)6,(Alt+3)11,(Alt+3)21,l3,H31,H"/>
    <w:basedOn w:val="a0"/>
    <w:next w:val="a0"/>
    <w:link w:val="3Char"/>
    <w:unhideWhenUsed/>
    <w:qFormat/>
    <w:rsid w:val="00B35B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0">
    <w:name w:val="heading 4"/>
    <w:basedOn w:val="a0"/>
    <w:next w:val="a0"/>
    <w:link w:val="4Char"/>
    <w:unhideWhenUsed/>
    <w:qFormat/>
    <w:rsid w:val="00B35B1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0">
    <w:name w:val="heading 5"/>
    <w:aliases w:val="H5,H51,h5,H52,H511,H53,H512,H521,H5111,H54,H513,H55,H514,H56,H515,H522,H5112,H531,H5121,H541,H5131,H551,H5141,H57,H516,H523,H5113,H532,H5122,H542,H5132,H552,H5142,H58,H517,H524,H5114,H533,H5123,H543,H5133,H553,H5143,H59,H518,H525,H5115,ti"/>
    <w:basedOn w:val="40"/>
    <w:next w:val="a0"/>
    <w:link w:val="5Char"/>
    <w:uiPriority w:val="9"/>
    <w:qFormat/>
    <w:rsid w:val="00B35B16"/>
    <w:pPr>
      <w:keepLines w:val="0"/>
      <w:suppressAutoHyphens/>
      <w:spacing w:before="200" w:after="200" w:line="280" w:lineRule="exact"/>
      <w:ind w:left="1859" w:hanging="1008"/>
      <w:jc w:val="both"/>
      <w:outlineLvl w:val="4"/>
    </w:pPr>
    <w:rPr>
      <w:rFonts w:ascii="Tahoma" w:eastAsia="SimSun" w:hAnsi="Tahoma" w:cs="Calibri"/>
      <w:b/>
      <w:bCs/>
      <w:iCs w:val="0"/>
      <w:color w:val="333399"/>
      <w:szCs w:val="20"/>
      <w:u w:val="single"/>
      <w:lang w:eastAsia="zh-CN"/>
    </w:rPr>
  </w:style>
  <w:style w:type="paragraph" w:styleId="6">
    <w:name w:val="heading 6"/>
    <w:aliases w:val="H6,Char Char,Char Char Char,Char Char + Left:  0 cm,... + Left:  0 cm,...,Char Char Char Char Char Char,hd6,h6, Char Char,H61,H62,H63,H64,H611,H65,H612,H621,H631,H641,H66,H613,H622,H632,H642,H67,H614,Heading 6 Char"/>
    <w:basedOn w:val="a0"/>
    <w:next w:val="a0"/>
    <w:link w:val="6Char"/>
    <w:qFormat/>
    <w:rsid w:val="00B35B16"/>
    <w:pPr>
      <w:spacing w:before="120" w:after="120" w:line="240" w:lineRule="auto"/>
      <w:ind w:left="1152" w:hanging="1152"/>
      <w:jc w:val="both"/>
      <w:outlineLvl w:val="5"/>
    </w:pPr>
    <w:rPr>
      <w:rFonts w:ascii="Tahoma" w:eastAsia="SimSun" w:hAnsi="Tahoma" w:cs="Tahoma"/>
      <w:b/>
      <w:szCs w:val="20"/>
    </w:rPr>
  </w:style>
  <w:style w:type="paragraph" w:styleId="7">
    <w:name w:val="heading 7"/>
    <w:basedOn w:val="a0"/>
    <w:next w:val="a0"/>
    <w:link w:val="7Char"/>
    <w:uiPriority w:val="9"/>
    <w:qFormat/>
    <w:rsid w:val="00B35B16"/>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35"/>
      </w:tabs>
      <w:spacing w:before="120" w:after="60" w:line="240" w:lineRule="auto"/>
      <w:ind w:left="1296" w:hanging="1296"/>
      <w:jc w:val="both"/>
      <w:outlineLvl w:val="6"/>
    </w:pPr>
    <w:rPr>
      <w:rFonts w:ascii="Tahoma" w:eastAsia="SimSun" w:hAnsi="Tahoma" w:cs="Times New Roman"/>
      <w:b/>
      <w:szCs w:val="20"/>
    </w:rPr>
  </w:style>
  <w:style w:type="paragraph" w:styleId="8">
    <w:name w:val="heading 8"/>
    <w:basedOn w:val="a0"/>
    <w:next w:val="a0"/>
    <w:link w:val="8Char"/>
    <w:uiPriority w:val="9"/>
    <w:qFormat/>
    <w:rsid w:val="00B35B16"/>
    <w:pPr>
      <w:tabs>
        <w:tab w:val="left" w:pos="3119"/>
      </w:tabs>
      <w:spacing w:before="120" w:after="60" w:line="240" w:lineRule="auto"/>
      <w:ind w:left="1440" w:hanging="1440"/>
      <w:jc w:val="both"/>
      <w:outlineLvl w:val="7"/>
    </w:pPr>
    <w:rPr>
      <w:rFonts w:ascii="Tahoma" w:eastAsia="SimSun" w:hAnsi="Tahoma" w:cs="Times New Roman"/>
      <w:sz w:val="18"/>
      <w:szCs w:val="20"/>
      <w:u w:val="single"/>
    </w:rPr>
  </w:style>
  <w:style w:type="paragraph" w:styleId="9">
    <w:name w:val="heading 9"/>
    <w:aliases w:val="AC&amp;E_1,App Heading"/>
    <w:basedOn w:val="a0"/>
    <w:next w:val="a0"/>
    <w:link w:val="9Char"/>
    <w:uiPriority w:val="9"/>
    <w:qFormat/>
    <w:rsid w:val="00B35B16"/>
    <w:pPr>
      <w:tabs>
        <w:tab w:val="left" w:pos="3119"/>
      </w:tabs>
      <w:spacing w:before="60" w:after="60" w:line="240" w:lineRule="auto"/>
      <w:ind w:left="1584" w:hanging="1584"/>
      <w:outlineLvl w:val="8"/>
    </w:pPr>
    <w:rPr>
      <w:rFonts w:ascii="Tahoma" w:eastAsia="SimSun" w:hAnsi="Tahoma" w:cs="Times New Roman"/>
      <w:sz w:val="18"/>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1"/>
    <w:link w:val="10"/>
    <w:uiPriority w:val="1"/>
    <w:rsid w:val="00B35B16"/>
    <w:rPr>
      <w:rFonts w:ascii="Times New Roman" w:eastAsia="Times New Roman" w:hAnsi="Times New Roman" w:cs="Times New Roman"/>
      <w:b/>
      <w:bCs/>
      <w:sz w:val="24"/>
      <w:szCs w:val="24"/>
      <w:lang w:eastAsia="el-GR"/>
    </w:rPr>
  </w:style>
  <w:style w:type="character" w:customStyle="1" w:styleId="2Char">
    <w:name w:val="Επικεφαλίδα 2 Char"/>
    <w:aliases w:val="2 Char,Header 2 Char,h2 Char,Heading Bug Char,H2 Char,Sub-Head1 Char,Heading 2- no# Char,H21 Char,H22 Char,H23 Char,H2Normal Char,Sub Head Char,H211 Char,H212 Char,H221 Char,H2111 Char,H24 Char,H213 Char,H222 Char,H2112 Char,H231 Char"/>
    <w:basedOn w:val="a1"/>
    <w:link w:val="20"/>
    <w:uiPriority w:val="9"/>
    <w:rsid w:val="00B35B16"/>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basedOn w:val="a1"/>
    <w:link w:val="30"/>
    <w:uiPriority w:val="9"/>
    <w:rsid w:val="00B35B16"/>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1"/>
    <w:link w:val="40"/>
    <w:uiPriority w:val="9"/>
    <w:rsid w:val="00B35B16"/>
    <w:rPr>
      <w:rFonts w:asciiTheme="majorHAnsi" w:eastAsiaTheme="majorEastAsia" w:hAnsiTheme="majorHAnsi" w:cstheme="majorBidi"/>
      <w:i/>
      <w:iCs/>
      <w:color w:val="2F5496" w:themeColor="accent1" w:themeShade="BF"/>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1"/>
    <w:link w:val="50"/>
    <w:uiPriority w:val="9"/>
    <w:rsid w:val="00B35B16"/>
    <w:rPr>
      <w:rFonts w:ascii="Tahoma" w:eastAsia="SimSun" w:hAnsi="Tahoma" w:cs="Calibri"/>
      <w:b/>
      <w:bCs/>
      <w:i/>
      <w:color w:val="333399"/>
      <w:szCs w:val="20"/>
      <w:u w:val="single"/>
      <w:lang w:eastAsia="zh-CN"/>
    </w:rPr>
  </w:style>
  <w:style w:type="character" w:customStyle="1" w:styleId="6Char">
    <w:name w:val="Επικεφαλίδα 6 Char"/>
    <w:aliases w:val="H6 Char,Char Char Char1,Char Char Char Char,Char Char + Left:  0 cm Char,... + Left:  0 cm Char,... Char,Char Char Char Char Char Char Char,hd6 Char,h6 Char, Char Char Char,H61 Char,H62 Char,H63 Char,H64 Char,H611 Char,H65 Char"/>
    <w:basedOn w:val="a1"/>
    <w:link w:val="6"/>
    <w:uiPriority w:val="9"/>
    <w:rsid w:val="00B35B16"/>
    <w:rPr>
      <w:rFonts w:ascii="Tahoma" w:eastAsia="SimSun" w:hAnsi="Tahoma" w:cs="Tahoma"/>
      <w:b/>
      <w:szCs w:val="20"/>
    </w:rPr>
  </w:style>
  <w:style w:type="character" w:customStyle="1" w:styleId="7Char">
    <w:name w:val="Επικεφαλίδα 7 Char"/>
    <w:basedOn w:val="a1"/>
    <w:link w:val="7"/>
    <w:uiPriority w:val="9"/>
    <w:rsid w:val="00B35B16"/>
    <w:rPr>
      <w:rFonts w:ascii="Tahoma" w:eastAsia="SimSun" w:hAnsi="Tahoma" w:cs="Times New Roman"/>
      <w:b/>
      <w:szCs w:val="20"/>
      <w:shd w:val="clear" w:color="auto" w:fill="BFBFBF" w:themeFill="background1" w:themeFillShade="BF"/>
    </w:rPr>
  </w:style>
  <w:style w:type="character" w:customStyle="1" w:styleId="8Char">
    <w:name w:val="Επικεφαλίδα 8 Char"/>
    <w:basedOn w:val="a1"/>
    <w:link w:val="8"/>
    <w:uiPriority w:val="9"/>
    <w:rsid w:val="00B35B16"/>
    <w:rPr>
      <w:rFonts w:ascii="Tahoma" w:eastAsia="SimSun" w:hAnsi="Tahoma" w:cs="Times New Roman"/>
      <w:sz w:val="18"/>
      <w:szCs w:val="20"/>
      <w:u w:val="single"/>
    </w:rPr>
  </w:style>
  <w:style w:type="character" w:customStyle="1" w:styleId="9Char">
    <w:name w:val="Επικεφαλίδα 9 Char"/>
    <w:aliases w:val="AC&amp;E_1 Char,App Heading Char"/>
    <w:basedOn w:val="a1"/>
    <w:link w:val="9"/>
    <w:uiPriority w:val="9"/>
    <w:rsid w:val="00B35B16"/>
    <w:rPr>
      <w:rFonts w:ascii="Tahoma" w:eastAsia="SimSun" w:hAnsi="Tahoma" w:cs="Times New Roman"/>
      <w:sz w:val="18"/>
      <w:szCs w:val="20"/>
      <w:u w:val="single"/>
    </w:rPr>
  </w:style>
  <w:style w:type="paragraph" w:styleId="a4">
    <w:name w:val="header"/>
    <w:aliases w:val="hd Char,hd"/>
    <w:basedOn w:val="a0"/>
    <w:link w:val="Char"/>
    <w:unhideWhenUsed/>
    <w:rsid w:val="00B35B16"/>
    <w:pPr>
      <w:tabs>
        <w:tab w:val="center" w:pos="4153"/>
        <w:tab w:val="right" w:pos="8306"/>
      </w:tabs>
      <w:spacing w:after="0" w:line="240" w:lineRule="auto"/>
    </w:pPr>
  </w:style>
  <w:style w:type="character" w:customStyle="1" w:styleId="Char">
    <w:name w:val="Κεφαλίδα Char"/>
    <w:aliases w:val="hd Char Char,hd Char1"/>
    <w:basedOn w:val="a1"/>
    <w:link w:val="a4"/>
    <w:uiPriority w:val="99"/>
    <w:rsid w:val="00B35B16"/>
  </w:style>
  <w:style w:type="paragraph" w:styleId="a5">
    <w:name w:val="footer"/>
    <w:aliases w:val="ft,fo"/>
    <w:basedOn w:val="a0"/>
    <w:link w:val="Char0"/>
    <w:unhideWhenUsed/>
    <w:qFormat/>
    <w:rsid w:val="00B35B16"/>
    <w:pPr>
      <w:tabs>
        <w:tab w:val="center" w:pos="4153"/>
        <w:tab w:val="right" w:pos="8306"/>
      </w:tabs>
      <w:spacing w:after="0" w:line="240" w:lineRule="auto"/>
    </w:pPr>
  </w:style>
  <w:style w:type="character" w:customStyle="1" w:styleId="Char0">
    <w:name w:val="Υποσέλιδο Char"/>
    <w:aliases w:val="ft Char,fo Char"/>
    <w:basedOn w:val="a1"/>
    <w:link w:val="a5"/>
    <w:uiPriority w:val="99"/>
    <w:qFormat/>
    <w:rsid w:val="00B35B16"/>
  </w:style>
  <w:style w:type="character" w:styleId="a6">
    <w:name w:val="page number"/>
    <w:basedOn w:val="a1"/>
    <w:rsid w:val="00B35B16"/>
  </w:style>
  <w:style w:type="paragraph" w:styleId="a7">
    <w:name w:val="List Paragraph"/>
    <w:aliases w:val="Bullet21,Bullet22,Bullet23,Bullet211,Bullet24,Bullet25,Bullet26,Bullet27,bl11,Bullet212,Bullet28,bl12,Bullet213,Bullet29,bl13,Bullet214,Bullet210,Bullet215,Γράφημα,Bullet List,FooterText,numbered,List Paragraph1,Paragraphe de liste1,列出"/>
    <w:basedOn w:val="a0"/>
    <w:link w:val="Char1"/>
    <w:uiPriority w:val="34"/>
    <w:qFormat/>
    <w:rsid w:val="00B35B16"/>
    <w:pPr>
      <w:spacing w:after="0" w:line="240" w:lineRule="auto"/>
      <w:ind w:left="720"/>
      <w:contextualSpacing/>
    </w:pPr>
    <w:rPr>
      <w:lang w:val="en-US"/>
    </w:rPr>
  </w:style>
  <w:style w:type="paragraph" w:customStyle="1" w:styleId="Standard">
    <w:name w:val="Standard"/>
    <w:uiPriority w:val="99"/>
    <w:rsid w:val="00B35B16"/>
    <w:pPr>
      <w:suppressAutoHyphens/>
      <w:autoSpaceDN w:val="0"/>
      <w:spacing w:line="254" w:lineRule="auto"/>
    </w:pPr>
    <w:rPr>
      <w:rFonts w:ascii="Calibri" w:eastAsia="SimSun" w:hAnsi="Calibri" w:cs="Tahoma"/>
      <w:kern w:val="3"/>
    </w:rPr>
  </w:style>
  <w:style w:type="character" w:styleId="-">
    <w:name w:val="Hyperlink"/>
    <w:basedOn w:val="a1"/>
    <w:uiPriority w:val="99"/>
    <w:unhideWhenUsed/>
    <w:rsid w:val="00B35B16"/>
    <w:rPr>
      <w:color w:val="0563C1" w:themeColor="hyperlink"/>
      <w:u w:val="single"/>
    </w:rPr>
  </w:style>
  <w:style w:type="character" w:customStyle="1" w:styleId="11">
    <w:name w:val="Ανεπίλυτη αναφορά1"/>
    <w:basedOn w:val="a1"/>
    <w:uiPriority w:val="99"/>
    <w:semiHidden/>
    <w:unhideWhenUsed/>
    <w:rsid w:val="00B35B16"/>
    <w:rPr>
      <w:color w:val="605E5C"/>
      <w:shd w:val="clear" w:color="auto" w:fill="E1DFDD"/>
    </w:rPr>
  </w:style>
  <w:style w:type="character" w:styleId="a8">
    <w:name w:val="Strong"/>
    <w:uiPriority w:val="22"/>
    <w:qFormat/>
    <w:rsid w:val="00B35B16"/>
    <w:rPr>
      <w:b/>
      <w:bCs/>
    </w:rPr>
  </w:style>
  <w:style w:type="paragraph" w:customStyle="1" w:styleId="12">
    <w:name w:val="Χωρίς διάστιχο1"/>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Char1">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7"/>
    <w:uiPriority w:val="1"/>
    <w:qFormat/>
    <w:locked/>
    <w:rsid w:val="00B35B16"/>
    <w:rPr>
      <w:lang w:val="en-US"/>
    </w:rPr>
  </w:style>
  <w:style w:type="paragraph" w:styleId="a9">
    <w:name w:val="Balloon Text"/>
    <w:basedOn w:val="a0"/>
    <w:link w:val="Char2"/>
    <w:unhideWhenUsed/>
    <w:rsid w:val="00B35B16"/>
    <w:pPr>
      <w:spacing w:after="0" w:line="240" w:lineRule="auto"/>
    </w:pPr>
    <w:rPr>
      <w:rFonts w:ascii="Segoe UI" w:hAnsi="Segoe UI" w:cs="Segoe UI"/>
      <w:sz w:val="18"/>
      <w:szCs w:val="18"/>
    </w:rPr>
  </w:style>
  <w:style w:type="character" w:customStyle="1" w:styleId="Char2">
    <w:name w:val="Κείμενο πλαισίου Char"/>
    <w:basedOn w:val="a1"/>
    <w:link w:val="a9"/>
    <w:uiPriority w:val="99"/>
    <w:rsid w:val="00B35B16"/>
    <w:rPr>
      <w:rFonts w:ascii="Segoe UI" w:hAnsi="Segoe UI" w:cs="Segoe UI"/>
      <w:sz w:val="18"/>
      <w:szCs w:val="18"/>
    </w:rPr>
  </w:style>
  <w:style w:type="paragraph" w:styleId="aa">
    <w:name w:val="Body Text Indent"/>
    <w:basedOn w:val="a0"/>
    <w:link w:val="Char3"/>
    <w:unhideWhenUsed/>
    <w:rsid w:val="00B35B16"/>
    <w:pPr>
      <w:spacing w:after="120" w:line="240" w:lineRule="auto"/>
      <w:ind w:left="283"/>
    </w:pPr>
    <w:rPr>
      <w:rFonts w:ascii="Times New Roman" w:eastAsia="Times New Roman" w:hAnsi="Times New Roman" w:cs="Times New Roman"/>
      <w:sz w:val="24"/>
      <w:szCs w:val="24"/>
      <w:lang w:val="en-GB"/>
    </w:rPr>
  </w:style>
  <w:style w:type="character" w:customStyle="1" w:styleId="Char3">
    <w:name w:val="Σώμα κείμενου με εσοχή Char"/>
    <w:basedOn w:val="a1"/>
    <w:link w:val="aa"/>
    <w:rsid w:val="00B35B16"/>
    <w:rPr>
      <w:rFonts w:ascii="Times New Roman" w:eastAsia="Times New Roman" w:hAnsi="Times New Roman" w:cs="Times New Roman"/>
      <w:sz w:val="24"/>
      <w:szCs w:val="24"/>
      <w:lang w:val="en-GB"/>
    </w:rPr>
  </w:style>
  <w:style w:type="table" w:styleId="ab">
    <w:name w:val="Table Grid"/>
    <w:basedOn w:val="a2"/>
    <w:uiPriority w:val="39"/>
    <w:rsid w:val="00B35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a1"/>
    <w:rsid w:val="00B35B16"/>
  </w:style>
  <w:style w:type="character" w:customStyle="1" w:styleId="lrzxr">
    <w:name w:val="lrzxr"/>
    <w:basedOn w:val="a1"/>
    <w:rsid w:val="00B35B16"/>
  </w:style>
  <w:style w:type="paragraph" w:customStyle="1" w:styleId="yiv5343072012msonormal">
    <w:name w:val="yiv534307201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01">
    <w:name w:val="fontstyle01"/>
    <w:basedOn w:val="a1"/>
    <w:rsid w:val="00B35B16"/>
    <w:rPr>
      <w:rFonts w:ascii="TimesNewRomanPS-BoldMT" w:hAnsi="TimesNewRomanPS-BoldMT" w:hint="default"/>
      <w:b/>
      <w:bCs/>
      <w:i w:val="0"/>
      <w:iCs w:val="0"/>
      <w:color w:val="000000"/>
      <w:sz w:val="24"/>
      <w:szCs w:val="24"/>
    </w:rPr>
  </w:style>
  <w:style w:type="paragraph" w:customStyle="1" w:styleId="StyleStyle2Before3pt">
    <w:name w:val="Style Style2 + Before:  3 pt"/>
    <w:basedOn w:val="a0"/>
    <w:uiPriority w:val="99"/>
    <w:rsid w:val="00B35B16"/>
    <w:pPr>
      <w:spacing w:before="60" w:after="0" w:line="360" w:lineRule="auto"/>
    </w:pPr>
    <w:rPr>
      <w:rFonts w:ascii="Arial" w:eastAsia="Times New Roman" w:hAnsi="Arial" w:cs="Times New Roman"/>
      <w:b/>
      <w:bCs/>
      <w:szCs w:val="20"/>
      <w:lang w:eastAsia="el-GR"/>
    </w:rPr>
  </w:style>
  <w:style w:type="paragraph" w:customStyle="1" w:styleId="21">
    <w:name w:val="Χωρίς διάστιχο2"/>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paragraph" w:styleId="Web">
    <w:name w:val="Normal (Web)"/>
    <w:basedOn w:val="a0"/>
    <w:uiPriority w:val="99"/>
    <w:unhideWhenUsed/>
    <w:rsid w:val="00B35B16"/>
    <w:pPr>
      <w:spacing w:after="150" w:line="240" w:lineRule="auto"/>
    </w:pPr>
    <w:rPr>
      <w:rFonts w:ascii="Times New Roman" w:eastAsia="Times New Roman" w:hAnsi="Times New Roman" w:cs="Times New Roman"/>
      <w:sz w:val="24"/>
      <w:szCs w:val="24"/>
      <w:lang w:eastAsia="el-GR"/>
    </w:rPr>
  </w:style>
  <w:style w:type="paragraph" w:customStyle="1" w:styleId="Default">
    <w:name w:val="Default"/>
    <w:rsid w:val="00B35B16"/>
    <w:pPr>
      <w:autoSpaceDE w:val="0"/>
      <w:autoSpaceDN w:val="0"/>
      <w:adjustRightInd w:val="0"/>
      <w:spacing w:after="0" w:line="240" w:lineRule="auto"/>
    </w:pPr>
    <w:rPr>
      <w:rFonts w:ascii="Tahoma" w:hAnsi="Tahoma" w:cs="Tahoma"/>
      <w:color w:val="000000"/>
      <w:sz w:val="24"/>
      <w:szCs w:val="24"/>
      <w:lang w:val="en-GB"/>
    </w:rPr>
  </w:style>
  <w:style w:type="paragraph" w:customStyle="1" w:styleId="ac">
    <w:name w:val="Κύριο τμήμα"/>
    <w:rsid w:val="00B35B1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character" w:customStyle="1" w:styleId="ad">
    <w:name w:val="Σώμα κειμένου_"/>
    <w:basedOn w:val="a1"/>
    <w:link w:val="51"/>
    <w:rsid w:val="00B35B16"/>
    <w:rPr>
      <w:rFonts w:ascii="Times New Roman" w:eastAsia="Times New Roman" w:hAnsi="Times New Roman" w:cs="Times New Roman"/>
      <w:shd w:val="clear" w:color="auto" w:fill="FFFFFF"/>
    </w:rPr>
  </w:style>
  <w:style w:type="character" w:customStyle="1" w:styleId="13">
    <w:name w:val="Σώμα κειμένου1"/>
    <w:basedOn w:val="ad"/>
    <w:rsid w:val="00B35B16"/>
    <w:rPr>
      <w:rFonts w:ascii="Times New Roman" w:eastAsia="Times New Roman" w:hAnsi="Times New Roman" w:cs="Times New Roman"/>
      <w:shd w:val="clear" w:color="auto" w:fill="FFFFFF"/>
    </w:rPr>
  </w:style>
  <w:style w:type="paragraph" w:customStyle="1" w:styleId="51">
    <w:name w:val="Σώμα κειμένου5"/>
    <w:basedOn w:val="a0"/>
    <w:link w:val="ad"/>
    <w:rsid w:val="00B35B16"/>
    <w:pPr>
      <w:shd w:val="clear" w:color="auto" w:fill="FFFFFF"/>
      <w:spacing w:after="420" w:line="414" w:lineRule="exact"/>
      <w:ind w:hanging="360"/>
      <w:jc w:val="center"/>
    </w:pPr>
    <w:rPr>
      <w:rFonts w:ascii="Times New Roman" w:eastAsia="Times New Roman" w:hAnsi="Times New Roman" w:cs="Times New Roman"/>
    </w:rPr>
  </w:style>
  <w:style w:type="character" w:customStyle="1" w:styleId="apple-converted-space">
    <w:name w:val="apple-converted-space"/>
    <w:rsid w:val="00B35B16"/>
  </w:style>
  <w:style w:type="numbering" w:customStyle="1" w:styleId="4">
    <w:name w:val="Εισήχθηκε το στιλ 4"/>
    <w:rsid w:val="00B35B16"/>
    <w:pPr>
      <w:numPr>
        <w:numId w:val="1"/>
      </w:numPr>
    </w:pPr>
  </w:style>
  <w:style w:type="numbering" w:customStyle="1" w:styleId="5">
    <w:name w:val="Εισήχθηκε το στιλ 5"/>
    <w:rsid w:val="00B35B16"/>
    <w:pPr>
      <w:numPr>
        <w:numId w:val="2"/>
      </w:numPr>
    </w:pPr>
  </w:style>
  <w:style w:type="paragraph" w:styleId="ae">
    <w:name w:val="footnote text"/>
    <w:aliases w:val="Footnote Text Char1,Footnote Text Char Char,Point 3 Char Char Char,Footnote text Char Char,Κείμενο υποσημείωσης-KATERINA Char Char,Char1 Char Char Char,Footnote Char1 Char Char,Point 3 Char"/>
    <w:basedOn w:val="a0"/>
    <w:link w:val="Char4"/>
    <w:uiPriority w:val="99"/>
    <w:unhideWhenUsed/>
    <w:qFormat/>
    <w:rsid w:val="00B35B16"/>
    <w:pPr>
      <w:pBdr>
        <w:top w:val="nil"/>
        <w:left w:val="nil"/>
        <w:bottom w:val="nil"/>
        <w:right w:val="nil"/>
        <w:between w:val="nil"/>
        <w:bar w:val="nil"/>
      </w:pBdr>
      <w:spacing w:after="0" w:line="240" w:lineRule="auto"/>
      <w:jc w:val="both"/>
    </w:pPr>
    <w:rPr>
      <w:rFonts w:ascii="Tahoma" w:eastAsia="Arial Unicode MS" w:hAnsi="Tahoma" w:cs="Arial Unicode MS"/>
      <w:color w:val="000000"/>
      <w:sz w:val="20"/>
      <w:szCs w:val="20"/>
      <w:u w:color="000000"/>
      <w:bdr w:val="nil"/>
      <w:lang w:eastAsia="el-GR"/>
    </w:rPr>
  </w:style>
  <w:style w:type="character" w:customStyle="1" w:styleId="Char4">
    <w:name w:val="Κείμενο υποσημείωσης Char"/>
    <w:aliases w:val="Footnote Text Char1 Char,Footnote Text Char Char Char,Point 3 Char Char Char Char,Footnote text Char Char Char,Κείμενο υποσημείωσης-KATERINA Char Char Char,Char1 Char Char Char Char,Footnote Char1 Char Char Char"/>
    <w:basedOn w:val="a1"/>
    <w:link w:val="ae"/>
    <w:uiPriority w:val="99"/>
    <w:rsid w:val="00B35B16"/>
    <w:rPr>
      <w:rFonts w:ascii="Tahoma" w:eastAsia="Arial Unicode MS" w:hAnsi="Tahoma" w:cs="Arial Unicode MS"/>
      <w:color w:val="000000"/>
      <w:sz w:val="20"/>
      <w:szCs w:val="20"/>
      <w:u w:color="000000"/>
      <w:bdr w:val="nil"/>
      <w:lang w:eastAsia="el-GR"/>
    </w:rPr>
  </w:style>
  <w:style w:type="character" w:styleId="af">
    <w:name w:val="footnote reference"/>
    <w:aliases w:val="BVI fnr,Footnote symbol,Footnote,Footnote Refernece,Fußnotenzeichen_Raxen,callout,Footnote Reference Number,SUPERS,Footnote reference number,Times 10 Point,Exposant 3 Point,EN Footnote Reference,note TESI,Ref,E,S, BVI fnr,number"/>
    <w:basedOn w:val="a1"/>
    <w:uiPriority w:val="99"/>
    <w:unhideWhenUsed/>
    <w:rsid w:val="00B35B16"/>
    <w:rPr>
      <w:vertAlign w:val="superscript"/>
    </w:rPr>
  </w:style>
  <w:style w:type="paragraph" w:styleId="-HTML">
    <w:name w:val="HTML Preformatted"/>
    <w:basedOn w:val="a0"/>
    <w:link w:val="-HTMLChar"/>
    <w:uiPriority w:val="99"/>
    <w:unhideWhenUsed/>
    <w:rsid w:val="00B35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B35B16"/>
    <w:rPr>
      <w:rFonts w:ascii="Courier New" w:eastAsia="Times New Roman" w:hAnsi="Courier New" w:cs="Courier New"/>
      <w:sz w:val="20"/>
      <w:szCs w:val="20"/>
      <w:lang w:eastAsia="el-GR"/>
    </w:rPr>
  </w:style>
  <w:style w:type="paragraph" w:customStyle="1" w:styleId="yiv6223186885msonormal">
    <w:name w:val="yiv622318688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1">
    <w:name w:val="Εισήχθηκε το στιλ 1"/>
    <w:rsid w:val="00B35B16"/>
    <w:pPr>
      <w:numPr>
        <w:numId w:val="3"/>
      </w:numPr>
    </w:pPr>
  </w:style>
  <w:style w:type="numbering" w:customStyle="1" w:styleId="2">
    <w:name w:val="Εισήχθηκε το στιλ 2"/>
    <w:rsid w:val="00B35B16"/>
    <w:pPr>
      <w:numPr>
        <w:numId w:val="4"/>
      </w:numPr>
    </w:pPr>
  </w:style>
  <w:style w:type="numbering" w:customStyle="1" w:styleId="3">
    <w:name w:val="Εισήχθηκε το στιλ 3"/>
    <w:rsid w:val="00B35B16"/>
    <w:pPr>
      <w:numPr>
        <w:numId w:val="5"/>
      </w:numPr>
    </w:pPr>
  </w:style>
  <w:style w:type="character" w:customStyle="1" w:styleId="22">
    <w:name w:val="Ανεπίλυτη αναφορά2"/>
    <w:basedOn w:val="a1"/>
    <w:uiPriority w:val="99"/>
    <w:semiHidden/>
    <w:unhideWhenUsed/>
    <w:rsid w:val="00B35B16"/>
    <w:rPr>
      <w:color w:val="605E5C"/>
      <w:shd w:val="clear" w:color="auto" w:fill="E1DFDD"/>
    </w:rPr>
  </w:style>
  <w:style w:type="paragraph" w:customStyle="1" w:styleId="Char20">
    <w:name w:val="Char2"/>
    <w:basedOn w:val="a0"/>
    <w:rsid w:val="00B35B16"/>
    <w:pPr>
      <w:spacing w:line="240" w:lineRule="exact"/>
    </w:pPr>
    <w:rPr>
      <w:rFonts w:ascii="Tahoma" w:eastAsia="Times New Roman" w:hAnsi="Tahoma" w:cs="Times New Roman"/>
      <w:sz w:val="20"/>
      <w:szCs w:val="20"/>
      <w:lang w:val="en-US"/>
    </w:rPr>
  </w:style>
  <w:style w:type="paragraph" w:styleId="23">
    <w:name w:val="Body Text Indent 2"/>
    <w:basedOn w:val="a0"/>
    <w:link w:val="2Char0"/>
    <w:rsid w:val="00B35B16"/>
    <w:pPr>
      <w:spacing w:after="120" w:line="480" w:lineRule="auto"/>
      <w:ind w:left="283"/>
    </w:pPr>
    <w:rPr>
      <w:rFonts w:ascii="Times New Roman" w:eastAsia="Times New Roman" w:hAnsi="Times New Roman" w:cs="Times New Roman"/>
      <w:sz w:val="24"/>
      <w:szCs w:val="24"/>
      <w:lang w:eastAsia="el-GR"/>
    </w:rPr>
  </w:style>
  <w:style w:type="character" w:customStyle="1" w:styleId="2Char0">
    <w:name w:val="Σώμα κείμενου με εσοχή 2 Char"/>
    <w:basedOn w:val="a1"/>
    <w:link w:val="23"/>
    <w:rsid w:val="00B35B16"/>
    <w:rPr>
      <w:rFonts w:ascii="Times New Roman" w:eastAsia="Times New Roman" w:hAnsi="Times New Roman" w:cs="Times New Roman"/>
      <w:sz w:val="24"/>
      <w:szCs w:val="24"/>
      <w:lang w:eastAsia="el-GR"/>
    </w:rPr>
  </w:style>
  <w:style w:type="paragraph" w:styleId="af0">
    <w:name w:val="Body Text"/>
    <w:basedOn w:val="a0"/>
    <w:link w:val="Char5"/>
    <w:unhideWhenUsed/>
    <w:qFormat/>
    <w:rsid w:val="00A75D0A"/>
    <w:pPr>
      <w:spacing w:after="120" w:line="288" w:lineRule="auto"/>
      <w:ind w:right="45"/>
      <w:jc w:val="both"/>
    </w:pPr>
    <w:rPr>
      <w:rFonts w:ascii="Times New Roman" w:hAnsi="Times New Roman" w:cs="Times New Roman"/>
      <w:bCs/>
      <w:sz w:val="24"/>
      <w:szCs w:val="24"/>
    </w:rPr>
  </w:style>
  <w:style w:type="character" w:customStyle="1" w:styleId="Char5">
    <w:name w:val="Σώμα κειμένου Char"/>
    <w:basedOn w:val="a1"/>
    <w:link w:val="af0"/>
    <w:rsid w:val="00A75D0A"/>
    <w:rPr>
      <w:rFonts w:ascii="Times New Roman" w:hAnsi="Times New Roman" w:cs="Times New Roman"/>
      <w:bCs/>
      <w:sz w:val="24"/>
      <w:szCs w:val="24"/>
    </w:rPr>
  </w:style>
  <w:style w:type="paragraph" w:styleId="31">
    <w:name w:val="Body Text 3"/>
    <w:basedOn w:val="a0"/>
    <w:link w:val="3Char0"/>
    <w:rsid w:val="00B35B16"/>
    <w:pPr>
      <w:spacing w:after="0" w:line="240" w:lineRule="auto"/>
      <w:jc w:val="center"/>
    </w:pPr>
    <w:rPr>
      <w:rFonts w:ascii="Times New Roman" w:eastAsia="Times New Roman" w:hAnsi="Times New Roman" w:cs="Times New Roman"/>
      <w:b/>
      <w:bCs/>
      <w:sz w:val="24"/>
      <w:szCs w:val="24"/>
      <w:u w:val="single"/>
      <w:lang w:eastAsia="el-GR"/>
    </w:rPr>
  </w:style>
  <w:style w:type="character" w:customStyle="1" w:styleId="3Char0">
    <w:name w:val="Σώμα κείμενου 3 Char"/>
    <w:basedOn w:val="a1"/>
    <w:link w:val="31"/>
    <w:rsid w:val="00B35B16"/>
    <w:rPr>
      <w:rFonts w:ascii="Times New Roman" w:eastAsia="Times New Roman" w:hAnsi="Times New Roman" w:cs="Times New Roman"/>
      <w:b/>
      <w:bCs/>
      <w:sz w:val="24"/>
      <w:szCs w:val="24"/>
      <w:u w:val="single"/>
      <w:lang w:eastAsia="el-GR"/>
    </w:rPr>
  </w:style>
  <w:style w:type="paragraph" w:customStyle="1" w:styleId="14">
    <w:name w:val="Στυλ1"/>
    <w:basedOn w:val="a0"/>
    <w:autoRedefine/>
    <w:rsid w:val="00B35B16"/>
    <w:pPr>
      <w:spacing w:after="0" w:line="384" w:lineRule="auto"/>
      <w:ind w:right="-868"/>
      <w:jc w:val="center"/>
    </w:pPr>
    <w:rPr>
      <w:rFonts w:ascii="Times New Roman" w:eastAsia="Times New Roman" w:hAnsi="Times New Roman" w:cs="Times New Roman"/>
      <w:b/>
      <w:sz w:val="32"/>
      <w:szCs w:val="32"/>
      <w:lang w:eastAsia="el-GR"/>
    </w:rPr>
  </w:style>
  <w:style w:type="paragraph" w:customStyle="1" w:styleId="CharCharCharCharChar">
    <w:name w:val="Char Char Char Char Char"/>
    <w:basedOn w:val="a0"/>
    <w:rsid w:val="00B35B16"/>
    <w:pPr>
      <w:spacing w:line="240" w:lineRule="exact"/>
    </w:pPr>
    <w:rPr>
      <w:rFonts w:ascii="Tahoma" w:eastAsia="Times New Roman" w:hAnsi="Tahoma" w:cs="Times New Roman"/>
      <w:sz w:val="20"/>
      <w:szCs w:val="20"/>
      <w:lang w:val="en-US"/>
    </w:rPr>
  </w:style>
  <w:style w:type="paragraph" w:customStyle="1" w:styleId="af1">
    <w:name w:val="Στυλ"/>
    <w:rsid w:val="00B35B16"/>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styleId="af2">
    <w:name w:val="Emphasis"/>
    <w:uiPriority w:val="20"/>
    <w:qFormat/>
    <w:rsid w:val="00B35B16"/>
    <w:rPr>
      <w:i/>
      <w:iCs/>
    </w:rPr>
  </w:style>
  <w:style w:type="paragraph" w:styleId="24">
    <w:name w:val="Body Text 2"/>
    <w:basedOn w:val="a0"/>
    <w:link w:val="2Char1"/>
    <w:rsid w:val="00B35B16"/>
    <w:pPr>
      <w:spacing w:after="120" w:line="480" w:lineRule="auto"/>
    </w:pPr>
    <w:rPr>
      <w:rFonts w:ascii="Times New Roman" w:eastAsia="Times New Roman" w:hAnsi="Times New Roman" w:cs="Times New Roman"/>
      <w:sz w:val="24"/>
      <w:szCs w:val="24"/>
      <w:lang w:val="en-GB"/>
    </w:rPr>
  </w:style>
  <w:style w:type="character" w:customStyle="1" w:styleId="2Char1">
    <w:name w:val="Σώμα κείμενου 2 Char"/>
    <w:basedOn w:val="a1"/>
    <w:link w:val="24"/>
    <w:rsid w:val="00B35B16"/>
    <w:rPr>
      <w:rFonts w:ascii="Times New Roman" w:eastAsia="Times New Roman" w:hAnsi="Times New Roman" w:cs="Times New Roman"/>
      <w:sz w:val="24"/>
      <w:szCs w:val="24"/>
      <w:lang w:val="en-GB"/>
    </w:rPr>
  </w:style>
  <w:style w:type="paragraph" w:customStyle="1" w:styleId="Index">
    <w:name w:val="Index"/>
    <w:basedOn w:val="a0"/>
    <w:rsid w:val="00B35B16"/>
    <w:pPr>
      <w:suppressLineNumbers/>
      <w:suppressAutoHyphens/>
      <w:spacing w:after="0" w:line="240" w:lineRule="auto"/>
    </w:pPr>
    <w:rPr>
      <w:rFonts w:ascii="Times New Roman" w:eastAsia="Times New Roman" w:hAnsi="Times New Roman" w:cs="Tahoma"/>
      <w:sz w:val="24"/>
      <w:szCs w:val="24"/>
      <w:lang w:eastAsia="ar-SA"/>
    </w:rPr>
  </w:style>
  <w:style w:type="paragraph" w:styleId="a">
    <w:name w:val="List Bullet"/>
    <w:basedOn w:val="a0"/>
    <w:rsid w:val="00B35B16"/>
    <w:pPr>
      <w:numPr>
        <w:numId w:val="6"/>
      </w:numPr>
      <w:spacing w:after="200" w:line="276" w:lineRule="auto"/>
    </w:pPr>
    <w:rPr>
      <w:rFonts w:ascii="Calibri" w:eastAsia="Times New Roman" w:hAnsi="Calibri" w:cs="Calibri"/>
    </w:rPr>
  </w:style>
  <w:style w:type="paragraph" w:customStyle="1" w:styleId="yiv1423836970msonormal">
    <w:name w:val="yiv1423836970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TMLChar1">
    <w:name w:val="Προ-διαμορφωμένο HTML Char1"/>
    <w:uiPriority w:val="99"/>
    <w:semiHidden/>
    <w:rsid w:val="00B35B16"/>
    <w:rPr>
      <w:rFonts w:ascii="Consolas" w:eastAsia="Times New Roman" w:hAnsi="Consolas" w:cs="Consolas"/>
      <w:sz w:val="20"/>
      <w:szCs w:val="20"/>
      <w:lang w:val="en-GB"/>
    </w:rPr>
  </w:style>
  <w:style w:type="paragraph" w:customStyle="1" w:styleId="15">
    <w:name w:val="Παράγραφος λίστας1"/>
    <w:basedOn w:val="a0"/>
    <w:rsid w:val="00B35B16"/>
    <w:pPr>
      <w:spacing w:after="200" w:line="276" w:lineRule="auto"/>
      <w:ind w:left="720"/>
    </w:pPr>
    <w:rPr>
      <w:rFonts w:ascii="Calibri" w:eastAsia="Times New Roman" w:hAnsi="Calibri" w:cs="Times New Roman"/>
    </w:rPr>
  </w:style>
  <w:style w:type="paragraph" w:customStyle="1" w:styleId="msonormalcxsp">
    <w:name w:val="msonormalcxspτελευταίο"/>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60">
    <w:name w:val="Style60"/>
    <w:basedOn w:val="a0"/>
    <w:rsid w:val="00B35B16"/>
    <w:pPr>
      <w:widowControl w:val="0"/>
      <w:autoSpaceDE w:val="0"/>
      <w:autoSpaceDN w:val="0"/>
      <w:adjustRightInd w:val="0"/>
      <w:spacing w:after="0" w:line="374" w:lineRule="exact"/>
      <w:ind w:hanging="346"/>
      <w:jc w:val="both"/>
    </w:pPr>
    <w:rPr>
      <w:rFonts w:ascii="Georgia" w:eastAsia="Calibri" w:hAnsi="Georgia" w:cs="Times New Roman"/>
      <w:sz w:val="24"/>
      <w:szCs w:val="24"/>
      <w:lang w:eastAsia="el-GR"/>
    </w:rPr>
  </w:style>
  <w:style w:type="paragraph" w:customStyle="1" w:styleId="yiv0418036571msonormal">
    <w:name w:val="yiv0418036571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67">
    <w:name w:val="Font Style67"/>
    <w:uiPriority w:val="99"/>
    <w:rsid w:val="00B35B16"/>
    <w:rPr>
      <w:rFonts w:ascii="Georgia" w:hAnsi="Georgia" w:cs="Georgia" w:hint="default"/>
      <w:b/>
      <w:bCs/>
      <w:sz w:val="20"/>
      <w:szCs w:val="20"/>
    </w:rPr>
  </w:style>
  <w:style w:type="paragraph" w:customStyle="1" w:styleId="ListBullet1">
    <w:name w:val="List Bullet1"/>
    <w:uiPriority w:val="99"/>
    <w:rsid w:val="00B35B16"/>
    <w:pPr>
      <w:suppressAutoHyphens/>
      <w:spacing w:before="60" w:after="0" w:line="240" w:lineRule="auto"/>
      <w:jc w:val="both"/>
    </w:pPr>
    <w:rPr>
      <w:rFonts w:ascii="Times New Roman" w:eastAsia="Times New Roman" w:hAnsi="Times New Roman" w:cs="Times New Roman"/>
      <w:color w:val="000000"/>
      <w:kern w:val="1"/>
      <w:sz w:val="24"/>
      <w:szCs w:val="24"/>
      <w:lang w:eastAsia="hi-IN" w:bidi="hi-IN"/>
    </w:rPr>
  </w:style>
  <w:style w:type="paragraph" w:customStyle="1" w:styleId="yiv2076479515msonormal">
    <w:name w:val="yiv207647951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mystyle">
    <w:name w:val="Normal.mystyle"/>
    <w:basedOn w:val="a0"/>
    <w:rsid w:val="00B35B16"/>
    <w:pPr>
      <w:spacing w:after="120" w:line="240" w:lineRule="auto"/>
      <w:jc w:val="both"/>
    </w:pPr>
    <w:rPr>
      <w:rFonts w:ascii="Tahoma" w:eastAsia="Calibri" w:hAnsi="Tahoma" w:cs="Tahoma"/>
    </w:rPr>
  </w:style>
  <w:style w:type="paragraph" w:styleId="af3">
    <w:name w:val="Plain Text"/>
    <w:basedOn w:val="a0"/>
    <w:link w:val="Char6"/>
    <w:uiPriority w:val="99"/>
    <w:semiHidden/>
    <w:unhideWhenUsed/>
    <w:rsid w:val="00B35B16"/>
    <w:pPr>
      <w:spacing w:after="0" w:line="240" w:lineRule="auto"/>
    </w:pPr>
    <w:rPr>
      <w:rFonts w:ascii="Consolas" w:eastAsia="Calibri" w:hAnsi="Consolas" w:cs="Times New Roman"/>
      <w:sz w:val="21"/>
      <w:szCs w:val="21"/>
    </w:rPr>
  </w:style>
  <w:style w:type="character" w:customStyle="1" w:styleId="Char6">
    <w:name w:val="Απλό κείμενο Char"/>
    <w:basedOn w:val="a1"/>
    <w:link w:val="af3"/>
    <w:uiPriority w:val="99"/>
    <w:semiHidden/>
    <w:rsid w:val="00B35B16"/>
    <w:rPr>
      <w:rFonts w:ascii="Consolas" w:eastAsia="Calibri" w:hAnsi="Consolas" w:cs="Times New Roman"/>
      <w:sz w:val="21"/>
      <w:szCs w:val="21"/>
    </w:rPr>
  </w:style>
  <w:style w:type="paragraph" w:styleId="af4">
    <w:name w:val="endnote text"/>
    <w:basedOn w:val="a0"/>
    <w:link w:val="Char7"/>
    <w:uiPriority w:val="99"/>
    <w:semiHidden/>
    <w:unhideWhenUsed/>
    <w:rsid w:val="00B35B16"/>
    <w:rPr>
      <w:rFonts w:ascii="Calibri" w:eastAsia="Calibri" w:hAnsi="Calibri" w:cs="Times New Roman"/>
      <w:sz w:val="20"/>
      <w:szCs w:val="20"/>
    </w:rPr>
  </w:style>
  <w:style w:type="character" w:customStyle="1" w:styleId="Char7">
    <w:name w:val="Κείμενο σημείωσης τέλους Char"/>
    <w:basedOn w:val="a1"/>
    <w:link w:val="af4"/>
    <w:uiPriority w:val="99"/>
    <w:semiHidden/>
    <w:rsid w:val="00B35B16"/>
    <w:rPr>
      <w:rFonts w:ascii="Calibri" w:eastAsia="Calibri" w:hAnsi="Calibri" w:cs="Times New Roman"/>
      <w:sz w:val="20"/>
      <w:szCs w:val="20"/>
    </w:rPr>
  </w:style>
  <w:style w:type="character" w:styleId="af5">
    <w:name w:val="endnote reference"/>
    <w:uiPriority w:val="99"/>
    <w:semiHidden/>
    <w:unhideWhenUsed/>
    <w:rsid w:val="00B35B16"/>
    <w:rPr>
      <w:vertAlign w:val="superscript"/>
    </w:rPr>
  </w:style>
  <w:style w:type="paragraph" w:styleId="af6">
    <w:name w:val="Date"/>
    <w:basedOn w:val="a0"/>
    <w:next w:val="a0"/>
    <w:link w:val="Char8"/>
    <w:rsid w:val="00B35B16"/>
    <w:pPr>
      <w:suppressAutoHyphens/>
      <w:spacing w:after="100" w:line="240" w:lineRule="auto"/>
      <w:jc w:val="both"/>
    </w:pPr>
    <w:rPr>
      <w:rFonts w:ascii="Calibri" w:eastAsia="MS Mincho" w:hAnsi="Calibri" w:cs="Times New Roman"/>
      <w:szCs w:val="24"/>
      <w:lang w:val="en-US" w:eastAsia="ja-JP"/>
    </w:rPr>
  </w:style>
  <w:style w:type="character" w:customStyle="1" w:styleId="Char8">
    <w:name w:val="Ημερομηνία Char"/>
    <w:basedOn w:val="a1"/>
    <w:link w:val="af6"/>
    <w:rsid w:val="00B35B16"/>
    <w:rPr>
      <w:rFonts w:ascii="Calibri" w:eastAsia="MS Mincho" w:hAnsi="Calibri" w:cs="Times New Roman"/>
      <w:szCs w:val="24"/>
      <w:lang w:val="en-US" w:eastAsia="ja-JP"/>
    </w:rPr>
  </w:style>
  <w:style w:type="character" w:customStyle="1" w:styleId="25">
    <w:name w:val="Σώμα κειμένου (2) + Χωρίς έντονη γραφή"/>
    <w:rsid w:val="00B35B16"/>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af7">
    <w:name w:val="No Spacing"/>
    <w:uiPriority w:val="1"/>
    <w:qFormat/>
    <w:rsid w:val="00B35B16"/>
    <w:pPr>
      <w:spacing w:after="0" w:line="240" w:lineRule="auto"/>
    </w:pPr>
    <w:rPr>
      <w:rFonts w:ascii="Calibri" w:eastAsia="Calibri" w:hAnsi="Calibri" w:cs="Times New Roman"/>
    </w:rPr>
  </w:style>
  <w:style w:type="paragraph" w:customStyle="1" w:styleId="msonormal0">
    <w:name w:val="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20">
    <w:name w:val="Σώμα κείμενου 22"/>
    <w:basedOn w:val="a0"/>
    <w:rsid w:val="00B35B16"/>
    <w:pPr>
      <w:overflowPunct w:val="0"/>
      <w:autoSpaceDE w:val="0"/>
      <w:autoSpaceDN w:val="0"/>
      <w:adjustRightInd w:val="0"/>
      <w:spacing w:after="0" w:line="240" w:lineRule="auto"/>
      <w:ind w:firstLine="720"/>
      <w:jc w:val="both"/>
    </w:pPr>
    <w:rPr>
      <w:rFonts w:ascii="Arial" w:eastAsia="Times New Roman" w:hAnsi="Arial" w:cs="Times New Roman"/>
      <w:szCs w:val="20"/>
      <w:lang w:eastAsia="el-GR"/>
    </w:rPr>
  </w:style>
  <w:style w:type="character" w:customStyle="1" w:styleId="contact-street">
    <w:name w:val="contact-street"/>
    <w:rsid w:val="00B35B16"/>
  </w:style>
  <w:style w:type="character" w:customStyle="1" w:styleId="contact-suburb">
    <w:name w:val="contact-suburb"/>
    <w:rsid w:val="00B35B16"/>
  </w:style>
  <w:style w:type="character" w:customStyle="1" w:styleId="contact-postcode">
    <w:name w:val="contact-postcode"/>
    <w:rsid w:val="00B35B16"/>
  </w:style>
  <w:style w:type="paragraph" w:customStyle="1" w:styleId="CharCharCharCharChar1">
    <w:name w:val="Char Char Char Char Char1"/>
    <w:basedOn w:val="a0"/>
    <w:rsid w:val="00B35B16"/>
    <w:pPr>
      <w:spacing w:line="240" w:lineRule="exact"/>
    </w:pPr>
    <w:rPr>
      <w:rFonts w:ascii="Tahoma" w:eastAsia="Times New Roman" w:hAnsi="Tahoma" w:cs="Times New Roman"/>
      <w:sz w:val="20"/>
      <w:szCs w:val="20"/>
      <w:lang w:val="en-US"/>
    </w:rPr>
  </w:style>
  <w:style w:type="character" w:customStyle="1" w:styleId="af8">
    <w:name w:val="Κανένα"/>
    <w:rsid w:val="00B35B16"/>
  </w:style>
  <w:style w:type="paragraph" w:customStyle="1" w:styleId="yiv1380309479msonormal">
    <w:name w:val="yiv1380309479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2">
    <w:name w:val="Χωρίς διάστιχο3"/>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33">
    <w:name w:val="Ανεπίλυτη αναφορά3"/>
    <w:basedOn w:val="a1"/>
    <w:uiPriority w:val="99"/>
    <w:semiHidden/>
    <w:unhideWhenUsed/>
    <w:rsid w:val="00B35B16"/>
    <w:rPr>
      <w:color w:val="605E5C"/>
      <w:shd w:val="clear" w:color="auto" w:fill="E1DFDD"/>
    </w:rPr>
  </w:style>
  <w:style w:type="character" w:customStyle="1" w:styleId="fieldtitles1">
    <w:name w:val="fieldtitles1"/>
    <w:rsid w:val="00B35B16"/>
    <w:rPr>
      <w:rFonts w:ascii="Tahoma" w:hAnsi="Tahoma" w:cs="Tahoma" w:hint="default"/>
      <w:b w:val="0"/>
      <w:bCs w:val="0"/>
      <w:i w:val="0"/>
      <w:iCs w:val="0"/>
      <w:color w:val="000000"/>
      <w:sz w:val="17"/>
      <w:szCs w:val="17"/>
    </w:rPr>
  </w:style>
  <w:style w:type="character" w:customStyle="1" w:styleId="highlight1">
    <w:name w:val="highlight1"/>
    <w:rsid w:val="00B35B16"/>
  </w:style>
  <w:style w:type="paragraph" w:customStyle="1" w:styleId="paragraph">
    <w:name w:val="paragraph"/>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1"/>
    <w:rsid w:val="00B35B16"/>
  </w:style>
  <w:style w:type="character" w:customStyle="1" w:styleId="spellingerror">
    <w:name w:val="spellingerror"/>
    <w:basedOn w:val="a1"/>
    <w:rsid w:val="00B35B16"/>
  </w:style>
  <w:style w:type="character" w:customStyle="1" w:styleId="eop">
    <w:name w:val="eop"/>
    <w:basedOn w:val="a1"/>
    <w:rsid w:val="00B35B16"/>
  </w:style>
  <w:style w:type="paragraph" w:customStyle="1" w:styleId="xydp534827f9yiv1814319422msonormal">
    <w:name w:val="x_ydp534827f9yiv181431942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f9">
    <w:name w:val="Σύμβολο υποσημείωσης"/>
    <w:rsid w:val="00B35B16"/>
    <w:rPr>
      <w:vertAlign w:val="superscript"/>
    </w:rPr>
  </w:style>
  <w:style w:type="character" w:customStyle="1" w:styleId="3Char1">
    <w:name w:val="Επικεφαλίδα 3 Char1"/>
    <w:aliases w:val="H3 Char1,Proposa Char1,Project 3 Char1,h3 Char1,Heading 3 - old Char1,1.2.3. Char1,alltoc Char1,3 Char1,Heading 4 Proposal Char1,h31 Char1,h32 Char1,Bold Head Char1,bh Char1,(1.1.1) Char1,hd3 Char1,Minor Char1,1.1.1 Heading Char1"/>
    <w:uiPriority w:val="9"/>
    <w:semiHidden/>
    <w:rsid w:val="00B35B16"/>
    <w:rPr>
      <w:rFonts w:ascii="Calibri Light" w:eastAsia="Times New Roman" w:hAnsi="Calibri Light" w:cs="Times New Roman"/>
      <w:color w:val="1F3763"/>
      <w:sz w:val="24"/>
      <w:szCs w:val="24"/>
      <w:lang w:val="en-GB"/>
    </w:rPr>
  </w:style>
  <w:style w:type="paragraph" w:customStyle="1" w:styleId="xmsonormal">
    <w:name w:val="x_msonormal"/>
    <w:basedOn w:val="a0"/>
    <w:rsid w:val="00B35B16"/>
    <w:pPr>
      <w:spacing w:after="0" w:line="240" w:lineRule="auto"/>
    </w:pPr>
    <w:rPr>
      <w:rFonts w:ascii="Times New Roman" w:eastAsia="Calibri" w:hAnsi="Times New Roman" w:cs="Times New Roman"/>
      <w:sz w:val="24"/>
      <w:szCs w:val="24"/>
      <w:lang w:val="en-US"/>
    </w:rPr>
  </w:style>
  <w:style w:type="character" w:customStyle="1" w:styleId="Afa">
    <w:name w:val="Κανένα A"/>
    <w:rsid w:val="00B35B16"/>
  </w:style>
  <w:style w:type="paragraph" w:customStyle="1" w:styleId="210">
    <w:name w:val="Σώμα κείμενου 21"/>
    <w:basedOn w:val="a0"/>
    <w:rsid w:val="003B3FEB"/>
    <w:pPr>
      <w:overflowPunct w:val="0"/>
      <w:autoSpaceDE w:val="0"/>
      <w:autoSpaceDN w:val="0"/>
      <w:adjustRightInd w:val="0"/>
      <w:spacing w:after="0" w:line="240" w:lineRule="auto"/>
      <w:ind w:firstLine="720"/>
      <w:jc w:val="both"/>
      <w:textAlignment w:val="baseline"/>
    </w:pPr>
    <w:rPr>
      <w:rFonts w:ascii="Arial" w:eastAsia="Times New Roman" w:hAnsi="Arial" w:cs="Times New Roman"/>
      <w:szCs w:val="20"/>
      <w:lang w:eastAsia="el-GR"/>
    </w:rPr>
  </w:style>
  <w:style w:type="character" w:customStyle="1" w:styleId="41">
    <w:name w:val="Ανεπίλυτη αναφορά4"/>
    <w:basedOn w:val="a1"/>
    <w:uiPriority w:val="99"/>
    <w:semiHidden/>
    <w:unhideWhenUsed/>
    <w:rsid w:val="00AD6A20"/>
    <w:rPr>
      <w:color w:val="605E5C"/>
      <w:shd w:val="clear" w:color="auto" w:fill="E1DFDD"/>
    </w:rPr>
  </w:style>
  <w:style w:type="table" w:customStyle="1" w:styleId="TableNormal1">
    <w:name w:val="Table Normal1"/>
    <w:uiPriority w:val="2"/>
    <w:semiHidden/>
    <w:unhideWhenUsed/>
    <w:qFormat/>
    <w:rsid w:val="001E3F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E3F9F"/>
    <w:pPr>
      <w:widowControl w:val="0"/>
      <w:autoSpaceDE w:val="0"/>
      <w:autoSpaceDN w:val="0"/>
      <w:spacing w:after="0" w:line="240" w:lineRule="auto"/>
    </w:pPr>
    <w:rPr>
      <w:rFonts w:ascii="Arial" w:eastAsia="Arial" w:hAnsi="Arial" w:cs="Arial"/>
    </w:rPr>
  </w:style>
  <w:style w:type="paragraph" w:customStyle="1" w:styleId="110">
    <w:name w:val="Παράγραφος λίστας11"/>
    <w:basedOn w:val="a0"/>
    <w:uiPriority w:val="99"/>
    <w:rsid w:val="001E3F9F"/>
    <w:pPr>
      <w:ind w:left="720"/>
      <w:contextualSpacing/>
    </w:pPr>
    <w:rPr>
      <w:rFonts w:ascii="Calibri" w:eastAsia="Times New Roman" w:hAnsi="Calibri" w:cs="Times New Roman"/>
    </w:rPr>
  </w:style>
  <w:style w:type="paragraph" w:customStyle="1" w:styleId="BodyText31">
    <w:name w:val="Body Text 31"/>
    <w:basedOn w:val="a0"/>
    <w:uiPriority w:val="99"/>
    <w:qFormat/>
    <w:rsid w:val="001E3F9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l-GR"/>
    </w:rPr>
  </w:style>
  <w:style w:type="character" w:styleId="afb">
    <w:name w:val="Subtle Emphasis"/>
    <w:basedOn w:val="a1"/>
    <w:qFormat/>
    <w:rsid w:val="001E3F9F"/>
    <w:rPr>
      <w:i/>
      <w:iCs/>
      <w:color w:val="404040"/>
    </w:rPr>
  </w:style>
  <w:style w:type="numbering" w:customStyle="1" w:styleId="WWNum13">
    <w:name w:val="WWNum13"/>
    <w:rsid w:val="001E3F9F"/>
    <w:pPr>
      <w:numPr>
        <w:numId w:val="7"/>
      </w:numPr>
    </w:pPr>
  </w:style>
  <w:style w:type="numbering" w:customStyle="1" w:styleId="WWNum14">
    <w:name w:val="WWNum14"/>
    <w:rsid w:val="001E3F9F"/>
    <w:pPr>
      <w:numPr>
        <w:numId w:val="8"/>
      </w:numPr>
    </w:pPr>
  </w:style>
  <w:style w:type="character" w:styleId="-0">
    <w:name w:val="FollowedHyperlink"/>
    <w:basedOn w:val="a1"/>
    <w:uiPriority w:val="99"/>
    <w:semiHidden/>
    <w:unhideWhenUsed/>
    <w:rsid w:val="001E3F9F"/>
    <w:rPr>
      <w:color w:val="954F72" w:themeColor="followedHyperlink"/>
      <w:u w:val="single"/>
    </w:rPr>
  </w:style>
  <w:style w:type="paragraph" w:styleId="afc">
    <w:name w:val="Revision"/>
    <w:hidden/>
    <w:uiPriority w:val="99"/>
    <w:semiHidden/>
    <w:rsid w:val="001E3F9F"/>
    <w:pPr>
      <w:spacing w:after="0" w:line="240" w:lineRule="auto"/>
    </w:pPr>
    <w:rPr>
      <w:rFonts w:ascii="Arial" w:eastAsia="Arial" w:hAnsi="Arial" w:cs="Arial"/>
    </w:rPr>
  </w:style>
  <w:style w:type="paragraph" w:styleId="afd">
    <w:name w:val="TOC Heading"/>
    <w:basedOn w:val="10"/>
    <w:next w:val="a0"/>
    <w:uiPriority w:val="39"/>
    <w:unhideWhenUsed/>
    <w:qFormat/>
    <w:rsid w:val="001E3F9F"/>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16">
    <w:name w:val="toc 1"/>
    <w:basedOn w:val="a0"/>
    <w:next w:val="a0"/>
    <w:autoRedefine/>
    <w:uiPriority w:val="39"/>
    <w:unhideWhenUsed/>
    <w:rsid w:val="002335C1"/>
    <w:pPr>
      <w:widowControl w:val="0"/>
      <w:shd w:val="clear" w:color="auto" w:fill="F2F2F2" w:themeFill="background1" w:themeFillShade="F2"/>
      <w:tabs>
        <w:tab w:val="right" w:leader="dot" w:pos="10327"/>
      </w:tabs>
      <w:autoSpaceDE w:val="0"/>
      <w:autoSpaceDN w:val="0"/>
      <w:spacing w:before="120" w:after="120" w:line="240" w:lineRule="auto"/>
      <w:ind w:left="284" w:hanging="284"/>
      <w:jc w:val="both"/>
    </w:pPr>
    <w:rPr>
      <w:rFonts w:ascii="Times New Roman" w:eastAsia="Arial" w:hAnsi="Times New Roman" w:cs="Times New Roman"/>
      <w:noProof/>
      <w:sz w:val="24"/>
      <w:szCs w:val="24"/>
    </w:rPr>
  </w:style>
  <w:style w:type="paragraph" w:styleId="26">
    <w:name w:val="toc 2"/>
    <w:basedOn w:val="a0"/>
    <w:next w:val="a0"/>
    <w:autoRedefine/>
    <w:uiPriority w:val="39"/>
    <w:unhideWhenUsed/>
    <w:rsid w:val="002335C1"/>
    <w:pPr>
      <w:widowControl w:val="0"/>
      <w:tabs>
        <w:tab w:val="right" w:leader="dot" w:pos="10327"/>
      </w:tabs>
      <w:autoSpaceDE w:val="0"/>
      <w:autoSpaceDN w:val="0"/>
      <w:spacing w:before="360" w:after="360" w:line="240" w:lineRule="auto"/>
      <w:ind w:left="284"/>
      <w:jc w:val="both"/>
    </w:pPr>
    <w:rPr>
      <w:rFonts w:ascii="Times New Roman" w:eastAsia="Arial" w:hAnsi="Times New Roman" w:cs="Times New Roman"/>
      <w:bCs/>
      <w:noProof/>
      <w:sz w:val="24"/>
      <w:szCs w:val="24"/>
    </w:rPr>
  </w:style>
  <w:style w:type="paragraph" w:customStyle="1" w:styleId="xxmsonormal">
    <w:name w:val="x_xmsonormal"/>
    <w:basedOn w:val="a0"/>
    <w:rsid w:val="001E3F9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fe">
    <w:name w:val="annotation reference"/>
    <w:basedOn w:val="a1"/>
    <w:uiPriority w:val="99"/>
    <w:semiHidden/>
    <w:unhideWhenUsed/>
    <w:rsid w:val="001E3F9F"/>
    <w:rPr>
      <w:sz w:val="16"/>
      <w:szCs w:val="16"/>
    </w:rPr>
  </w:style>
  <w:style w:type="paragraph" w:styleId="aff">
    <w:name w:val="annotation text"/>
    <w:basedOn w:val="a0"/>
    <w:link w:val="Char9"/>
    <w:uiPriority w:val="99"/>
    <w:semiHidden/>
    <w:unhideWhenUsed/>
    <w:rsid w:val="001E3F9F"/>
    <w:pPr>
      <w:widowControl w:val="0"/>
      <w:autoSpaceDE w:val="0"/>
      <w:autoSpaceDN w:val="0"/>
      <w:spacing w:after="0" w:line="240" w:lineRule="auto"/>
    </w:pPr>
    <w:rPr>
      <w:rFonts w:ascii="Arial" w:eastAsia="Arial" w:hAnsi="Arial" w:cs="Arial"/>
      <w:sz w:val="20"/>
      <w:szCs w:val="20"/>
    </w:rPr>
  </w:style>
  <w:style w:type="character" w:customStyle="1" w:styleId="Char9">
    <w:name w:val="Κείμενο σχολίου Char"/>
    <w:basedOn w:val="a1"/>
    <w:link w:val="aff"/>
    <w:uiPriority w:val="99"/>
    <w:semiHidden/>
    <w:rsid w:val="001E3F9F"/>
    <w:rPr>
      <w:rFonts w:ascii="Arial" w:eastAsia="Arial" w:hAnsi="Arial" w:cs="Arial"/>
      <w:sz w:val="20"/>
      <w:szCs w:val="20"/>
    </w:rPr>
  </w:style>
  <w:style w:type="paragraph" w:styleId="aff0">
    <w:name w:val="annotation subject"/>
    <w:basedOn w:val="aff"/>
    <w:next w:val="aff"/>
    <w:link w:val="Chara"/>
    <w:uiPriority w:val="99"/>
    <w:semiHidden/>
    <w:unhideWhenUsed/>
    <w:rsid w:val="001E3F9F"/>
    <w:rPr>
      <w:b/>
      <w:bCs/>
    </w:rPr>
  </w:style>
  <w:style w:type="character" w:customStyle="1" w:styleId="Chara">
    <w:name w:val="Θέμα σχολίου Char"/>
    <w:basedOn w:val="Char9"/>
    <w:link w:val="aff0"/>
    <w:uiPriority w:val="99"/>
    <w:semiHidden/>
    <w:rsid w:val="001E3F9F"/>
    <w:rPr>
      <w:rFonts w:ascii="Arial" w:eastAsia="Arial" w:hAnsi="Arial" w:cs="Arial"/>
      <w:b/>
      <w:bCs/>
      <w:sz w:val="20"/>
      <w:szCs w:val="20"/>
    </w:rPr>
  </w:style>
  <w:style w:type="character" w:customStyle="1" w:styleId="52">
    <w:name w:val="Ανεπίλυτη αναφορά5"/>
    <w:basedOn w:val="a1"/>
    <w:uiPriority w:val="99"/>
    <w:semiHidden/>
    <w:unhideWhenUsed/>
    <w:rsid w:val="00D82DE7"/>
    <w:rPr>
      <w:color w:val="605E5C"/>
      <w:shd w:val="clear" w:color="auto" w:fill="E1DFDD"/>
    </w:rPr>
  </w:style>
  <w:style w:type="paragraph" w:styleId="aff1">
    <w:name w:val="caption"/>
    <w:basedOn w:val="a0"/>
    <w:next w:val="a0"/>
    <w:uiPriority w:val="35"/>
    <w:unhideWhenUsed/>
    <w:qFormat/>
    <w:rsid w:val="00502C43"/>
    <w:pPr>
      <w:keepNext/>
      <w:spacing w:before="240" w:after="120" w:line="276" w:lineRule="auto"/>
      <w:jc w:val="both"/>
    </w:pPr>
    <w:rPr>
      <w:rFonts w:asciiTheme="majorHAnsi" w:hAnsiTheme="majorHAnsi" w:cstheme="majorHAnsi"/>
      <w:b/>
      <w:bCs/>
      <w:color w:val="002060"/>
    </w:rPr>
  </w:style>
  <w:style w:type="paragraph" w:customStyle="1" w:styleId="Style2">
    <w:name w:val="Style2"/>
    <w:basedOn w:val="a0"/>
    <w:next w:val="40"/>
    <w:autoRedefine/>
    <w:rsid w:val="00502C43"/>
    <w:pPr>
      <w:numPr>
        <w:ilvl w:val="3"/>
        <w:numId w:val="10"/>
      </w:numPr>
      <w:spacing w:after="0" w:line="240" w:lineRule="auto"/>
      <w:jc w:val="both"/>
    </w:pPr>
    <w:rPr>
      <w:rFonts w:ascii="Arial" w:eastAsia="Times New Roman" w:hAnsi="Arial" w:cs="Times New Roman"/>
      <w:b/>
      <w:sz w:val="20"/>
      <w:szCs w:val="20"/>
    </w:rPr>
  </w:style>
  <w:style w:type="paragraph" w:customStyle="1" w:styleId="Tomeas">
    <w:name w:val="Tomeas"/>
    <w:basedOn w:val="a0"/>
    <w:next w:val="a0"/>
    <w:rsid w:val="00502C43"/>
    <w:pPr>
      <w:autoSpaceDE w:val="0"/>
      <w:autoSpaceDN w:val="0"/>
      <w:adjustRightInd w:val="0"/>
      <w:spacing w:after="0" w:line="240" w:lineRule="auto"/>
    </w:pPr>
    <w:rPr>
      <w:rFonts w:ascii="Arial" w:eastAsia="SimSun" w:hAnsi="Arial" w:cs="Times New Roman"/>
      <w:sz w:val="24"/>
      <w:szCs w:val="24"/>
      <w:lang w:eastAsia="zh-CN"/>
    </w:rPr>
  </w:style>
  <w:style w:type="paragraph" w:customStyle="1" w:styleId="CharCharCharCharCharCharCharCharChar">
    <w:name w:val="Char Char Char Char Char Char Char Char Char"/>
    <w:basedOn w:val="a0"/>
    <w:rsid w:val="00502C43"/>
    <w:pPr>
      <w:spacing w:line="240" w:lineRule="exact"/>
    </w:pPr>
    <w:rPr>
      <w:rFonts w:ascii="Tahoma" w:eastAsia="Times New Roman" w:hAnsi="Tahoma" w:cs="Times New Roman"/>
      <w:sz w:val="20"/>
      <w:szCs w:val="20"/>
      <w:lang w:val="en-US"/>
    </w:rPr>
  </w:style>
  <w:style w:type="paragraph" w:customStyle="1" w:styleId="style9">
    <w:name w:val="style9"/>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1">
    <w:name w:val="fontstyle51"/>
    <w:basedOn w:val="a1"/>
    <w:rsid w:val="00502C43"/>
  </w:style>
  <w:style w:type="character" w:customStyle="1" w:styleId="fontstyle52">
    <w:name w:val="fontstyle52"/>
    <w:basedOn w:val="a1"/>
    <w:rsid w:val="00502C43"/>
  </w:style>
  <w:style w:type="paragraph" w:customStyle="1" w:styleId="style36">
    <w:name w:val="style36"/>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9">
    <w:name w:val="style29"/>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0">
    <w:name w:val="fontstyle50"/>
    <w:basedOn w:val="a1"/>
    <w:rsid w:val="00502C43"/>
  </w:style>
  <w:style w:type="paragraph" w:customStyle="1" w:styleId="style33">
    <w:name w:val="style33"/>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5">
    <w:name w:val="style3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4">
    <w:name w:val="style24"/>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2">
    <w:name w:val="style32"/>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0">
    <w:name w:val="style2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1">
    <w:name w:val="style31"/>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9">
    <w:name w:val="fontstyle49"/>
    <w:basedOn w:val="a1"/>
    <w:rsid w:val="00502C43"/>
  </w:style>
  <w:style w:type="paragraph" w:customStyle="1" w:styleId="style26">
    <w:name w:val="style26"/>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0">
    <w:name w:val="style1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5">
    <w:name w:val="style1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3">
    <w:name w:val="style23"/>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0">
    <w:name w:val="style3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4">
    <w:name w:val="style34"/>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5">
    <w:name w:val="style2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6">
    <w:name w:val="fontstyle46"/>
    <w:basedOn w:val="a1"/>
    <w:rsid w:val="00502C43"/>
  </w:style>
  <w:style w:type="paragraph" w:customStyle="1" w:styleId="style37">
    <w:name w:val="style37"/>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ff2">
    <w:name w:val="Title"/>
    <w:basedOn w:val="a0"/>
    <w:link w:val="Charb"/>
    <w:uiPriority w:val="10"/>
    <w:qFormat/>
    <w:rsid w:val="00C114D1"/>
    <w:pPr>
      <w:widowControl w:val="0"/>
      <w:autoSpaceDE w:val="0"/>
      <w:autoSpaceDN w:val="0"/>
      <w:spacing w:before="217" w:after="0" w:line="240" w:lineRule="auto"/>
      <w:ind w:left="1094" w:right="544" w:hanging="900"/>
    </w:pPr>
    <w:rPr>
      <w:rFonts w:ascii="Arial" w:eastAsia="Arial" w:hAnsi="Arial" w:cs="Arial"/>
      <w:b/>
      <w:bCs/>
      <w:sz w:val="24"/>
      <w:szCs w:val="24"/>
    </w:rPr>
  </w:style>
  <w:style w:type="character" w:customStyle="1" w:styleId="Charb">
    <w:name w:val="Τίτλος Char"/>
    <w:basedOn w:val="a1"/>
    <w:link w:val="aff2"/>
    <w:uiPriority w:val="10"/>
    <w:rsid w:val="00C114D1"/>
    <w:rPr>
      <w:rFonts w:ascii="Arial" w:eastAsia="Arial" w:hAnsi="Arial" w:cs="Arial"/>
      <w:b/>
      <w:bCs/>
      <w:sz w:val="24"/>
      <w:szCs w:val="24"/>
    </w:rPr>
  </w:style>
  <w:style w:type="paragraph" w:customStyle="1" w:styleId="xmsolistparagraph">
    <w:name w:val="x_msolistparagraph"/>
    <w:basedOn w:val="a0"/>
    <w:rsid w:val="00DC6572"/>
    <w:pPr>
      <w:spacing w:before="100" w:beforeAutospacing="1" w:after="100" w:afterAutospacing="1" w:line="240" w:lineRule="auto"/>
    </w:pPr>
    <w:rPr>
      <w:rFonts w:ascii="Calibri" w:hAnsi="Calibri" w:cs="Calibri"/>
      <w:lang w:eastAsia="el-GR"/>
    </w:rPr>
  </w:style>
  <w:style w:type="table" w:customStyle="1" w:styleId="TableGrid">
    <w:name w:val="TableGrid"/>
    <w:rsid w:val="00A9340D"/>
    <w:pPr>
      <w:spacing w:after="0" w:line="240" w:lineRule="auto"/>
    </w:pPr>
    <w:rPr>
      <w:rFonts w:eastAsiaTheme="minorEastAsia"/>
      <w:lang w:eastAsia="el-GR"/>
    </w:rPr>
    <w:tblPr>
      <w:tblCellMar>
        <w:top w:w="0" w:type="dxa"/>
        <w:left w:w="0" w:type="dxa"/>
        <w:bottom w:w="0" w:type="dxa"/>
        <w:right w:w="0" w:type="dxa"/>
      </w:tblCellMar>
    </w:tblPr>
  </w:style>
  <w:style w:type="character" w:styleId="aff3">
    <w:name w:val="Unresolved Mention"/>
    <w:basedOn w:val="a1"/>
    <w:uiPriority w:val="99"/>
    <w:semiHidden/>
    <w:unhideWhenUsed/>
    <w:rsid w:val="0061741C"/>
    <w:rPr>
      <w:color w:val="605E5C"/>
      <w:shd w:val="clear" w:color="auto" w:fill="E1DFDD"/>
    </w:rPr>
  </w:style>
  <w:style w:type="table" w:customStyle="1" w:styleId="TableNormal2">
    <w:name w:val="Table Normal2"/>
    <w:uiPriority w:val="2"/>
    <w:semiHidden/>
    <w:unhideWhenUsed/>
    <w:qFormat/>
    <w:rsid w:val="00D167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
    <w:name w:val="Πλέγμα πίνακα1"/>
    <w:basedOn w:val="a2"/>
    <w:next w:val="ab"/>
    <w:uiPriority w:val="39"/>
    <w:rsid w:val="00B507C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38221">
      <w:bodyDiv w:val="1"/>
      <w:marLeft w:val="0"/>
      <w:marRight w:val="0"/>
      <w:marTop w:val="0"/>
      <w:marBottom w:val="0"/>
      <w:divBdr>
        <w:top w:val="none" w:sz="0" w:space="0" w:color="auto"/>
        <w:left w:val="none" w:sz="0" w:space="0" w:color="auto"/>
        <w:bottom w:val="none" w:sz="0" w:space="0" w:color="auto"/>
        <w:right w:val="none" w:sz="0" w:space="0" w:color="auto"/>
      </w:divBdr>
    </w:div>
    <w:div w:id="57900829">
      <w:bodyDiv w:val="1"/>
      <w:marLeft w:val="0"/>
      <w:marRight w:val="0"/>
      <w:marTop w:val="0"/>
      <w:marBottom w:val="0"/>
      <w:divBdr>
        <w:top w:val="none" w:sz="0" w:space="0" w:color="auto"/>
        <w:left w:val="none" w:sz="0" w:space="0" w:color="auto"/>
        <w:bottom w:val="none" w:sz="0" w:space="0" w:color="auto"/>
        <w:right w:val="none" w:sz="0" w:space="0" w:color="auto"/>
      </w:divBdr>
    </w:div>
    <w:div w:id="142239252">
      <w:bodyDiv w:val="1"/>
      <w:marLeft w:val="0"/>
      <w:marRight w:val="0"/>
      <w:marTop w:val="0"/>
      <w:marBottom w:val="0"/>
      <w:divBdr>
        <w:top w:val="none" w:sz="0" w:space="0" w:color="auto"/>
        <w:left w:val="none" w:sz="0" w:space="0" w:color="auto"/>
        <w:bottom w:val="none" w:sz="0" w:space="0" w:color="auto"/>
        <w:right w:val="none" w:sz="0" w:space="0" w:color="auto"/>
      </w:divBdr>
    </w:div>
    <w:div w:id="157581008">
      <w:bodyDiv w:val="1"/>
      <w:marLeft w:val="0"/>
      <w:marRight w:val="0"/>
      <w:marTop w:val="0"/>
      <w:marBottom w:val="0"/>
      <w:divBdr>
        <w:top w:val="none" w:sz="0" w:space="0" w:color="auto"/>
        <w:left w:val="none" w:sz="0" w:space="0" w:color="auto"/>
        <w:bottom w:val="none" w:sz="0" w:space="0" w:color="auto"/>
        <w:right w:val="none" w:sz="0" w:space="0" w:color="auto"/>
      </w:divBdr>
    </w:div>
    <w:div w:id="260064512">
      <w:bodyDiv w:val="1"/>
      <w:marLeft w:val="0"/>
      <w:marRight w:val="0"/>
      <w:marTop w:val="0"/>
      <w:marBottom w:val="0"/>
      <w:divBdr>
        <w:top w:val="none" w:sz="0" w:space="0" w:color="auto"/>
        <w:left w:val="none" w:sz="0" w:space="0" w:color="auto"/>
        <w:bottom w:val="none" w:sz="0" w:space="0" w:color="auto"/>
        <w:right w:val="none" w:sz="0" w:space="0" w:color="auto"/>
      </w:divBdr>
    </w:div>
    <w:div w:id="315577541">
      <w:bodyDiv w:val="1"/>
      <w:marLeft w:val="0"/>
      <w:marRight w:val="0"/>
      <w:marTop w:val="0"/>
      <w:marBottom w:val="0"/>
      <w:divBdr>
        <w:top w:val="none" w:sz="0" w:space="0" w:color="auto"/>
        <w:left w:val="none" w:sz="0" w:space="0" w:color="auto"/>
        <w:bottom w:val="none" w:sz="0" w:space="0" w:color="auto"/>
        <w:right w:val="none" w:sz="0" w:space="0" w:color="auto"/>
      </w:divBdr>
    </w:div>
    <w:div w:id="318467629">
      <w:bodyDiv w:val="1"/>
      <w:marLeft w:val="0"/>
      <w:marRight w:val="0"/>
      <w:marTop w:val="0"/>
      <w:marBottom w:val="0"/>
      <w:divBdr>
        <w:top w:val="none" w:sz="0" w:space="0" w:color="auto"/>
        <w:left w:val="none" w:sz="0" w:space="0" w:color="auto"/>
        <w:bottom w:val="none" w:sz="0" w:space="0" w:color="auto"/>
        <w:right w:val="none" w:sz="0" w:space="0" w:color="auto"/>
      </w:divBdr>
    </w:div>
    <w:div w:id="321586850">
      <w:bodyDiv w:val="1"/>
      <w:marLeft w:val="0"/>
      <w:marRight w:val="0"/>
      <w:marTop w:val="0"/>
      <w:marBottom w:val="0"/>
      <w:divBdr>
        <w:top w:val="none" w:sz="0" w:space="0" w:color="auto"/>
        <w:left w:val="none" w:sz="0" w:space="0" w:color="auto"/>
        <w:bottom w:val="none" w:sz="0" w:space="0" w:color="auto"/>
        <w:right w:val="none" w:sz="0" w:space="0" w:color="auto"/>
      </w:divBdr>
    </w:div>
    <w:div w:id="353969999">
      <w:bodyDiv w:val="1"/>
      <w:marLeft w:val="0"/>
      <w:marRight w:val="0"/>
      <w:marTop w:val="0"/>
      <w:marBottom w:val="0"/>
      <w:divBdr>
        <w:top w:val="none" w:sz="0" w:space="0" w:color="auto"/>
        <w:left w:val="none" w:sz="0" w:space="0" w:color="auto"/>
        <w:bottom w:val="none" w:sz="0" w:space="0" w:color="auto"/>
        <w:right w:val="none" w:sz="0" w:space="0" w:color="auto"/>
      </w:divBdr>
    </w:div>
    <w:div w:id="407507104">
      <w:bodyDiv w:val="1"/>
      <w:marLeft w:val="0"/>
      <w:marRight w:val="0"/>
      <w:marTop w:val="0"/>
      <w:marBottom w:val="0"/>
      <w:divBdr>
        <w:top w:val="none" w:sz="0" w:space="0" w:color="auto"/>
        <w:left w:val="none" w:sz="0" w:space="0" w:color="auto"/>
        <w:bottom w:val="none" w:sz="0" w:space="0" w:color="auto"/>
        <w:right w:val="none" w:sz="0" w:space="0" w:color="auto"/>
      </w:divBdr>
    </w:div>
    <w:div w:id="422923877">
      <w:bodyDiv w:val="1"/>
      <w:marLeft w:val="0"/>
      <w:marRight w:val="0"/>
      <w:marTop w:val="0"/>
      <w:marBottom w:val="0"/>
      <w:divBdr>
        <w:top w:val="none" w:sz="0" w:space="0" w:color="auto"/>
        <w:left w:val="none" w:sz="0" w:space="0" w:color="auto"/>
        <w:bottom w:val="none" w:sz="0" w:space="0" w:color="auto"/>
        <w:right w:val="none" w:sz="0" w:space="0" w:color="auto"/>
      </w:divBdr>
    </w:div>
    <w:div w:id="424152824">
      <w:bodyDiv w:val="1"/>
      <w:marLeft w:val="0"/>
      <w:marRight w:val="0"/>
      <w:marTop w:val="0"/>
      <w:marBottom w:val="0"/>
      <w:divBdr>
        <w:top w:val="none" w:sz="0" w:space="0" w:color="auto"/>
        <w:left w:val="none" w:sz="0" w:space="0" w:color="auto"/>
        <w:bottom w:val="none" w:sz="0" w:space="0" w:color="auto"/>
        <w:right w:val="none" w:sz="0" w:space="0" w:color="auto"/>
      </w:divBdr>
    </w:div>
    <w:div w:id="434911576">
      <w:bodyDiv w:val="1"/>
      <w:marLeft w:val="0"/>
      <w:marRight w:val="0"/>
      <w:marTop w:val="0"/>
      <w:marBottom w:val="0"/>
      <w:divBdr>
        <w:top w:val="none" w:sz="0" w:space="0" w:color="auto"/>
        <w:left w:val="none" w:sz="0" w:space="0" w:color="auto"/>
        <w:bottom w:val="none" w:sz="0" w:space="0" w:color="auto"/>
        <w:right w:val="none" w:sz="0" w:space="0" w:color="auto"/>
      </w:divBdr>
    </w:div>
    <w:div w:id="470295749">
      <w:bodyDiv w:val="1"/>
      <w:marLeft w:val="0"/>
      <w:marRight w:val="0"/>
      <w:marTop w:val="0"/>
      <w:marBottom w:val="0"/>
      <w:divBdr>
        <w:top w:val="none" w:sz="0" w:space="0" w:color="auto"/>
        <w:left w:val="none" w:sz="0" w:space="0" w:color="auto"/>
        <w:bottom w:val="none" w:sz="0" w:space="0" w:color="auto"/>
        <w:right w:val="none" w:sz="0" w:space="0" w:color="auto"/>
      </w:divBdr>
    </w:div>
    <w:div w:id="517475735">
      <w:bodyDiv w:val="1"/>
      <w:marLeft w:val="0"/>
      <w:marRight w:val="0"/>
      <w:marTop w:val="0"/>
      <w:marBottom w:val="0"/>
      <w:divBdr>
        <w:top w:val="none" w:sz="0" w:space="0" w:color="auto"/>
        <w:left w:val="none" w:sz="0" w:space="0" w:color="auto"/>
        <w:bottom w:val="none" w:sz="0" w:space="0" w:color="auto"/>
        <w:right w:val="none" w:sz="0" w:space="0" w:color="auto"/>
      </w:divBdr>
    </w:div>
    <w:div w:id="568421161">
      <w:bodyDiv w:val="1"/>
      <w:marLeft w:val="0"/>
      <w:marRight w:val="0"/>
      <w:marTop w:val="0"/>
      <w:marBottom w:val="0"/>
      <w:divBdr>
        <w:top w:val="none" w:sz="0" w:space="0" w:color="auto"/>
        <w:left w:val="none" w:sz="0" w:space="0" w:color="auto"/>
        <w:bottom w:val="none" w:sz="0" w:space="0" w:color="auto"/>
        <w:right w:val="none" w:sz="0" w:space="0" w:color="auto"/>
      </w:divBdr>
    </w:div>
    <w:div w:id="591663638">
      <w:bodyDiv w:val="1"/>
      <w:marLeft w:val="0"/>
      <w:marRight w:val="0"/>
      <w:marTop w:val="0"/>
      <w:marBottom w:val="0"/>
      <w:divBdr>
        <w:top w:val="none" w:sz="0" w:space="0" w:color="auto"/>
        <w:left w:val="none" w:sz="0" w:space="0" w:color="auto"/>
        <w:bottom w:val="none" w:sz="0" w:space="0" w:color="auto"/>
        <w:right w:val="none" w:sz="0" w:space="0" w:color="auto"/>
      </w:divBdr>
    </w:div>
    <w:div w:id="663122112">
      <w:bodyDiv w:val="1"/>
      <w:marLeft w:val="0"/>
      <w:marRight w:val="0"/>
      <w:marTop w:val="0"/>
      <w:marBottom w:val="0"/>
      <w:divBdr>
        <w:top w:val="none" w:sz="0" w:space="0" w:color="auto"/>
        <w:left w:val="none" w:sz="0" w:space="0" w:color="auto"/>
        <w:bottom w:val="none" w:sz="0" w:space="0" w:color="auto"/>
        <w:right w:val="none" w:sz="0" w:space="0" w:color="auto"/>
      </w:divBdr>
    </w:div>
    <w:div w:id="794566919">
      <w:bodyDiv w:val="1"/>
      <w:marLeft w:val="0"/>
      <w:marRight w:val="0"/>
      <w:marTop w:val="0"/>
      <w:marBottom w:val="0"/>
      <w:divBdr>
        <w:top w:val="none" w:sz="0" w:space="0" w:color="auto"/>
        <w:left w:val="none" w:sz="0" w:space="0" w:color="auto"/>
        <w:bottom w:val="none" w:sz="0" w:space="0" w:color="auto"/>
        <w:right w:val="none" w:sz="0" w:space="0" w:color="auto"/>
      </w:divBdr>
    </w:div>
    <w:div w:id="861626473">
      <w:bodyDiv w:val="1"/>
      <w:marLeft w:val="0"/>
      <w:marRight w:val="0"/>
      <w:marTop w:val="0"/>
      <w:marBottom w:val="0"/>
      <w:divBdr>
        <w:top w:val="none" w:sz="0" w:space="0" w:color="auto"/>
        <w:left w:val="none" w:sz="0" w:space="0" w:color="auto"/>
        <w:bottom w:val="none" w:sz="0" w:space="0" w:color="auto"/>
        <w:right w:val="none" w:sz="0" w:space="0" w:color="auto"/>
      </w:divBdr>
    </w:div>
    <w:div w:id="915943783">
      <w:bodyDiv w:val="1"/>
      <w:marLeft w:val="0"/>
      <w:marRight w:val="0"/>
      <w:marTop w:val="0"/>
      <w:marBottom w:val="0"/>
      <w:divBdr>
        <w:top w:val="none" w:sz="0" w:space="0" w:color="auto"/>
        <w:left w:val="none" w:sz="0" w:space="0" w:color="auto"/>
        <w:bottom w:val="none" w:sz="0" w:space="0" w:color="auto"/>
        <w:right w:val="none" w:sz="0" w:space="0" w:color="auto"/>
      </w:divBdr>
    </w:div>
    <w:div w:id="964585521">
      <w:bodyDiv w:val="1"/>
      <w:marLeft w:val="0"/>
      <w:marRight w:val="0"/>
      <w:marTop w:val="0"/>
      <w:marBottom w:val="0"/>
      <w:divBdr>
        <w:top w:val="none" w:sz="0" w:space="0" w:color="auto"/>
        <w:left w:val="none" w:sz="0" w:space="0" w:color="auto"/>
        <w:bottom w:val="none" w:sz="0" w:space="0" w:color="auto"/>
        <w:right w:val="none" w:sz="0" w:space="0" w:color="auto"/>
      </w:divBdr>
    </w:div>
    <w:div w:id="979111171">
      <w:bodyDiv w:val="1"/>
      <w:marLeft w:val="0"/>
      <w:marRight w:val="0"/>
      <w:marTop w:val="0"/>
      <w:marBottom w:val="0"/>
      <w:divBdr>
        <w:top w:val="none" w:sz="0" w:space="0" w:color="auto"/>
        <w:left w:val="none" w:sz="0" w:space="0" w:color="auto"/>
        <w:bottom w:val="none" w:sz="0" w:space="0" w:color="auto"/>
        <w:right w:val="none" w:sz="0" w:space="0" w:color="auto"/>
      </w:divBdr>
    </w:div>
    <w:div w:id="1058748965">
      <w:bodyDiv w:val="1"/>
      <w:marLeft w:val="0"/>
      <w:marRight w:val="0"/>
      <w:marTop w:val="0"/>
      <w:marBottom w:val="0"/>
      <w:divBdr>
        <w:top w:val="none" w:sz="0" w:space="0" w:color="auto"/>
        <w:left w:val="none" w:sz="0" w:space="0" w:color="auto"/>
        <w:bottom w:val="none" w:sz="0" w:space="0" w:color="auto"/>
        <w:right w:val="none" w:sz="0" w:space="0" w:color="auto"/>
      </w:divBdr>
    </w:div>
    <w:div w:id="1169714546">
      <w:bodyDiv w:val="1"/>
      <w:marLeft w:val="0"/>
      <w:marRight w:val="0"/>
      <w:marTop w:val="0"/>
      <w:marBottom w:val="0"/>
      <w:divBdr>
        <w:top w:val="none" w:sz="0" w:space="0" w:color="auto"/>
        <w:left w:val="none" w:sz="0" w:space="0" w:color="auto"/>
        <w:bottom w:val="none" w:sz="0" w:space="0" w:color="auto"/>
        <w:right w:val="none" w:sz="0" w:space="0" w:color="auto"/>
      </w:divBdr>
    </w:div>
    <w:div w:id="1180654333">
      <w:bodyDiv w:val="1"/>
      <w:marLeft w:val="0"/>
      <w:marRight w:val="0"/>
      <w:marTop w:val="0"/>
      <w:marBottom w:val="0"/>
      <w:divBdr>
        <w:top w:val="none" w:sz="0" w:space="0" w:color="auto"/>
        <w:left w:val="none" w:sz="0" w:space="0" w:color="auto"/>
        <w:bottom w:val="none" w:sz="0" w:space="0" w:color="auto"/>
        <w:right w:val="none" w:sz="0" w:space="0" w:color="auto"/>
      </w:divBdr>
    </w:div>
    <w:div w:id="1212496794">
      <w:bodyDiv w:val="1"/>
      <w:marLeft w:val="0"/>
      <w:marRight w:val="0"/>
      <w:marTop w:val="0"/>
      <w:marBottom w:val="0"/>
      <w:divBdr>
        <w:top w:val="none" w:sz="0" w:space="0" w:color="auto"/>
        <w:left w:val="none" w:sz="0" w:space="0" w:color="auto"/>
        <w:bottom w:val="none" w:sz="0" w:space="0" w:color="auto"/>
        <w:right w:val="none" w:sz="0" w:space="0" w:color="auto"/>
      </w:divBdr>
    </w:div>
    <w:div w:id="1293900312">
      <w:bodyDiv w:val="1"/>
      <w:marLeft w:val="0"/>
      <w:marRight w:val="0"/>
      <w:marTop w:val="0"/>
      <w:marBottom w:val="0"/>
      <w:divBdr>
        <w:top w:val="none" w:sz="0" w:space="0" w:color="auto"/>
        <w:left w:val="none" w:sz="0" w:space="0" w:color="auto"/>
        <w:bottom w:val="none" w:sz="0" w:space="0" w:color="auto"/>
        <w:right w:val="none" w:sz="0" w:space="0" w:color="auto"/>
      </w:divBdr>
    </w:div>
    <w:div w:id="1303123157">
      <w:bodyDiv w:val="1"/>
      <w:marLeft w:val="0"/>
      <w:marRight w:val="0"/>
      <w:marTop w:val="0"/>
      <w:marBottom w:val="0"/>
      <w:divBdr>
        <w:top w:val="none" w:sz="0" w:space="0" w:color="auto"/>
        <w:left w:val="none" w:sz="0" w:space="0" w:color="auto"/>
        <w:bottom w:val="none" w:sz="0" w:space="0" w:color="auto"/>
        <w:right w:val="none" w:sz="0" w:space="0" w:color="auto"/>
      </w:divBdr>
    </w:div>
    <w:div w:id="1308242816">
      <w:bodyDiv w:val="1"/>
      <w:marLeft w:val="0"/>
      <w:marRight w:val="0"/>
      <w:marTop w:val="0"/>
      <w:marBottom w:val="0"/>
      <w:divBdr>
        <w:top w:val="none" w:sz="0" w:space="0" w:color="auto"/>
        <w:left w:val="none" w:sz="0" w:space="0" w:color="auto"/>
        <w:bottom w:val="none" w:sz="0" w:space="0" w:color="auto"/>
        <w:right w:val="none" w:sz="0" w:space="0" w:color="auto"/>
      </w:divBdr>
    </w:div>
    <w:div w:id="1335262191">
      <w:bodyDiv w:val="1"/>
      <w:marLeft w:val="0"/>
      <w:marRight w:val="0"/>
      <w:marTop w:val="0"/>
      <w:marBottom w:val="0"/>
      <w:divBdr>
        <w:top w:val="none" w:sz="0" w:space="0" w:color="auto"/>
        <w:left w:val="none" w:sz="0" w:space="0" w:color="auto"/>
        <w:bottom w:val="none" w:sz="0" w:space="0" w:color="auto"/>
        <w:right w:val="none" w:sz="0" w:space="0" w:color="auto"/>
      </w:divBdr>
    </w:div>
    <w:div w:id="1367171869">
      <w:bodyDiv w:val="1"/>
      <w:marLeft w:val="0"/>
      <w:marRight w:val="0"/>
      <w:marTop w:val="0"/>
      <w:marBottom w:val="0"/>
      <w:divBdr>
        <w:top w:val="none" w:sz="0" w:space="0" w:color="auto"/>
        <w:left w:val="none" w:sz="0" w:space="0" w:color="auto"/>
        <w:bottom w:val="none" w:sz="0" w:space="0" w:color="auto"/>
        <w:right w:val="none" w:sz="0" w:space="0" w:color="auto"/>
      </w:divBdr>
    </w:div>
    <w:div w:id="1435396015">
      <w:bodyDiv w:val="1"/>
      <w:marLeft w:val="0"/>
      <w:marRight w:val="0"/>
      <w:marTop w:val="0"/>
      <w:marBottom w:val="0"/>
      <w:divBdr>
        <w:top w:val="none" w:sz="0" w:space="0" w:color="auto"/>
        <w:left w:val="none" w:sz="0" w:space="0" w:color="auto"/>
        <w:bottom w:val="none" w:sz="0" w:space="0" w:color="auto"/>
        <w:right w:val="none" w:sz="0" w:space="0" w:color="auto"/>
      </w:divBdr>
    </w:div>
    <w:div w:id="1564290995">
      <w:bodyDiv w:val="1"/>
      <w:marLeft w:val="0"/>
      <w:marRight w:val="0"/>
      <w:marTop w:val="0"/>
      <w:marBottom w:val="0"/>
      <w:divBdr>
        <w:top w:val="none" w:sz="0" w:space="0" w:color="auto"/>
        <w:left w:val="none" w:sz="0" w:space="0" w:color="auto"/>
        <w:bottom w:val="none" w:sz="0" w:space="0" w:color="auto"/>
        <w:right w:val="none" w:sz="0" w:space="0" w:color="auto"/>
      </w:divBdr>
    </w:div>
    <w:div w:id="1592083703">
      <w:bodyDiv w:val="1"/>
      <w:marLeft w:val="0"/>
      <w:marRight w:val="0"/>
      <w:marTop w:val="0"/>
      <w:marBottom w:val="0"/>
      <w:divBdr>
        <w:top w:val="none" w:sz="0" w:space="0" w:color="auto"/>
        <w:left w:val="none" w:sz="0" w:space="0" w:color="auto"/>
        <w:bottom w:val="none" w:sz="0" w:space="0" w:color="auto"/>
        <w:right w:val="none" w:sz="0" w:space="0" w:color="auto"/>
      </w:divBdr>
    </w:div>
    <w:div w:id="1643777183">
      <w:bodyDiv w:val="1"/>
      <w:marLeft w:val="0"/>
      <w:marRight w:val="0"/>
      <w:marTop w:val="0"/>
      <w:marBottom w:val="0"/>
      <w:divBdr>
        <w:top w:val="none" w:sz="0" w:space="0" w:color="auto"/>
        <w:left w:val="none" w:sz="0" w:space="0" w:color="auto"/>
        <w:bottom w:val="none" w:sz="0" w:space="0" w:color="auto"/>
        <w:right w:val="none" w:sz="0" w:space="0" w:color="auto"/>
      </w:divBdr>
    </w:div>
    <w:div w:id="1685088988">
      <w:bodyDiv w:val="1"/>
      <w:marLeft w:val="0"/>
      <w:marRight w:val="0"/>
      <w:marTop w:val="0"/>
      <w:marBottom w:val="0"/>
      <w:divBdr>
        <w:top w:val="none" w:sz="0" w:space="0" w:color="auto"/>
        <w:left w:val="none" w:sz="0" w:space="0" w:color="auto"/>
        <w:bottom w:val="none" w:sz="0" w:space="0" w:color="auto"/>
        <w:right w:val="none" w:sz="0" w:space="0" w:color="auto"/>
      </w:divBdr>
    </w:div>
    <w:div w:id="1707483103">
      <w:bodyDiv w:val="1"/>
      <w:marLeft w:val="0"/>
      <w:marRight w:val="0"/>
      <w:marTop w:val="0"/>
      <w:marBottom w:val="0"/>
      <w:divBdr>
        <w:top w:val="none" w:sz="0" w:space="0" w:color="auto"/>
        <w:left w:val="none" w:sz="0" w:space="0" w:color="auto"/>
        <w:bottom w:val="none" w:sz="0" w:space="0" w:color="auto"/>
        <w:right w:val="none" w:sz="0" w:space="0" w:color="auto"/>
      </w:divBdr>
    </w:div>
    <w:div w:id="1751384674">
      <w:bodyDiv w:val="1"/>
      <w:marLeft w:val="0"/>
      <w:marRight w:val="0"/>
      <w:marTop w:val="0"/>
      <w:marBottom w:val="0"/>
      <w:divBdr>
        <w:top w:val="none" w:sz="0" w:space="0" w:color="auto"/>
        <w:left w:val="none" w:sz="0" w:space="0" w:color="auto"/>
        <w:bottom w:val="none" w:sz="0" w:space="0" w:color="auto"/>
        <w:right w:val="none" w:sz="0" w:space="0" w:color="auto"/>
      </w:divBdr>
    </w:div>
    <w:div w:id="1770812474">
      <w:bodyDiv w:val="1"/>
      <w:marLeft w:val="0"/>
      <w:marRight w:val="0"/>
      <w:marTop w:val="0"/>
      <w:marBottom w:val="0"/>
      <w:divBdr>
        <w:top w:val="none" w:sz="0" w:space="0" w:color="auto"/>
        <w:left w:val="none" w:sz="0" w:space="0" w:color="auto"/>
        <w:bottom w:val="none" w:sz="0" w:space="0" w:color="auto"/>
        <w:right w:val="none" w:sz="0" w:space="0" w:color="auto"/>
      </w:divBdr>
    </w:div>
    <w:div w:id="1783302839">
      <w:bodyDiv w:val="1"/>
      <w:marLeft w:val="0"/>
      <w:marRight w:val="0"/>
      <w:marTop w:val="0"/>
      <w:marBottom w:val="0"/>
      <w:divBdr>
        <w:top w:val="none" w:sz="0" w:space="0" w:color="auto"/>
        <w:left w:val="none" w:sz="0" w:space="0" w:color="auto"/>
        <w:bottom w:val="none" w:sz="0" w:space="0" w:color="auto"/>
        <w:right w:val="none" w:sz="0" w:space="0" w:color="auto"/>
      </w:divBdr>
    </w:div>
    <w:div w:id="1990357722">
      <w:bodyDiv w:val="1"/>
      <w:marLeft w:val="0"/>
      <w:marRight w:val="0"/>
      <w:marTop w:val="0"/>
      <w:marBottom w:val="0"/>
      <w:divBdr>
        <w:top w:val="none" w:sz="0" w:space="0" w:color="auto"/>
        <w:left w:val="none" w:sz="0" w:space="0" w:color="auto"/>
        <w:bottom w:val="none" w:sz="0" w:space="0" w:color="auto"/>
        <w:right w:val="none" w:sz="0" w:space="0" w:color="auto"/>
      </w:divBdr>
    </w:div>
    <w:div w:id="20071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AE5E7-A313-4016-A1C3-BC708D5D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8448</Words>
  <Characters>45624</Characters>
  <Application>Microsoft Office Word</Application>
  <DocSecurity>0</DocSecurity>
  <Lines>380</Lines>
  <Paragraphs>107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dc:creator>
  <cp:keywords/>
  <dc:description/>
  <cp:lastModifiedBy>Maria Michalarou</cp:lastModifiedBy>
  <cp:revision>2</cp:revision>
  <cp:lastPrinted>2023-08-04T10:46:00Z</cp:lastPrinted>
  <dcterms:created xsi:type="dcterms:W3CDTF">2023-12-15T07:06:00Z</dcterms:created>
  <dcterms:modified xsi:type="dcterms:W3CDTF">2023-12-15T07:06:00Z</dcterms:modified>
</cp:coreProperties>
</file>