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4A" w:rsidRDefault="0029037F">
      <w:pPr>
        <w:tabs>
          <w:tab w:val="left" w:pos="4530"/>
        </w:tabs>
        <w:ind w:left="2160" w:firstLine="72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0" distR="0" simplePos="0" relativeHeight="12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180" cy="485775"/>
            <wp:effectExtent l="0" t="0" r="0" b="0"/>
            <wp:wrapNone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  <w:lang w:val="en-US"/>
        </w:rPr>
        <w:t xml:space="preserve">      </w:t>
      </w:r>
      <w:r>
        <w:rPr>
          <w:rFonts w:ascii="Calibri" w:hAnsi="Calibri"/>
          <w:sz w:val="22"/>
          <w:szCs w:val="22"/>
          <w:lang w:val="en-US"/>
        </w:rPr>
        <w:tab/>
      </w:r>
    </w:p>
    <w:p w:rsidR="00B97D4A" w:rsidRDefault="002903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tbl>
      <w:tblPr>
        <w:tblStyle w:val="af9"/>
        <w:tblW w:w="10740" w:type="dxa"/>
        <w:tblLayout w:type="fixed"/>
        <w:tblLook w:val="04A0" w:firstRow="1" w:lastRow="0" w:firstColumn="1" w:lastColumn="0" w:noHBand="0" w:noVBand="1"/>
      </w:tblPr>
      <w:tblGrid>
        <w:gridCol w:w="2551"/>
        <w:gridCol w:w="3522"/>
        <w:gridCol w:w="4667"/>
      </w:tblGrid>
      <w:tr w:rsidR="00B97D4A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2903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63040" cy="1176655"/>
                  <wp:effectExtent l="0" t="0" r="0" b="0"/>
                  <wp:docPr id="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2903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445" distB="0" distL="4445" distR="0" simplePos="0" relativeHeight="10" behindDoc="1" locked="0" layoutInCell="1" allowOverlap="1" wp14:anchorId="026F30E9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172720</wp:posOffset>
                      </wp:positionV>
                      <wp:extent cx="1638935" cy="314960"/>
                      <wp:effectExtent l="0" t="0" r="19050" b="28575"/>
                      <wp:wrapNone/>
                      <wp:docPr id="3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97D4A" w:rsidRDefault="0029037F">
                                  <w:pPr>
                                    <w:pStyle w:val="af8"/>
                                    <w:widowControl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F30E9" id="Πλαίσιο κειμένου 2" o:spid="_x0000_s1026" style="position:absolute;margin-left:97.15pt;margin-top:13.6pt;width:129.05pt;height:24.8pt;z-index:-50331647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" fillcolor="#006896" strokecolor="white">
                      <v:textbox>
                        <w:txbxContent>
                          <w:p w:rsidR="00B97D4A" w:rsidRDefault="0029037F">
                            <w:pPr>
                              <w:pStyle w:val="af8"/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7D4A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jc w:val="center"/>
              <w:rPr>
                <w:rFonts w:ascii="Calibri" w:hAnsi="Calibri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7D4A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2903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7D4A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29037F">
            <w:pPr>
              <w:jc w:val="center"/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  <w:t>Τμήμα Επικοινωνίας &amp;</w:t>
            </w:r>
          </w:p>
          <w:p w:rsidR="00B97D4A" w:rsidRDefault="0029037F">
            <w:pPr>
              <w:jc w:val="center"/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  <w:t>Δημοσίων Σχέσεων</w:t>
            </w:r>
          </w:p>
          <w:p w:rsidR="00B97D4A" w:rsidRDefault="0029037F">
            <w:pPr>
              <w:jc w:val="center"/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  <w:t>Αθήνα, 2</w:t>
            </w:r>
            <w:r w:rsidR="006A0B2F"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b/>
                <w:bCs/>
                <w:color w:val="006896"/>
                <w:sz w:val="22"/>
                <w:szCs w:val="22"/>
              </w:rPr>
              <w:t>.01.2024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B97D4A" w:rsidRDefault="00B97D4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6E4E" w:rsidRDefault="00836E4E" w:rsidP="00836E4E">
      <w:pPr>
        <w:tabs>
          <w:tab w:val="left" w:pos="7797"/>
        </w:tabs>
        <w:rPr>
          <w:rFonts w:ascii="Calibri" w:hAnsi="Calibri"/>
          <w:sz w:val="22"/>
          <w:szCs w:val="22"/>
        </w:rPr>
      </w:pPr>
    </w:p>
    <w:p w:rsidR="00B97D4A" w:rsidRPr="00836E4E" w:rsidRDefault="0029037F" w:rsidP="00836E4E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b/>
          <w:sz w:val="22"/>
          <w:szCs w:val="22"/>
        </w:rPr>
        <w:t xml:space="preserve">Έναρξη αιτήσεων παρόχων </w:t>
      </w:r>
      <w:r w:rsidR="00836E4E">
        <w:rPr>
          <w:rFonts w:ascii="Arial" w:hAnsi="Arial" w:cs="Arial"/>
          <w:b/>
          <w:sz w:val="22"/>
          <w:szCs w:val="22"/>
        </w:rPr>
        <w:t>σ</w:t>
      </w:r>
      <w:r w:rsidRPr="00836E4E">
        <w:rPr>
          <w:rFonts w:ascii="Arial" w:hAnsi="Arial" w:cs="Arial"/>
          <w:b/>
          <w:sz w:val="22"/>
          <w:szCs w:val="22"/>
        </w:rPr>
        <w:t xml:space="preserve">υνεχιζόμενης </w:t>
      </w:r>
      <w:r w:rsidR="00836E4E">
        <w:rPr>
          <w:rFonts w:ascii="Arial" w:hAnsi="Arial" w:cs="Arial"/>
          <w:b/>
          <w:sz w:val="22"/>
          <w:szCs w:val="22"/>
        </w:rPr>
        <w:t>ε</w:t>
      </w:r>
      <w:r w:rsidRPr="00836E4E">
        <w:rPr>
          <w:rFonts w:ascii="Arial" w:hAnsi="Arial" w:cs="Arial"/>
          <w:b/>
          <w:sz w:val="22"/>
          <w:szCs w:val="22"/>
        </w:rPr>
        <w:t xml:space="preserve">παγγελματικής </w:t>
      </w:r>
      <w:r w:rsidR="00836E4E">
        <w:rPr>
          <w:rFonts w:ascii="Arial" w:hAnsi="Arial" w:cs="Arial"/>
          <w:b/>
          <w:sz w:val="22"/>
          <w:szCs w:val="22"/>
        </w:rPr>
        <w:t>κ</w:t>
      </w:r>
      <w:r w:rsidRPr="00836E4E">
        <w:rPr>
          <w:rFonts w:ascii="Arial" w:hAnsi="Arial" w:cs="Arial"/>
          <w:b/>
          <w:sz w:val="22"/>
          <w:szCs w:val="22"/>
        </w:rPr>
        <w:t xml:space="preserve">ατάρτισης και </w:t>
      </w:r>
      <w:r w:rsidR="00836E4E">
        <w:rPr>
          <w:rFonts w:ascii="Arial" w:hAnsi="Arial" w:cs="Arial"/>
          <w:b/>
          <w:sz w:val="22"/>
          <w:szCs w:val="22"/>
        </w:rPr>
        <w:t>φ</w:t>
      </w:r>
      <w:r w:rsidRPr="00836E4E">
        <w:rPr>
          <w:rFonts w:ascii="Arial" w:hAnsi="Arial" w:cs="Arial"/>
          <w:b/>
          <w:sz w:val="22"/>
          <w:szCs w:val="22"/>
        </w:rPr>
        <w:t xml:space="preserve">ορέων </w:t>
      </w:r>
      <w:r w:rsidR="00836E4E">
        <w:rPr>
          <w:rFonts w:ascii="Arial" w:hAnsi="Arial" w:cs="Arial"/>
          <w:b/>
          <w:sz w:val="22"/>
          <w:szCs w:val="22"/>
        </w:rPr>
        <w:t>π</w:t>
      </w:r>
      <w:r w:rsidRPr="00836E4E">
        <w:rPr>
          <w:rFonts w:ascii="Arial" w:hAnsi="Arial" w:cs="Arial"/>
          <w:b/>
          <w:sz w:val="22"/>
          <w:szCs w:val="22"/>
        </w:rPr>
        <w:t xml:space="preserve">ιστοποίησης </w:t>
      </w:r>
      <w:r w:rsidR="00836E4E" w:rsidRPr="00836E4E">
        <w:rPr>
          <w:rFonts w:ascii="Arial" w:hAnsi="Arial" w:cs="Arial"/>
          <w:b/>
          <w:sz w:val="22"/>
          <w:szCs w:val="22"/>
        </w:rPr>
        <w:t xml:space="preserve">για τη </w:t>
      </w:r>
      <w:r w:rsidRPr="00836E4E">
        <w:rPr>
          <w:rFonts w:ascii="Arial" w:hAnsi="Arial" w:cs="Arial"/>
          <w:b/>
          <w:sz w:val="22"/>
          <w:szCs w:val="22"/>
        </w:rPr>
        <w:t>νέα</w:t>
      </w:r>
      <w:r w:rsidR="00836E4E" w:rsidRPr="00836E4E">
        <w:rPr>
          <w:rFonts w:ascii="Arial" w:hAnsi="Arial" w:cs="Arial"/>
          <w:b/>
          <w:sz w:val="22"/>
          <w:szCs w:val="22"/>
        </w:rPr>
        <w:t xml:space="preserve"> δράση</w:t>
      </w:r>
      <w:r w:rsidRPr="00836E4E">
        <w:rPr>
          <w:rFonts w:ascii="Arial" w:hAnsi="Arial" w:cs="Arial"/>
          <w:b/>
          <w:sz w:val="22"/>
          <w:szCs w:val="22"/>
        </w:rPr>
        <w:t xml:space="preserve"> κατάρτισης και απασχόλησης ανέργων 25</w:t>
      </w:r>
      <w:r w:rsidR="00836E4E" w:rsidRPr="00836E4E">
        <w:rPr>
          <w:rFonts w:ascii="Arial" w:hAnsi="Arial" w:cs="Arial"/>
          <w:b/>
          <w:sz w:val="22"/>
          <w:szCs w:val="22"/>
        </w:rPr>
        <w:t>-</w:t>
      </w:r>
      <w:r w:rsidRPr="00836E4E">
        <w:rPr>
          <w:rFonts w:ascii="Arial" w:hAnsi="Arial" w:cs="Arial"/>
          <w:b/>
          <w:sz w:val="22"/>
          <w:szCs w:val="22"/>
        </w:rPr>
        <w:t>45 ετών</w:t>
      </w:r>
    </w:p>
    <w:p w:rsidR="00B97D4A" w:rsidRPr="00836E4E" w:rsidRDefault="00B97D4A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B97D4A" w:rsidRPr="00836E4E" w:rsidRDefault="0029037F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Σήμερα, Τ</w:t>
      </w:r>
      <w:r w:rsidR="006A0B2F" w:rsidRPr="00836E4E">
        <w:rPr>
          <w:rFonts w:ascii="Arial" w:hAnsi="Arial" w:cs="Arial"/>
          <w:sz w:val="22"/>
          <w:szCs w:val="22"/>
        </w:rPr>
        <w:t>ετάρτη</w:t>
      </w:r>
      <w:r w:rsidRPr="00836E4E">
        <w:rPr>
          <w:rFonts w:ascii="Arial" w:hAnsi="Arial" w:cs="Arial"/>
          <w:sz w:val="22"/>
          <w:szCs w:val="22"/>
        </w:rPr>
        <w:t xml:space="preserve"> 2</w:t>
      </w:r>
      <w:r w:rsidR="006A0B2F" w:rsidRPr="00836E4E">
        <w:rPr>
          <w:rFonts w:ascii="Arial" w:hAnsi="Arial" w:cs="Arial"/>
          <w:sz w:val="22"/>
          <w:szCs w:val="22"/>
        </w:rPr>
        <w:t>4</w:t>
      </w:r>
      <w:r w:rsidRPr="00836E4E">
        <w:rPr>
          <w:rFonts w:ascii="Arial" w:hAnsi="Arial" w:cs="Arial"/>
          <w:sz w:val="22"/>
          <w:szCs w:val="22"/>
        </w:rPr>
        <w:t xml:space="preserve"> Ιανουαρίου</w:t>
      </w:r>
      <w:r w:rsidR="007A5AD9" w:rsidRPr="007A5AD9">
        <w:rPr>
          <w:rFonts w:ascii="Arial" w:hAnsi="Arial" w:cs="Arial"/>
          <w:sz w:val="22"/>
          <w:szCs w:val="22"/>
        </w:rPr>
        <w:t>,</w:t>
      </w:r>
      <w:r w:rsidRPr="00836E4E">
        <w:rPr>
          <w:rFonts w:ascii="Arial" w:hAnsi="Arial" w:cs="Arial"/>
          <w:sz w:val="22"/>
          <w:szCs w:val="22"/>
        </w:rPr>
        <w:t xml:space="preserve"> ξεκινά</w:t>
      </w:r>
      <w:r w:rsidR="007A5AD9">
        <w:rPr>
          <w:rFonts w:ascii="Arial" w:hAnsi="Arial" w:cs="Arial"/>
          <w:sz w:val="22"/>
          <w:szCs w:val="22"/>
        </w:rPr>
        <w:t xml:space="preserve"> </w:t>
      </w:r>
      <w:r w:rsidRPr="00836E4E">
        <w:rPr>
          <w:rFonts w:ascii="Arial" w:hAnsi="Arial" w:cs="Arial"/>
          <w:sz w:val="22"/>
          <w:szCs w:val="22"/>
        </w:rPr>
        <w:t xml:space="preserve">η υποβολή αιτήσεων από τους παρόχους Συνεχιζόμενης Επαγγελματικής Κατάρτισης </w:t>
      </w:r>
      <w:r w:rsidR="00836E4E" w:rsidRPr="00836E4E">
        <w:rPr>
          <w:rFonts w:ascii="Arial" w:hAnsi="Arial" w:cs="Arial"/>
          <w:sz w:val="22"/>
          <w:szCs w:val="22"/>
        </w:rPr>
        <w:t xml:space="preserve">(ΣΕΚ) </w:t>
      </w:r>
      <w:r w:rsidRPr="00836E4E">
        <w:rPr>
          <w:rFonts w:ascii="Arial" w:hAnsi="Arial" w:cs="Arial"/>
          <w:sz w:val="22"/>
          <w:szCs w:val="22"/>
        </w:rPr>
        <w:t>και Φορέων Πιστοποίησης</w:t>
      </w:r>
      <w:r w:rsidR="00836E4E" w:rsidRPr="00836E4E">
        <w:rPr>
          <w:rFonts w:ascii="Arial" w:hAnsi="Arial" w:cs="Arial"/>
          <w:sz w:val="22"/>
          <w:szCs w:val="22"/>
        </w:rPr>
        <w:t xml:space="preserve"> για συμμετοχή </w:t>
      </w:r>
      <w:r w:rsidRPr="00836E4E">
        <w:rPr>
          <w:rFonts w:ascii="Arial" w:hAnsi="Arial" w:cs="Arial"/>
          <w:sz w:val="22"/>
          <w:szCs w:val="22"/>
        </w:rPr>
        <w:t>στη νέα «Ολοκληρωμένη Δράση κατάρτισης και απασχόλησης ανέργων 25 έως 45 ετών»</w:t>
      </w:r>
      <w:r w:rsidR="00836E4E" w:rsidRPr="00836E4E">
        <w:rPr>
          <w:rFonts w:ascii="Arial" w:hAnsi="Arial" w:cs="Arial"/>
          <w:sz w:val="22"/>
          <w:szCs w:val="22"/>
        </w:rPr>
        <w:t xml:space="preserve"> που </w:t>
      </w:r>
      <w:r w:rsidR="00836E4E">
        <w:rPr>
          <w:rFonts w:ascii="Arial" w:hAnsi="Arial" w:cs="Arial"/>
          <w:sz w:val="22"/>
          <w:szCs w:val="22"/>
        </w:rPr>
        <w:t>στοχεύει σ</w:t>
      </w:r>
      <w:r w:rsidR="00836E4E" w:rsidRPr="00836E4E">
        <w:rPr>
          <w:rFonts w:ascii="Arial" w:hAnsi="Arial" w:cs="Arial"/>
          <w:sz w:val="22"/>
          <w:szCs w:val="22"/>
        </w:rPr>
        <w:t>την</w:t>
      </w:r>
      <w:r w:rsidRPr="00836E4E">
        <w:rPr>
          <w:rFonts w:ascii="Arial" w:hAnsi="Arial" w:cs="Arial"/>
          <w:sz w:val="22"/>
          <w:szCs w:val="22"/>
        </w:rPr>
        <w:t xml:space="preserve"> κατάρτιση 10.000 ανέργων και </w:t>
      </w:r>
      <w:r w:rsidR="00836E4E" w:rsidRPr="00836E4E">
        <w:rPr>
          <w:rFonts w:ascii="Arial" w:hAnsi="Arial" w:cs="Arial"/>
          <w:sz w:val="22"/>
          <w:szCs w:val="22"/>
        </w:rPr>
        <w:t>τη</w:t>
      </w:r>
      <w:r w:rsidRPr="00836E4E">
        <w:rPr>
          <w:rFonts w:ascii="Arial" w:hAnsi="Arial" w:cs="Arial"/>
          <w:sz w:val="22"/>
          <w:szCs w:val="22"/>
        </w:rPr>
        <w:t xml:space="preserve"> δημιουργία 7.500 νέων θέσεων εργασίας. </w:t>
      </w:r>
    </w:p>
    <w:p w:rsidR="00B97D4A" w:rsidRPr="00836E4E" w:rsidRDefault="00B97D4A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B97D4A" w:rsidRPr="00836E4E" w:rsidRDefault="0029037F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 xml:space="preserve">Τα προγράμματα ΣΕΚ θα υλοποιούνται με τη διαδικασία του συστήματος παροχής </w:t>
      </w:r>
      <w:r w:rsidR="00836E4E" w:rsidRPr="00836E4E">
        <w:rPr>
          <w:rFonts w:ascii="Arial" w:hAnsi="Arial" w:cs="Arial"/>
          <w:sz w:val="22"/>
          <w:szCs w:val="22"/>
        </w:rPr>
        <w:t>ε</w:t>
      </w:r>
      <w:r w:rsidRPr="00836E4E">
        <w:rPr>
          <w:rFonts w:ascii="Arial" w:hAnsi="Arial" w:cs="Arial"/>
          <w:sz w:val="22"/>
          <w:szCs w:val="22"/>
        </w:rPr>
        <w:t xml:space="preserve">πιταγών </w:t>
      </w:r>
      <w:bookmarkStart w:id="0" w:name="_GoBack"/>
      <w:r w:rsidR="00836E4E" w:rsidRPr="00836E4E">
        <w:rPr>
          <w:rFonts w:ascii="Arial" w:hAnsi="Arial" w:cs="Arial"/>
          <w:sz w:val="22"/>
          <w:szCs w:val="22"/>
        </w:rPr>
        <w:t>κ</w:t>
      </w:r>
      <w:r w:rsidRPr="00836E4E">
        <w:rPr>
          <w:rFonts w:ascii="Arial" w:hAnsi="Arial" w:cs="Arial"/>
          <w:sz w:val="22"/>
          <w:szCs w:val="22"/>
        </w:rPr>
        <w:t>ατάρτισης (</w:t>
      </w:r>
      <w:r w:rsidR="00836E4E" w:rsidRPr="00836E4E">
        <w:rPr>
          <w:rFonts w:ascii="Arial" w:hAnsi="Arial" w:cs="Arial"/>
          <w:sz w:val="22"/>
          <w:szCs w:val="22"/>
          <w:lang w:val="en-US"/>
        </w:rPr>
        <w:t>t</w:t>
      </w:r>
      <w:r w:rsidRPr="00836E4E">
        <w:rPr>
          <w:rFonts w:ascii="Arial" w:hAnsi="Arial" w:cs="Arial"/>
          <w:sz w:val="22"/>
          <w:szCs w:val="22"/>
        </w:rPr>
        <w:t xml:space="preserve">raining </w:t>
      </w:r>
      <w:r w:rsidR="00836E4E" w:rsidRPr="00836E4E">
        <w:rPr>
          <w:rFonts w:ascii="Arial" w:hAnsi="Arial" w:cs="Arial"/>
          <w:sz w:val="22"/>
          <w:szCs w:val="22"/>
          <w:lang w:val="en-US"/>
        </w:rPr>
        <w:t>v</w:t>
      </w:r>
      <w:r w:rsidRPr="00836E4E">
        <w:rPr>
          <w:rFonts w:ascii="Arial" w:hAnsi="Arial" w:cs="Arial"/>
          <w:sz w:val="22"/>
          <w:szCs w:val="22"/>
        </w:rPr>
        <w:t xml:space="preserve">ouchers) και θα αφορούν εξ αποστάσεως κατάρτιση διάρκειας 80 ωρών </w:t>
      </w:r>
      <w:bookmarkEnd w:id="0"/>
      <w:r w:rsidRPr="00836E4E">
        <w:rPr>
          <w:rFonts w:ascii="Arial" w:hAnsi="Arial" w:cs="Arial"/>
          <w:sz w:val="22"/>
          <w:szCs w:val="22"/>
        </w:rPr>
        <w:t>(τουλάχιστον 60 ώρες σύγχρονης εξ αποστάσεως εκπαίδευσης και έως 20 ώρες ασύγχρονης εξ αποστάσεως εκπαίδευση)</w:t>
      </w:r>
      <w:r w:rsidR="00836E4E" w:rsidRPr="00836E4E">
        <w:rPr>
          <w:rFonts w:ascii="Arial" w:hAnsi="Arial" w:cs="Arial"/>
          <w:sz w:val="22"/>
          <w:szCs w:val="22"/>
        </w:rPr>
        <w:t xml:space="preserve">, ενώ </w:t>
      </w:r>
      <w:r w:rsidRPr="00836E4E">
        <w:rPr>
          <w:rFonts w:ascii="Arial" w:hAnsi="Arial" w:cs="Arial"/>
          <w:sz w:val="22"/>
          <w:szCs w:val="22"/>
        </w:rPr>
        <w:t xml:space="preserve">θα ακολουθεί πιστοποίηση γνώσεων και δεξιοτήτων, μέσω </w:t>
      </w:r>
      <w:r w:rsidR="00836E4E" w:rsidRPr="00836E4E">
        <w:rPr>
          <w:rFonts w:ascii="Arial" w:hAnsi="Arial" w:cs="Arial"/>
          <w:sz w:val="22"/>
          <w:szCs w:val="22"/>
        </w:rPr>
        <w:t>ε</w:t>
      </w:r>
      <w:r w:rsidRPr="00836E4E">
        <w:rPr>
          <w:rFonts w:ascii="Arial" w:hAnsi="Arial" w:cs="Arial"/>
          <w:sz w:val="22"/>
          <w:szCs w:val="22"/>
        </w:rPr>
        <w:t>πιταγ</w:t>
      </w:r>
      <w:r w:rsidR="00836E4E">
        <w:rPr>
          <w:rFonts w:ascii="Arial" w:hAnsi="Arial" w:cs="Arial"/>
          <w:sz w:val="22"/>
          <w:szCs w:val="22"/>
        </w:rPr>
        <w:t>ών</w:t>
      </w:r>
      <w:r w:rsidRPr="00836E4E">
        <w:rPr>
          <w:rFonts w:ascii="Arial" w:hAnsi="Arial" w:cs="Arial"/>
          <w:sz w:val="22"/>
          <w:szCs w:val="22"/>
        </w:rPr>
        <w:t xml:space="preserve"> </w:t>
      </w:r>
      <w:r w:rsidR="00836E4E" w:rsidRPr="00836E4E">
        <w:rPr>
          <w:rFonts w:ascii="Arial" w:hAnsi="Arial" w:cs="Arial"/>
          <w:sz w:val="22"/>
          <w:szCs w:val="22"/>
        </w:rPr>
        <w:t>π</w:t>
      </w:r>
      <w:r w:rsidRPr="00836E4E">
        <w:rPr>
          <w:rFonts w:ascii="Arial" w:hAnsi="Arial" w:cs="Arial"/>
          <w:sz w:val="22"/>
          <w:szCs w:val="22"/>
        </w:rPr>
        <w:t>ιστοποίησης (</w:t>
      </w:r>
      <w:r w:rsidR="00836E4E" w:rsidRPr="00836E4E">
        <w:rPr>
          <w:rFonts w:ascii="Arial" w:hAnsi="Arial" w:cs="Arial"/>
          <w:sz w:val="22"/>
          <w:szCs w:val="22"/>
          <w:lang w:val="en-US"/>
        </w:rPr>
        <w:t>c</w:t>
      </w:r>
      <w:r w:rsidRPr="00836E4E">
        <w:rPr>
          <w:rFonts w:ascii="Arial" w:hAnsi="Arial" w:cs="Arial"/>
          <w:sz w:val="22"/>
          <w:szCs w:val="22"/>
        </w:rPr>
        <w:t xml:space="preserve">ertification </w:t>
      </w:r>
      <w:r w:rsidR="00836E4E" w:rsidRPr="00836E4E">
        <w:rPr>
          <w:rFonts w:ascii="Arial" w:hAnsi="Arial" w:cs="Arial"/>
          <w:sz w:val="22"/>
          <w:szCs w:val="22"/>
          <w:lang w:val="en-US"/>
        </w:rPr>
        <w:t>v</w:t>
      </w:r>
      <w:r w:rsidRPr="00836E4E">
        <w:rPr>
          <w:rFonts w:ascii="Arial" w:hAnsi="Arial" w:cs="Arial"/>
          <w:sz w:val="22"/>
          <w:szCs w:val="22"/>
        </w:rPr>
        <w:t xml:space="preserve">oucher). </w:t>
      </w:r>
    </w:p>
    <w:p w:rsidR="00B97D4A" w:rsidRPr="00836E4E" w:rsidRDefault="00B97D4A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B97D4A" w:rsidRPr="00836E4E" w:rsidRDefault="0029037F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Η κατάρτιση θα υλοποιηθεί μέσω των επικαιροποιημένων</w:t>
      </w:r>
      <w:r w:rsidR="00836E4E">
        <w:rPr>
          <w:rFonts w:ascii="Arial" w:hAnsi="Arial" w:cs="Arial"/>
          <w:sz w:val="22"/>
          <w:szCs w:val="22"/>
        </w:rPr>
        <w:t xml:space="preserve"> </w:t>
      </w:r>
      <w:r w:rsidRPr="00836E4E">
        <w:rPr>
          <w:rFonts w:ascii="Arial" w:hAnsi="Arial" w:cs="Arial"/>
          <w:sz w:val="22"/>
          <w:szCs w:val="22"/>
        </w:rPr>
        <w:t>Μητρώων Παρόχων Κατάρτισης και Πιστοποίησης της ΔΥΠΑ. Οι πάροχοι</w:t>
      </w:r>
      <w:r w:rsidR="00836E4E">
        <w:rPr>
          <w:rFonts w:ascii="Arial" w:hAnsi="Arial" w:cs="Arial"/>
          <w:sz w:val="22"/>
          <w:szCs w:val="22"/>
        </w:rPr>
        <w:t xml:space="preserve"> </w:t>
      </w:r>
      <w:r w:rsidRPr="00836E4E">
        <w:rPr>
          <w:rFonts w:ascii="Arial" w:hAnsi="Arial" w:cs="Arial"/>
          <w:sz w:val="22"/>
          <w:szCs w:val="22"/>
        </w:rPr>
        <w:t xml:space="preserve">που είναι ήδη ενταγμένοι στα Μητρώα δεν θα υποβάλλουν εκ νέου τα απαιτούμενα δικαιολογητικά, παρά μόνο όσα δεν είναι σε ισχύ ή έχουν τροποποιηθεί. Οι πάροχοι που δεν περιλαμβάνονται στα ανωτέρω Μητρώα, </w:t>
      </w:r>
      <w:r w:rsidR="00836E4E">
        <w:rPr>
          <w:rFonts w:ascii="Arial" w:hAnsi="Arial" w:cs="Arial"/>
          <w:sz w:val="22"/>
          <w:szCs w:val="22"/>
        </w:rPr>
        <w:t>μπορούν</w:t>
      </w:r>
      <w:r w:rsidRPr="00836E4E">
        <w:rPr>
          <w:rFonts w:ascii="Arial" w:hAnsi="Arial" w:cs="Arial"/>
          <w:sz w:val="22"/>
          <w:szCs w:val="22"/>
        </w:rPr>
        <w:t xml:space="preserve"> να συμμετάσχουν </w:t>
      </w:r>
      <w:r w:rsidR="00836E4E">
        <w:rPr>
          <w:rFonts w:ascii="Arial" w:hAnsi="Arial" w:cs="Arial"/>
          <w:sz w:val="22"/>
          <w:szCs w:val="22"/>
        </w:rPr>
        <w:t>υποβάλλοντας</w:t>
      </w:r>
      <w:r w:rsidRPr="00836E4E">
        <w:rPr>
          <w:rFonts w:ascii="Arial" w:hAnsi="Arial" w:cs="Arial"/>
          <w:sz w:val="22"/>
          <w:szCs w:val="22"/>
        </w:rPr>
        <w:t xml:space="preserve"> αίτηση συμμετοχής με τα απαιτούμενα δικαιολογητικά.</w:t>
      </w:r>
    </w:p>
    <w:p w:rsidR="00B97D4A" w:rsidRPr="00836E4E" w:rsidRDefault="0029037F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 xml:space="preserve"> </w:t>
      </w:r>
    </w:p>
    <w:p w:rsidR="00B97D4A" w:rsidRDefault="0029037F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Οι ενδιαφερόμενοι Πάροχοι Κατάρτισης και Φορείς Πιστοποίησης, μπορούν να υποβάλλουν αποκλειστικά ηλεκτρονικά την αίτησή τους μέσω gov.gr στους ακόλουθους συνδέσμους:</w:t>
      </w:r>
    </w:p>
    <w:p w:rsidR="00836E4E" w:rsidRDefault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836E4E" w:rsidRDefault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Πάροχοι Κατάρτισης ΚΔΒΜ</w:t>
      </w:r>
    </w:p>
    <w:p w:rsidR="00836E4E" w:rsidRDefault="00442DE3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hyperlink r:id="rId10" w:history="1">
        <w:r w:rsidR="00836E4E" w:rsidRPr="003C1BEB">
          <w:rPr>
            <w:rStyle w:val="-"/>
            <w:rFonts w:ascii="Arial" w:hAnsi="Arial" w:cs="Arial"/>
            <w:sz w:val="22"/>
            <w:szCs w:val="22"/>
          </w:rPr>
          <w:t>https://www.gov.gr/ipiresies/ekpaideuse/katartise/eggraphe-sto-metroo-parokhon-katartises-adeiodotemenon-kdbm</w:t>
        </w:r>
      </w:hyperlink>
      <w:r w:rsidR="00836E4E">
        <w:rPr>
          <w:rFonts w:ascii="Arial" w:hAnsi="Arial" w:cs="Arial"/>
          <w:sz w:val="22"/>
          <w:szCs w:val="22"/>
        </w:rPr>
        <w:t xml:space="preserve"> </w:t>
      </w:r>
    </w:p>
    <w:p w:rsidR="00836E4E" w:rsidRDefault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836E4E" w:rsidRDefault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Πάροχοι Κατάρτισης ΚΕΔΙΒΙΜ ΑΕΙ</w:t>
      </w:r>
    </w:p>
    <w:p w:rsidR="00836E4E" w:rsidRDefault="00442DE3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hyperlink r:id="rId11" w:history="1">
        <w:r w:rsidR="00836E4E" w:rsidRPr="003C1BEB">
          <w:rPr>
            <w:rStyle w:val="-"/>
            <w:rFonts w:ascii="Arial" w:hAnsi="Arial" w:cs="Arial"/>
            <w:sz w:val="22"/>
            <w:szCs w:val="22"/>
          </w:rPr>
          <w:t>https://www.gov.gr/ipiresies/ekpaideuse/katartise/eggraphe-sto-metroo-parokhon-ton-kedibim-ton-aei</w:t>
        </w:r>
      </w:hyperlink>
      <w:r w:rsidR="00836E4E">
        <w:rPr>
          <w:rFonts w:ascii="Arial" w:hAnsi="Arial" w:cs="Arial"/>
          <w:sz w:val="22"/>
          <w:szCs w:val="22"/>
        </w:rPr>
        <w:t xml:space="preserve"> </w:t>
      </w:r>
    </w:p>
    <w:p w:rsidR="00836E4E" w:rsidRDefault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836E4E" w:rsidRDefault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Φορείς Πιστοποίησης</w:t>
      </w:r>
    </w:p>
    <w:p w:rsidR="00836E4E" w:rsidRPr="00836E4E" w:rsidRDefault="00442DE3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hyperlink r:id="rId12" w:history="1">
        <w:r w:rsidR="00836E4E" w:rsidRPr="003C1BEB">
          <w:rPr>
            <w:rStyle w:val="-"/>
            <w:rFonts w:ascii="Arial" w:hAnsi="Arial" w:cs="Arial"/>
            <w:sz w:val="22"/>
            <w:szCs w:val="22"/>
          </w:rPr>
          <w:t>https://www.gov.gr/ipiresies/ekpaideuse/katartise/eggraphe-sto-metroo-parokhon-pistopoieses</w:t>
        </w:r>
      </w:hyperlink>
      <w:r w:rsidR="00836E4E">
        <w:rPr>
          <w:rFonts w:ascii="Arial" w:hAnsi="Arial" w:cs="Arial"/>
          <w:sz w:val="22"/>
          <w:szCs w:val="22"/>
        </w:rPr>
        <w:t xml:space="preserve"> </w:t>
      </w:r>
    </w:p>
    <w:p w:rsidR="00B97D4A" w:rsidRPr="00836E4E" w:rsidRDefault="00B97D4A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836E4E" w:rsidRPr="004C1603" w:rsidRDefault="00836E4E" w:rsidP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4C1603">
        <w:rPr>
          <w:rFonts w:ascii="Arial" w:hAnsi="Arial" w:cs="Arial"/>
          <w:sz w:val="22"/>
          <w:szCs w:val="22"/>
        </w:rPr>
        <w:t xml:space="preserve">Ο συνολικός προϋπολογισμός του προγράμματος απασχόλησης ανέρχεται στα 41.331.600 € και χρηματοδοτείται από το </w:t>
      </w:r>
      <w:bookmarkStart w:id="1" w:name="__DdeLink__3316_3598217767"/>
      <w:r w:rsidRPr="004C1603">
        <w:rPr>
          <w:rFonts w:ascii="Arial" w:hAnsi="Arial" w:cs="Arial"/>
          <w:sz w:val="22"/>
          <w:szCs w:val="22"/>
        </w:rPr>
        <w:t>Ταμείο Ανάκαμψης και Ανθεκτικότητας</w:t>
      </w:r>
      <w:bookmarkEnd w:id="1"/>
      <w:r w:rsidRPr="004C1603">
        <w:rPr>
          <w:rFonts w:ascii="Arial" w:hAnsi="Arial" w:cs="Arial"/>
          <w:sz w:val="22"/>
          <w:szCs w:val="22"/>
        </w:rPr>
        <w:t xml:space="preserve">. </w:t>
      </w:r>
    </w:p>
    <w:p w:rsidR="00836E4E" w:rsidRPr="004C1603" w:rsidRDefault="00836E4E" w:rsidP="00836E4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836E4E" w:rsidRPr="00836E4E" w:rsidRDefault="0029037F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36E4E">
        <w:rPr>
          <w:rFonts w:ascii="Arial" w:hAnsi="Arial" w:cs="Arial"/>
          <w:sz w:val="22"/>
          <w:szCs w:val="22"/>
        </w:rPr>
        <w:t>Για περισσότερες πληροφορίες, οι ενδιαφερόμενοι μπορούν να επισκεφτούν τη διεύθυνση:</w:t>
      </w:r>
    </w:p>
    <w:p w:rsidR="004D4864" w:rsidRPr="00904DF2" w:rsidRDefault="00442DE3" w:rsidP="004D4864">
      <w:pPr>
        <w:rPr>
          <w:rStyle w:val="-"/>
          <w:rFonts w:ascii="Arial" w:hAnsi="Arial" w:cs="Arial"/>
          <w:color w:val="3333FF"/>
          <w:sz w:val="22"/>
          <w:szCs w:val="22"/>
          <w:shd w:val="clear" w:color="auto" w:fill="FFFFFF"/>
        </w:rPr>
      </w:pPr>
      <w:hyperlink r:id="rId13" w:history="1">
        <w:r w:rsidR="004D4864" w:rsidRPr="00904DF2">
          <w:rPr>
            <w:rStyle w:val="-"/>
            <w:rFonts w:ascii="Arial" w:hAnsi="Arial" w:cs="Arial"/>
            <w:color w:val="3333FF"/>
            <w:sz w:val="22"/>
            <w:szCs w:val="22"/>
            <w:shd w:val="clear" w:color="auto" w:fill="FFFFFF"/>
          </w:rPr>
          <w:t>https://www.dypa.gov.gr/proghrammata-katartisis-ghia-to-tamio-anakampsis</w:t>
        </w:r>
      </w:hyperlink>
    </w:p>
    <w:sectPr w:rsidR="004D4864" w:rsidRPr="00904D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DE3" w:rsidRDefault="00442DE3">
      <w:r>
        <w:separator/>
      </w:r>
    </w:p>
  </w:endnote>
  <w:endnote w:type="continuationSeparator" w:id="0">
    <w:p w:rsidR="00442DE3" w:rsidRDefault="0044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4A" w:rsidRDefault="0029037F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Πλαίσιο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97D4A" w:rsidRDefault="0029037F">
                          <w:pPr>
                            <w:pStyle w:val="a7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2" o:spid="_x0000_s1027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El7t03HAQAAbA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B97D4A" w:rsidRDefault="0029037F">
                    <w:pPr>
                      <w:pStyle w:val="a7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4A" w:rsidRDefault="00B97D4A">
    <w:pPr>
      <w:pStyle w:val="a7"/>
    </w:pPr>
  </w:p>
  <w:p w:rsidR="00B97D4A" w:rsidRDefault="0029037F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inline distT="0" distB="0" distL="0" distR="0">
          <wp:extent cx="2879725" cy="463550"/>
          <wp:effectExtent l="0" t="0" r="0" b="0"/>
          <wp:docPr id="10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4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4A" w:rsidRDefault="00B97D4A">
    <w:pPr>
      <w:pStyle w:val="a7"/>
    </w:pPr>
  </w:p>
  <w:p w:rsidR="00B97D4A" w:rsidRDefault="0029037F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inline distT="0" distB="0" distL="0" distR="0">
          <wp:extent cx="2879725" cy="463550"/>
          <wp:effectExtent l="0" t="0" r="0" b="0"/>
          <wp:docPr id="1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4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DE3" w:rsidRDefault="00442DE3">
      <w:r>
        <w:separator/>
      </w:r>
    </w:p>
  </w:footnote>
  <w:footnote w:type="continuationSeparator" w:id="0">
    <w:p w:rsidR="00442DE3" w:rsidRDefault="0044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4A" w:rsidRDefault="002903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675" cy="10697210"/>
              <wp:effectExtent l="0" t="0" r="0" b="0"/>
              <wp:wrapNone/>
              <wp:docPr id="6" name="WordPictureWatermark575764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6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1" o:spid="shape_0" stroked="f" o:allowincell="f" style="position:absolute;margin-left:0.05pt;margin-top:0pt;width:595.15pt;height:842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4A" w:rsidRDefault="002903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675" cy="11215370"/>
              <wp:effectExtent l="0" t="0" r="0" b="0"/>
              <wp:wrapNone/>
              <wp:docPr id="7" name="WordPictureWatermark57576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575764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1214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757642" o:spid="shape_0" stroked="f" o:allowincell="f" style="position:absolute;margin-left:-70.85pt;margin-top:-85.45pt;width:595.15pt;height:883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4A" w:rsidRDefault="002903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675" cy="11215370"/>
              <wp:effectExtent l="0" t="0" r="0" b="0"/>
              <wp:wrapNone/>
              <wp:docPr id="8" name="WordPictureWatermark57576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575764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1214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757642" o:spid="shape_0" stroked="f" o:allowincell="f" style="position:absolute;margin-left:-70.85pt;margin-top:-85.45pt;width:595.15pt;height:883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4A"/>
    <w:rsid w:val="001B73BD"/>
    <w:rsid w:val="00223537"/>
    <w:rsid w:val="0029037F"/>
    <w:rsid w:val="00442DE3"/>
    <w:rsid w:val="004D4864"/>
    <w:rsid w:val="00625EF0"/>
    <w:rsid w:val="00694965"/>
    <w:rsid w:val="006A0B2F"/>
    <w:rsid w:val="006D7263"/>
    <w:rsid w:val="006D7913"/>
    <w:rsid w:val="007A5AD9"/>
    <w:rsid w:val="00836E4E"/>
    <w:rsid w:val="00904DF2"/>
    <w:rsid w:val="00947956"/>
    <w:rsid w:val="00B97D4A"/>
    <w:rsid w:val="00C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B22A0-6598-4A68-AF21-81D8937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customStyle="1" w:styleId="ab">
    <w:name w:val="Αναγνωσμένος δεσμός διαδικτύου"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object">
    <w:name w:val="object"/>
    <w:basedOn w:val="a0"/>
    <w:qFormat/>
    <w:rsid w:val="000D18E8"/>
  </w:style>
  <w:style w:type="paragraph" w:customStyle="1" w:styleId="ac">
    <w:name w:val="Επικεφαλίδα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line="280" w:lineRule="atLeast"/>
      <w:jc w:val="both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0">
    <w:name w:val="Ευρετήριο"/>
    <w:basedOn w:val="a"/>
    <w:qFormat/>
    <w:pPr>
      <w:suppressLineNumbers/>
    </w:pPr>
    <w:rPr>
      <w:rFonts w:cs="Lohit Devanagari"/>
    </w:rPr>
  </w:style>
  <w:style w:type="paragraph" w:styleId="af1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customStyle="1" w:styleId="af2">
    <w:name w:val="Κεφαλίδα και υποσέλιδο"/>
    <w:basedOn w:val="a"/>
    <w:qFormat/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f7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D4864"/>
    <w:rPr>
      <w:color w:val="0000FF"/>
      <w:u w:val="single"/>
    </w:rPr>
  </w:style>
  <w:style w:type="character" w:customStyle="1" w:styleId="object-hover">
    <w:name w:val="object-hover"/>
    <w:basedOn w:val="a0"/>
    <w:rsid w:val="004D4864"/>
  </w:style>
  <w:style w:type="character" w:styleId="-0">
    <w:name w:val="FollowedHyperlink"/>
    <w:basedOn w:val="a0"/>
    <w:rsid w:val="00836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ypa.gov.gr/proghrammata-katartisis-ghia-to-tamio-anakampsi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v.gr/ipiresies/ekpaideuse/katartise/eggraphe-sto-metroo-parokhon-pistopoies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gr/ipiresies/ekpaideuse/katartise/eggraphe-sto-metroo-parokhon-ton-kedibim-ton-ae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v.gr/ipiresies/ekpaideuse/katartise/eggraphe-sto-metroo-parokhon-katartises-adeiodotemenon-kdb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A297-E9DF-4E48-9493-25E5F909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2</cp:revision>
  <cp:lastPrinted>2024-01-23T16:27:00Z</cp:lastPrinted>
  <dcterms:created xsi:type="dcterms:W3CDTF">2024-01-24T07:27:00Z</dcterms:created>
  <dcterms:modified xsi:type="dcterms:W3CDTF">2024-01-24T07:27:00Z</dcterms:modified>
  <dc:language>el-GR</dc:language>
</cp:coreProperties>
</file>