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2" w:type="dxa"/>
        <w:tblInd w:w="-459" w:type="dxa"/>
        <w:tblLayout w:type="fixed"/>
        <w:tblLook w:val="04A0" w:firstRow="1" w:lastRow="0" w:firstColumn="1" w:lastColumn="0" w:noHBand="0" w:noVBand="1"/>
      </w:tblPr>
      <w:tblGrid>
        <w:gridCol w:w="207"/>
        <w:gridCol w:w="990"/>
        <w:gridCol w:w="2887"/>
        <w:gridCol w:w="5305"/>
        <w:gridCol w:w="274"/>
        <w:gridCol w:w="69"/>
      </w:tblGrid>
      <w:tr w:rsidR="00442CB5" w:rsidRPr="00CF6B8A" w14:paraId="3AC4C78F" w14:textId="77777777" w:rsidTr="00700802">
        <w:tc>
          <w:tcPr>
            <w:tcW w:w="4084" w:type="dxa"/>
            <w:gridSpan w:val="3"/>
          </w:tcPr>
          <w:p w14:paraId="073FDF78" w14:textId="77777777" w:rsidR="00442CB5" w:rsidRPr="00CF6B8A" w:rsidRDefault="00442CB5" w:rsidP="006B1DB0">
            <w:pPr>
              <w:jc w:val="center"/>
              <w:rPr>
                <w:rFonts w:asciiTheme="minorHAnsi" w:hAnsiTheme="minorHAnsi" w:cstheme="minorHAnsi"/>
                <w:b/>
                <w:sz w:val="22"/>
                <w:szCs w:val="22"/>
              </w:rPr>
            </w:pPr>
            <w:r w:rsidRPr="00CF6B8A">
              <w:rPr>
                <w:rFonts w:asciiTheme="minorHAnsi" w:hAnsiTheme="minorHAnsi" w:cstheme="minorHAnsi"/>
                <w:color w:val="0000FF"/>
                <w:sz w:val="22"/>
                <w:szCs w:val="22"/>
              </w:rPr>
              <w:object w:dxaOrig="3285" w:dyaOrig="2775" w14:anchorId="5FE45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7.25pt" o:ole="">
                  <v:imagedata r:id="rId8" o:title=""/>
                </v:shape>
                <o:OLEObject Type="Embed" ProgID="PBrush" ShapeID="_x0000_i1025" DrawAspect="Content" ObjectID="_1801466529" r:id="rId9"/>
              </w:object>
            </w:r>
          </w:p>
        </w:tc>
        <w:tc>
          <w:tcPr>
            <w:tcW w:w="5648" w:type="dxa"/>
            <w:gridSpan w:val="3"/>
          </w:tcPr>
          <w:p w14:paraId="386CA362" w14:textId="77777777" w:rsidR="00442CB5" w:rsidRPr="00CF6B8A" w:rsidRDefault="00442CB5" w:rsidP="006B1DB0">
            <w:pPr>
              <w:rPr>
                <w:rFonts w:asciiTheme="minorHAnsi" w:hAnsiTheme="minorHAnsi" w:cstheme="minorHAnsi"/>
                <w:sz w:val="22"/>
                <w:szCs w:val="22"/>
              </w:rPr>
            </w:pPr>
          </w:p>
        </w:tc>
      </w:tr>
      <w:tr w:rsidR="00442CB5" w:rsidRPr="00CF6B8A" w14:paraId="620690BF" w14:textId="77777777" w:rsidTr="00700802">
        <w:tc>
          <w:tcPr>
            <w:tcW w:w="4084" w:type="dxa"/>
            <w:gridSpan w:val="3"/>
          </w:tcPr>
          <w:p w14:paraId="2A289470" w14:textId="77777777" w:rsidR="00442CB5" w:rsidRPr="00CF6B8A" w:rsidRDefault="00442CB5" w:rsidP="006B1DB0">
            <w:pPr>
              <w:jc w:val="center"/>
              <w:rPr>
                <w:rFonts w:asciiTheme="minorHAnsi" w:hAnsiTheme="minorHAnsi" w:cstheme="minorHAnsi"/>
                <w:b/>
                <w:sz w:val="22"/>
                <w:szCs w:val="22"/>
              </w:rPr>
            </w:pPr>
            <w:r w:rsidRPr="00CF6B8A">
              <w:rPr>
                <w:rFonts w:asciiTheme="minorHAnsi" w:hAnsiTheme="minorHAnsi" w:cstheme="minorHAnsi"/>
                <w:b/>
                <w:sz w:val="22"/>
                <w:szCs w:val="22"/>
              </w:rPr>
              <w:t>ΠΡΕΣΒΕΙΑ ΤΗΣ ΕΛΛΑΔΟΣ ΒΕΡΟΛΙΝΟ</w:t>
            </w:r>
          </w:p>
          <w:p w14:paraId="71D35E35" w14:textId="77777777" w:rsidR="00442CB5" w:rsidRPr="00CF6B8A" w:rsidRDefault="00442CB5" w:rsidP="006B1DB0">
            <w:pPr>
              <w:jc w:val="center"/>
              <w:rPr>
                <w:rFonts w:asciiTheme="minorHAnsi" w:hAnsiTheme="minorHAnsi" w:cstheme="minorHAnsi"/>
                <w:b/>
                <w:sz w:val="22"/>
                <w:szCs w:val="22"/>
              </w:rPr>
            </w:pPr>
            <w:r w:rsidRPr="00CF6B8A">
              <w:rPr>
                <w:rFonts w:asciiTheme="minorHAnsi" w:hAnsiTheme="minorHAnsi" w:cstheme="minorHAnsi"/>
                <w:b/>
                <w:sz w:val="22"/>
                <w:szCs w:val="22"/>
              </w:rPr>
              <w:t>ΓΡΑΦΕΙΟ ΟΙΚΟΝΟΜΙΚΩΝ ΚΑΙ ΕΜΠΟΡΙΚΩΝ ΥΠΟΘΕΣΕΩΝ</w:t>
            </w:r>
          </w:p>
          <w:p w14:paraId="54D20912" w14:textId="77777777" w:rsidR="00981346" w:rsidRPr="00CF6B8A" w:rsidRDefault="00981346" w:rsidP="006B1DB0">
            <w:pPr>
              <w:jc w:val="center"/>
              <w:rPr>
                <w:rFonts w:asciiTheme="minorHAnsi" w:hAnsiTheme="minorHAnsi" w:cstheme="minorHAnsi"/>
                <w:b/>
                <w:sz w:val="22"/>
                <w:szCs w:val="22"/>
              </w:rPr>
            </w:pPr>
          </w:p>
          <w:p w14:paraId="18B2CE15" w14:textId="77777777" w:rsidR="00ED0DE5" w:rsidRPr="00CF6B8A" w:rsidRDefault="00A90873" w:rsidP="006B1DB0">
            <w:pPr>
              <w:jc w:val="center"/>
              <w:rPr>
                <w:rFonts w:asciiTheme="minorHAnsi" w:hAnsiTheme="minorHAnsi" w:cstheme="minorHAnsi"/>
                <w:bCs/>
                <w:sz w:val="20"/>
                <w:szCs w:val="20"/>
              </w:rPr>
            </w:pPr>
            <w:r w:rsidRPr="00CF6B8A">
              <w:rPr>
                <w:rFonts w:asciiTheme="minorHAnsi" w:hAnsiTheme="minorHAnsi" w:cstheme="minorHAnsi"/>
                <w:bCs/>
                <w:sz w:val="20"/>
                <w:szCs w:val="20"/>
              </w:rPr>
              <w:t xml:space="preserve">Πληρ. : </w:t>
            </w:r>
            <w:r w:rsidR="00C10500" w:rsidRPr="00CF6B8A">
              <w:rPr>
                <w:rFonts w:asciiTheme="minorHAnsi" w:hAnsiTheme="minorHAnsi" w:cstheme="minorHAnsi"/>
                <w:bCs/>
                <w:sz w:val="20"/>
                <w:szCs w:val="20"/>
              </w:rPr>
              <w:t>Αλεξία Μανούσου</w:t>
            </w:r>
            <w:r w:rsidRPr="00CF6B8A">
              <w:rPr>
                <w:rFonts w:asciiTheme="minorHAnsi" w:hAnsiTheme="minorHAnsi" w:cstheme="minorHAnsi"/>
                <w:bCs/>
                <w:sz w:val="20"/>
                <w:szCs w:val="20"/>
              </w:rPr>
              <w:t xml:space="preserve">, </w:t>
            </w:r>
            <w:r w:rsidR="00C10500" w:rsidRPr="00CF6B8A">
              <w:rPr>
                <w:rFonts w:asciiTheme="minorHAnsi" w:hAnsiTheme="minorHAnsi" w:cstheme="minorHAnsi"/>
                <w:bCs/>
                <w:sz w:val="20"/>
                <w:szCs w:val="20"/>
              </w:rPr>
              <w:t>Σ</w:t>
            </w:r>
            <w:r w:rsidRPr="00CF6B8A">
              <w:rPr>
                <w:rFonts w:asciiTheme="minorHAnsi" w:hAnsiTheme="minorHAnsi" w:cstheme="minorHAnsi"/>
                <w:bCs/>
                <w:sz w:val="20"/>
                <w:szCs w:val="20"/>
              </w:rPr>
              <w:t>ΟΕΥ</w:t>
            </w:r>
            <w:r w:rsidR="00C10500" w:rsidRPr="00CF6B8A">
              <w:rPr>
                <w:rFonts w:asciiTheme="minorHAnsi" w:hAnsiTheme="minorHAnsi" w:cstheme="minorHAnsi"/>
                <w:bCs/>
                <w:sz w:val="20"/>
                <w:szCs w:val="20"/>
              </w:rPr>
              <w:t>Β</w:t>
            </w:r>
            <w:r w:rsidRPr="00CF6B8A">
              <w:rPr>
                <w:rFonts w:asciiTheme="minorHAnsi" w:hAnsiTheme="minorHAnsi" w:cstheme="minorHAnsi"/>
                <w:bCs/>
                <w:sz w:val="20"/>
                <w:szCs w:val="20"/>
              </w:rPr>
              <w:t>΄</w:t>
            </w:r>
          </w:p>
          <w:p w14:paraId="1E98CD9A" w14:textId="77777777" w:rsidR="00A90873" w:rsidRPr="00CF6B8A" w:rsidRDefault="00A90873" w:rsidP="006B1DB0">
            <w:pPr>
              <w:jc w:val="center"/>
              <w:rPr>
                <w:rFonts w:asciiTheme="minorHAnsi" w:hAnsiTheme="minorHAnsi" w:cstheme="minorHAnsi"/>
                <w:sz w:val="22"/>
                <w:szCs w:val="22"/>
              </w:rPr>
            </w:pPr>
          </w:p>
        </w:tc>
        <w:tc>
          <w:tcPr>
            <w:tcW w:w="5648" w:type="dxa"/>
            <w:gridSpan w:val="3"/>
          </w:tcPr>
          <w:tbl>
            <w:tblPr>
              <w:tblW w:w="3825" w:type="dxa"/>
              <w:tblInd w:w="1730" w:type="dxa"/>
              <w:tblLayout w:type="fixed"/>
              <w:tblLook w:val="04A0" w:firstRow="1" w:lastRow="0" w:firstColumn="1" w:lastColumn="0" w:noHBand="0" w:noVBand="1"/>
            </w:tblPr>
            <w:tblGrid>
              <w:gridCol w:w="3825"/>
            </w:tblGrid>
            <w:tr w:rsidR="00442CB5" w:rsidRPr="00CF6B8A" w14:paraId="13145193" w14:textId="77777777" w:rsidTr="006B1DB0">
              <w:tc>
                <w:tcPr>
                  <w:tcW w:w="3825" w:type="dxa"/>
                </w:tcPr>
                <w:p w14:paraId="67145BD8" w14:textId="340E9277" w:rsidR="00442CB5" w:rsidRPr="00CF6B8A" w:rsidRDefault="00442CB5" w:rsidP="007510EF">
                  <w:pPr>
                    <w:rPr>
                      <w:rFonts w:asciiTheme="minorHAnsi" w:hAnsiTheme="minorHAnsi" w:cstheme="minorHAnsi"/>
                      <w:sz w:val="22"/>
                      <w:szCs w:val="22"/>
                    </w:rPr>
                  </w:pPr>
                  <w:r w:rsidRPr="00CF6B8A">
                    <w:rPr>
                      <w:rFonts w:asciiTheme="minorHAnsi" w:hAnsiTheme="minorHAnsi" w:cstheme="minorHAnsi"/>
                      <w:sz w:val="22"/>
                      <w:szCs w:val="22"/>
                    </w:rPr>
                    <w:t>Βερολίνο</w:t>
                  </w:r>
                  <w:r w:rsidR="0001427B" w:rsidRPr="00CF6B8A">
                    <w:rPr>
                      <w:rFonts w:asciiTheme="minorHAnsi" w:hAnsiTheme="minorHAnsi" w:cstheme="minorHAnsi"/>
                      <w:sz w:val="22"/>
                      <w:szCs w:val="22"/>
                    </w:rPr>
                    <w:t>,</w:t>
                  </w:r>
                  <w:r w:rsidR="001C224B" w:rsidRPr="00CF6B8A">
                    <w:rPr>
                      <w:rFonts w:asciiTheme="minorHAnsi" w:hAnsiTheme="minorHAnsi" w:cstheme="minorHAnsi"/>
                      <w:sz w:val="22"/>
                      <w:szCs w:val="22"/>
                      <w:lang w:val="en-GB"/>
                    </w:rPr>
                    <w:t xml:space="preserve"> </w:t>
                  </w:r>
                  <w:r w:rsidR="00066D52">
                    <w:rPr>
                      <w:rFonts w:asciiTheme="minorHAnsi" w:hAnsiTheme="minorHAnsi" w:cstheme="minorHAnsi"/>
                      <w:sz w:val="22"/>
                      <w:szCs w:val="22"/>
                      <w:lang w:val="en-US"/>
                    </w:rPr>
                    <w:t>1</w:t>
                  </w:r>
                  <w:r w:rsidR="00A51BE9">
                    <w:rPr>
                      <w:rFonts w:asciiTheme="minorHAnsi" w:hAnsiTheme="minorHAnsi" w:cstheme="minorHAnsi"/>
                      <w:sz w:val="22"/>
                      <w:szCs w:val="22"/>
                      <w:lang w:val="en-US"/>
                    </w:rPr>
                    <w:t>9</w:t>
                  </w:r>
                  <w:r w:rsidR="00066D52">
                    <w:rPr>
                      <w:rFonts w:asciiTheme="minorHAnsi" w:hAnsiTheme="minorHAnsi" w:cstheme="minorHAnsi"/>
                      <w:sz w:val="22"/>
                      <w:szCs w:val="22"/>
                      <w:lang w:val="en-US"/>
                    </w:rPr>
                    <w:t xml:space="preserve"> </w:t>
                  </w:r>
                  <w:r w:rsidR="00066D52">
                    <w:rPr>
                      <w:rFonts w:asciiTheme="minorHAnsi" w:hAnsiTheme="minorHAnsi" w:cstheme="minorHAnsi"/>
                      <w:sz w:val="22"/>
                      <w:szCs w:val="22"/>
                    </w:rPr>
                    <w:t>Φεβρουαρίου</w:t>
                  </w:r>
                  <w:r w:rsidR="001C224B" w:rsidRPr="00CF6B8A">
                    <w:rPr>
                      <w:rFonts w:asciiTheme="minorHAnsi" w:hAnsiTheme="minorHAnsi" w:cstheme="minorHAnsi"/>
                      <w:sz w:val="22"/>
                      <w:szCs w:val="22"/>
                    </w:rPr>
                    <w:t xml:space="preserve"> 2025</w:t>
                  </w:r>
                </w:p>
              </w:tc>
            </w:tr>
            <w:tr w:rsidR="00442CB5" w:rsidRPr="00CF6B8A" w14:paraId="0C0587ED" w14:textId="77777777" w:rsidTr="006B1DB0">
              <w:tc>
                <w:tcPr>
                  <w:tcW w:w="3825" w:type="dxa"/>
                </w:tcPr>
                <w:p w14:paraId="0D8A41A8" w14:textId="77A9EA4E" w:rsidR="00F047B4" w:rsidRPr="00CF6B8A" w:rsidRDefault="00442CB5" w:rsidP="007510EF">
                  <w:pPr>
                    <w:rPr>
                      <w:rFonts w:asciiTheme="minorHAnsi" w:hAnsiTheme="minorHAnsi" w:cstheme="minorHAnsi"/>
                      <w:sz w:val="22"/>
                      <w:szCs w:val="22"/>
                    </w:rPr>
                  </w:pPr>
                  <w:r w:rsidRPr="00CF6B8A">
                    <w:rPr>
                      <w:rFonts w:asciiTheme="minorHAnsi" w:hAnsiTheme="minorHAnsi" w:cstheme="minorHAnsi"/>
                      <w:sz w:val="22"/>
                      <w:szCs w:val="22"/>
                    </w:rPr>
                    <w:t>Α.Π.:</w:t>
                  </w:r>
                  <w:r w:rsidR="0015762B" w:rsidRPr="00CF6B8A">
                    <w:rPr>
                      <w:rFonts w:asciiTheme="minorHAnsi" w:hAnsiTheme="minorHAnsi" w:cstheme="minorHAnsi"/>
                      <w:sz w:val="22"/>
                      <w:szCs w:val="22"/>
                    </w:rPr>
                    <w:t>Φ.</w:t>
                  </w:r>
                  <w:r w:rsidR="009E7BAE" w:rsidRPr="00CF6B8A">
                    <w:rPr>
                      <w:rFonts w:asciiTheme="minorHAnsi" w:hAnsiTheme="minorHAnsi" w:cstheme="minorHAnsi"/>
                      <w:sz w:val="22"/>
                      <w:szCs w:val="22"/>
                    </w:rPr>
                    <w:t>1420</w:t>
                  </w:r>
                  <w:r w:rsidR="00981346" w:rsidRPr="00CF6B8A">
                    <w:rPr>
                      <w:rFonts w:asciiTheme="minorHAnsi" w:hAnsiTheme="minorHAnsi" w:cstheme="minorHAnsi"/>
                      <w:sz w:val="22"/>
                      <w:szCs w:val="22"/>
                    </w:rPr>
                    <w:t>/</w:t>
                  </w:r>
                  <w:r w:rsidR="00E72C25">
                    <w:rPr>
                      <w:rFonts w:asciiTheme="minorHAnsi" w:hAnsiTheme="minorHAnsi" w:cstheme="minorHAnsi"/>
                      <w:sz w:val="22"/>
                      <w:szCs w:val="22"/>
                    </w:rPr>
                    <w:t xml:space="preserve">ΑΣ </w:t>
                  </w:r>
                  <w:r w:rsidR="000C2889">
                    <w:rPr>
                      <w:rFonts w:asciiTheme="minorHAnsi" w:hAnsiTheme="minorHAnsi" w:cstheme="minorHAnsi"/>
                      <w:sz w:val="22"/>
                      <w:szCs w:val="22"/>
                    </w:rPr>
                    <w:t>26</w:t>
                  </w:r>
                  <w:r w:rsidR="00414268">
                    <w:rPr>
                      <w:rFonts w:asciiTheme="minorHAnsi" w:hAnsiTheme="minorHAnsi" w:cstheme="minorHAnsi"/>
                      <w:sz w:val="22"/>
                      <w:szCs w:val="22"/>
                    </w:rPr>
                    <w:t>2</w:t>
                  </w:r>
                </w:p>
              </w:tc>
            </w:tr>
          </w:tbl>
          <w:p w14:paraId="4B3C43EC" w14:textId="77777777" w:rsidR="00442CB5" w:rsidRPr="00CF6B8A" w:rsidRDefault="00442CB5" w:rsidP="006B1DB0">
            <w:pPr>
              <w:jc w:val="both"/>
              <w:rPr>
                <w:rFonts w:asciiTheme="minorHAnsi" w:hAnsiTheme="minorHAnsi" w:cstheme="minorHAnsi"/>
                <w:sz w:val="22"/>
                <w:szCs w:val="22"/>
              </w:rPr>
            </w:pPr>
          </w:p>
        </w:tc>
      </w:tr>
      <w:tr w:rsidR="00442CB5" w:rsidRPr="00CF6B8A" w14:paraId="3A072928" w14:textId="77777777" w:rsidTr="00700802">
        <w:tblPrEx>
          <w:tblLook w:val="01E0" w:firstRow="1" w:lastRow="1" w:firstColumn="1" w:lastColumn="1" w:noHBand="0" w:noVBand="0"/>
        </w:tblPrEx>
        <w:trPr>
          <w:gridBefore w:val="1"/>
          <w:gridAfter w:val="1"/>
          <w:wBefore w:w="207" w:type="dxa"/>
          <w:wAfter w:w="69" w:type="dxa"/>
        </w:trPr>
        <w:tc>
          <w:tcPr>
            <w:tcW w:w="990" w:type="dxa"/>
          </w:tcPr>
          <w:p w14:paraId="30EBCB53" w14:textId="2F59F26A" w:rsidR="00C239CF" w:rsidRDefault="00442CB5" w:rsidP="004254EC">
            <w:pPr>
              <w:rPr>
                <w:rFonts w:asciiTheme="minorHAnsi" w:hAnsiTheme="minorHAnsi" w:cstheme="minorHAnsi"/>
                <w:b/>
                <w:bCs/>
                <w:sz w:val="22"/>
                <w:szCs w:val="22"/>
              </w:rPr>
            </w:pPr>
            <w:r w:rsidRPr="00CF6B8A">
              <w:rPr>
                <w:rFonts w:asciiTheme="minorHAnsi" w:hAnsiTheme="minorHAnsi" w:cstheme="minorHAnsi"/>
                <w:b/>
                <w:bCs/>
                <w:sz w:val="22"/>
                <w:szCs w:val="22"/>
              </w:rPr>
              <w:t>ΠΡΟΣ:</w:t>
            </w:r>
          </w:p>
          <w:p w14:paraId="60E4041F" w14:textId="59AB81B2" w:rsidR="00F142EB" w:rsidRPr="00CF6B8A" w:rsidRDefault="00E44288" w:rsidP="00E44288">
            <w:pPr>
              <w:rPr>
                <w:rFonts w:asciiTheme="minorHAnsi" w:hAnsiTheme="minorHAnsi" w:cstheme="minorHAnsi"/>
                <w:b/>
                <w:bCs/>
                <w:sz w:val="22"/>
                <w:szCs w:val="22"/>
              </w:rPr>
            </w:pPr>
            <w:r>
              <w:rPr>
                <w:rFonts w:asciiTheme="minorHAnsi" w:hAnsiTheme="minorHAnsi" w:cstheme="minorHAnsi"/>
                <w:b/>
                <w:bCs/>
                <w:sz w:val="22"/>
                <w:szCs w:val="22"/>
              </w:rPr>
              <w:t>ΚΟΙΝ.:</w:t>
            </w:r>
          </w:p>
        </w:tc>
        <w:tc>
          <w:tcPr>
            <w:tcW w:w="8466" w:type="dxa"/>
            <w:gridSpan w:val="3"/>
          </w:tcPr>
          <w:p w14:paraId="42359DB9" w14:textId="1BF53D85" w:rsidR="00E44288" w:rsidRPr="00E44288" w:rsidRDefault="00E44288" w:rsidP="00E44288">
            <w:pPr>
              <w:jc w:val="both"/>
              <w:rPr>
                <w:rFonts w:asciiTheme="minorHAnsi" w:hAnsiTheme="minorHAnsi" w:cstheme="minorHAnsi"/>
                <w:sz w:val="22"/>
                <w:szCs w:val="22"/>
              </w:rPr>
            </w:pPr>
            <w:r>
              <w:rPr>
                <w:rFonts w:asciiTheme="minorHAnsi" w:hAnsiTheme="minorHAnsi" w:cstheme="minorHAnsi"/>
                <w:sz w:val="22"/>
                <w:szCs w:val="22"/>
                <w:lang w:val="de-DE"/>
              </w:rPr>
              <w:t>ODYSSEY</w:t>
            </w:r>
            <w:r w:rsidRPr="00E44288">
              <w:rPr>
                <w:rFonts w:asciiTheme="minorHAnsi" w:hAnsiTheme="minorHAnsi" w:cstheme="minorHAnsi"/>
                <w:sz w:val="22"/>
                <w:szCs w:val="22"/>
              </w:rPr>
              <w:t xml:space="preserve"> </w:t>
            </w:r>
            <w:r>
              <w:rPr>
                <w:rFonts w:asciiTheme="minorHAnsi" w:hAnsiTheme="minorHAnsi" w:cstheme="minorHAnsi"/>
                <w:sz w:val="22"/>
                <w:szCs w:val="22"/>
                <w:lang w:val="de-DE"/>
              </w:rPr>
              <w:t>EXPORTS</w:t>
            </w:r>
            <w:r w:rsidRPr="00E44288">
              <w:rPr>
                <w:rFonts w:asciiTheme="minorHAnsi" w:hAnsiTheme="minorHAnsi" w:cstheme="minorHAnsi"/>
                <w:sz w:val="22"/>
                <w:szCs w:val="22"/>
              </w:rPr>
              <w:t xml:space="preserve"> </w:t>
            </w:r>
            <w:r>
              <w:rPr>
                <w:rFonts w:asciiTheme="minorHAnsi" w:hAnsiTheme="minorHAnsi" w:cstheme="minorHAnsi"/>
                <w:sz w:val="22"/>
                <w:szCs w:val="22"/>
              </w:rPr>
              <w:t>Μονοπρόσωπη ΙΚΕ</w:t>
            </w:r>
          </w:p>
          <w:p w14:paraId="68E1236E" w14:textId="77777777" w:rsidR="00E44288" w:rsidRDefault="00E44288" w:rsidP="00E44288">
            <w:pPr>
              <w:jc w:val="both"/>
              <w:rPr>
                <w:rFonts w:asciiTheme="minorHAnsi" w:hAnsiTheme="minorHAnsi" w:cstheme="minorHAnsi"/>
                <w:sz w:val="22"/>
                <w:szCs w:val="22"/>
              </w:rPr>
            </w:pPr>
            <w:r>
              <w:rPr>
                <w:rFonts w:asciiTheme="minorHAnsi" w:hAnsiTheme="minorHAnsi" w:cstheme="minorHAnsi"/>
                <w:sz w:val="22"/>
                <w:szCs w:val="22"/>
              </w:rPr>
              <w:t xml:space="preserve">Επιμελητήριο </w:t>
            </w:r>
            <w:r w:rsidRPr="00E44288">
              <w:rPr>
                <w:rFonts w:asciiTheme="minorHAnsi" w:hAnsiTheme="minorHAnsi" w:cstheme="minorHAnsi"/>
                <w:sz w:val="22"/>
                <w:szCs w:val="22"/>
              </w:rPr>
              <w:t>Αιτωλοακαρνανίας</w:t>
            </w:r>
            <w:r>
              <w:rPr>
                <w:rFonts w:asciiTheme="minorHAnsi" w:hAnsiTheme="minorHAnsi" w:cstheme="minorHAnsi"/>
                <w:sz w:val="22"/>
                <w:szCs w:val="22"/>
              </w:rPr>
              <w:t xml:space="preserve"> </w:t>
            </w:r>
          </w:p>
          <w:p w14:paraId="5CA17B61" w14:textId="2019259A" w:rsidR="00E44288" w:rsidRPr="00CF6B8A" w:rsidRDefault="00E44288" w:rsidP="00E44288">
            <w:pPr>
              <w:jc w:val="both"/>
              <w:rPr>
                <w:rFonts w:asciiTheme="minorHAnsi" w:hAnsiTheme="minorHAnsi" w:cstheme="minorHAnsi"/>
                <w:sz w:val="22"/>
                <w:szCs w:val="22"/>
              </w:rPr>
            </w:pPr>
            <w:r>
              <w:rPr>
                <w:rFonts w:asciiTheme="minorHAnsi" w:hAnsiTheme="minorHAnsi" w:cstheme="minorHAnsi"/>
                <w:sz w:val="22"/>
                <w:szCs w:val="22"/>
              </w:rPr>
              <w:t>Υπόψη κ. Γ. Ρομπόλη</w:t>
            </w:r>
          </w:p>
        </w:tc>
      </w:tr>
      <w:tr w:rsidR="00E44288" w:rsidRPr="00CF6B8A" w14:paraId="308ED535" w14:textId="77777777" w:rsidTr="00700802">
        <w:tblPrEx>
          <w:tblLook w:val="01E0" w:firstRow="1" w:lastRow="1" w:firstColumn="1" w:lastColumn="1" w:noHBand="0" w:noVBand="0"/>
        </w:tblPrEx>
        <w:trPr>
          <w:gridBefore w:val="1"/>
          <w:gridAfter w:val="1"/>
          <w:wBefore w:w="207" w:type="dxa"/>
          <w:wAfter w:w="69" w:type="dxa"/>
        </w:trPr>
        <w:tc>
          <w:tcPr>
            <w:tcW w:w="990" w:type="dxa"/>
          </w:tcPr>
          <w:p w14:paraId="1A5CA78D" w14:textId="77777777" w:rsidR="00E44288" w:rsidRPr="00CF6B8A" w:rsidRDefault="00E44288" w:rsidP="004254EC">
            <w:pPr>
              <w:rPr>
                <w:rFonts w:asciiTheme="minorHAnsi" w:hAnsiTheme="minorHAnsi" w:cstheme="minorHAnsi"/>
                <w:b/>
                <w:bCs/>
                <w:sz w:val="22"/>
                <w:szCs w:val="22"/>
              </w:rPr>
            </w:pPr>
          </w:p>
        </w:tc>
        <w:tc>
          <w:tcPr>
            <w:tcW w:w="8466" w:type="dxa"/>
            <w:gridSpan w:val="3"/>
          </w:tcPr>
          <w:p w14:paraId="6F948A69" w14:textId="77777777" w:rsidR="00E44288" w:rsidRPr="00E44288" w:rsidRDefault="00E44288" w:rsidP="00E44288">
            <w:pPr>
              <w:jc w:val="both"/>
              <w:rPr>
                <w:rFonts w:asciiTheme="minorHAnsi" w:hAnsiTheme="minorHAnsi" w:cstheme="minorHAnsi"/>
                <w:sz w:val="22"/>
                <w:szCs w:val="22"/>
              </w:rPr>
            </w:pPr>
          </w:p>
        </w:tc>
      </w:tr>
      <w:tr w:rsidR="00442CB5" w:rsidRPr="00CF6B8A" w14:paraId="3FCEE0B4" w14:textId="77777777" w:rsidTr="00700802">
        <w:tblPrEx>
          <w:tblLook w:val="01E0" w:firstRow="1" w:lastRow="1" w:firstColumn="1" w:lastColumn="1" w:noHBand="0" w:noVBand="0"/>
        </w:tblPrEx>
        <w:trPr>
          <w:gridBefore w:val="1"/>
          <w:gridAfter w:val="2"/>
          <w:wBefore w:w="207" w:type="dxa"/>
          <w:wAfter w:w="343" w:type="dxa"/>
          <w:trHeight w:val="557"/>
        </w:trPr>
        <w:tc>
          <w:tcPr>
            <w:tcW w:w="990" w:type="dxa"/>
          </w:tcPr>
          <w:p w14:paraId="3FC2B31B" w14:textId="148DD8DF" w:rsidR="00737071" w:rsidRPr="00CF6B8A" w:rsidRDefault="00442CB5" w:rsidP="00391422">
            <w:pPr>
              <w:tabs>
                <w:tab w:val="left" w:pos="162"/>
              </w:tabs>
              <w:rPr>
                <w:rFonts w:asciiTheme="minorHAnsi" w:hAnsiTheme="minorHAnsi" w:cstheme="minorHAnsi"/>
                <w:b/>
                <w:bCs/>
                <w:sz w:val="22"/>
                <w:szCs w:val="22"/>
              </w:rPr>
            </w:pPr>
            <w:r w:rsidRPr="00CF6B8A">
              <w:rPr>
                <w:rFonts w:asciiTheme="minorHAnsi" w:hAnsiTheme="minorHAnsi" w:cstheme="minorHAnsi"/>
                <w:b/>
                <w:bCs/>
                <w:sz w:val="22"/>
                <w:szCs w:val="22"/>
              </w:rPr>
              <w:t>ΘΕΜΑ:</w:t>
            </w:r>
          </w:p>
          <w:p w14:paraId="2B5DE8E7" w14:textId="77777777" w:rsidR="00391422" w:rsidRPr="00CF6B8A" w:rsidRDefault="00391422" w:rsidP="00391422">
            <w:pPr>
              <w:tabs>
                <w:tab w:val="left" w:pos="162"/>
              </w:tabs>
              <w:rPr>
                <w:rFonts w:asciiTheme="minorHAnsi" w:hAnsiTheme="minorHAnsi" w:cstheme="minorHAnsi"/>
                <w:b/>
                <w:bCs/>
                <w:sz w:val="22"/>
                <w:szCs w:val="22"/>
              </w:rPr>
            </w:pPr>
            <w:r w:rsidRPr="00CF6B8A">
              <w:rPr>
                <w:rFonts w:asciiTheme="minorHAnsi" w:hAnsiTheme="minorHAnsi" w:cstheme="minorHAnsi"/>
                <w:b/>
                <w:bCs/>
                <w:sz w:val="22"/>
                <w:szCs w:val="22"/>
              </w:rPr>
              <w:t>ΣΧΕΤ.:</w:t>
            </w:r>
          </w:p>
        </w:tc>
        <w:tc>
          <w:tcPr>
            <w:tcW w:w="8192" w:type="dxa"/>
            <w:gridSpan w:val="2"/>
          </w:tcPr>
          <w:p w14:paraId="4CBCB471" w14:textId="5799703C" w:rsidR="00F95CE4" w:rsidRPr="00CF6B8A" w:rsidRDefault="00502F28" w:rsidP="001E2C83">
            <w:pPr>
              <w:tabs>
                <w:tab w:val="left" w:pos="-18"/>
              </w:tabs>
              <w:ind w:hanging="18"/>
              <w:jc w:val="both"/>
              <w:rPr>
                <w:rFonts w:asciiTheme="minorHAnsi" w:hAnsiTheme="minorHAnsi" w:cstheme="minorHAnsi"/>
                <w:b/>
                <w:bCs/>
                <w:sz w:val="22"/>
                <w:szCs w:val="22"/>
              </w:rPr>
            </w:pPr>
            <w:r w:rsidRPr="00CF6B8A">
              <w:rPr>
                <w:rFonts w:asciiTheme="minorHAnsi" w:hAnsiTheme="minorHAnsi" w:cstheme="minorHAnsi"/>
                <w:b/>
                <w:bCs/>
                <w:sz w:val="22"/>
                <w:szCs w:val="22"/>
              </w:rPr>
              <w:t xml:space="preserve">Ενδιαφέρον για εξαγωγή </w:t>
            </w:r>
            <w:r w:rsidR="00414268">
              <w:rPr>
                <w:rFonts w:asciiTheme="minorHAnsi" w:hAnsiTheme="minorHAnsi" w:cstheme="minorHAnsi"/>
                <w:b/>
                <w:bCs/>
                <w:sz w:val="22"/>
                <w:szCs w:val="22"/>
              </w:rPr>
              <w:t>αγροδιατροφικών προϊόντων</w:t>
            </w:r>
            <w:r w:rsidRPr="00CF6B8A">
              <w:rPr>
                <w:rFonts w:asciiTheme="minorHAnsi" w:hAnsiTheme="minorHAnsi" w:cstheme="minorHAnsi"/>
                <w:b/>
                <w:bCs/>
                <w:sz w:val="22"/>
                <w:szCs w:val="22"/>
              </w:rPr>
              <w:t xml:space="preserve"> στη Γερμανία</w:t>
            </w:r>
          </w:p>
          <w:p w14:paraId="7E633AAC" w14:textId="0FFFC368" w:rsidR="00AF297E" w:rsidRPr="00CF6B8A" w:rsidRDefault="00391422" w:rsidP="00C10500">
            <w:pPr>
              <w:tabs>
                <w:tab w:val="left" w:pos="-18"/>
              </w:tabs>
              <w:jc w:val="both"/>
              <w:rPr>
                <w:rFonts w:asciiTheme="minorHAnsi" w:hAnsiTheme="minorHAnsi" w:cstheme="minorHAnsi"/>
                <w:bCs/>
                <w:sz w:val="22"/>
                <w:szCs w:val="22"/>
              </w:rPr>
            </w:pPr>
            <w:r w:rsidRPr="00CF6B8A">
              <w:rPr>
                <w:rFonts w:asciiTheme="minorHAnsi" w:hAnsiTheme="minorHAnsi" w:cstheme="minorHAnsi"/>
                <w:bCs/>
                <w:sz w:val="22"/>
                <w:szCs w:val="22"/>
              </w:rPr>
              <w:t>Ηλεκτρονικ</w:t>
            </w:r>
            <w:r w:rsidR="00722155" w:rsidRPr="00CF6B8A">
              <w:rPr>
                <w:rFonts w:asciiTheme="minorHAnsi" w:hAnsiTheme="minorHAnsi" w:cstheme="minorHAnsi"/>
                <w:bCs/>
                <w:sz w:val="22"/>
                <w:szCs w:val="22"/>
              </w:rPr>
              <w:t>ή</w:t>
            </w:r>
            <w:r w:rsidR="001E2C83" w:rsidRPr="00CF6B8A">
              <w:rPr>
                <w:rFonts w:asciiTheme="minorHAnsi" w:hAnsiTheme="minorHAnsi" w:cstheme="minorHAnsi"/>
                <w:bCs/>
                <w:sz w:val="22"/>
                <w:szCs w:val="22"/>
              </w:rPr>
              <w:t xml:space="preserve"> επιστολή</w:t>
            </w:r>
            <w:r w:rsidR="00066D52" w:rsidRPr="000C2889">
              <w:rPr>
                <w:rFonts w:asciiTheme="minorHAnsi" w:hAnsiTheme="minorHAnsi" w:cstheme="minorHAnsi"/>
                <w:bCs/>
                <w:sz w:val="22"/>
                <w:szCs w:val="22"/>
              </w:rPr>
              <w:t xml:space="preserve"> </w:t>
            </w:r>
            <w:r w:rsidR="000C2889">
              <w:rPr>
                <w:rFonts w:asciiTheme="minorHAnsi" w:hAnsiTheme="minorHAnsi" w:cstheme="minorHAnsi"/>
                <w:bCs/>
                <w:sz w:val="22"/>
                <w:szCs w:val="22"/>
              </w:rPr>
              <w:t>Επιμελητηρίου Αιτωλοακαρνανίας από</w:t>
            </w:r>
            <w:r w:rsidR="00981346" w:rsidRPr="00CF6B8A">
              <w:rPr>
                <w:rFonts w:asciiTheme="minorHAnsi" w:hAnsiTheme="minorHAnsi" w:cstheme="minorHAnsi"/>
                <w:bCs/>
                <w:sz w:val="22"/>
                <w:szCs w:val="22"/>
              </w:rPr>
              <w:t xml:space="preserve"> </w:t>
            </w:r>
            <w:r w:rsidR="000C2889">
              <w:rPr>
                <w:rFonts w:asciiTheme="minorHAnsi" w:hAnsiTheme="minorHAnsi" w:cstheme="minorHAnsi"/>
                <w:bCs/>
                <w:sz w:val="22"/>
                <w:szCs w:val="22"/>
              </w:rPr>
              <w:t>18</w:t>
            </w:r>
            <w:r w:rsidR="006D33BF" w:rsidRPr="000C2889">
              <w:rPr>
                <w:rFonts w:asciiTheme="minorHAnsi" w:hAnsiTheme="minorHAnsi" w:cstheme="minorHAnsi"/>
                <w:bCs/>
                <w:sz w:val="22"/>
                <w:szCs w:val="22"/>
              </w:rPr>
              <w:t>.0</w:t>
            </w:r>
            <w:r w:rsidR="00A51BE9">
              <w:rPr>
                <w:rFonts w:asciiTheme="minorHAnsi" w:hAnsiTheme="minorHAnsi" w:cstheme="minorHAnsi"/>
                <w:bCs/>
                <w:sz w:val="22"/>
                <w:szCs w:val="22"/>
                <w:lang w:val="de-DE"/>
              </w:rPr>
              <w:t>2</w:t>
            </w:r>
            <w:r w:rsidR="006D33BF" w:rsidRPr="000C2889">
              <w:rPr>
                <w:rFonts w:asciiTheme="minorHAnsi" w:hAnsiTheme="minorHAnsi" w:cstheme="minorHAnsi"/>
                <w:bCs/>
                <w:sz w:val="22"/>
                <w:szCs w:val="22"/>
              </w:rPr>
              <w:t>.2025</w:t>
            </w:r>
          </w:p>
        </w:tc>
      </w:tr>
    </w:tbl>
    <w:p w14:paraId="4FD399EC" w14:textId="0B6E7875" w:rsidR="000C2889" w:rsidRDefault="00066D52" w:rsidP="00066D52">
      <w:pPr>
        <w:spacing w:before="120" w:after="120"/>
        <w:ind w:left="-270"/>
        <w:jc w:val="both"/>
        <w:rPr>
          <w:rFonts w:asciiTheme="minorHAnsi" w:hAnsiTheme="minorHAnsi" w:cstheme="minorHAnsi"/>
          <w:sz w:val="22"/>
          <w:szCs w:val="22"/>
        </w:rPr>
      </w:pPr>
      <w:r w:rsidRPr="00C10500">
        <w:rPr>
          <w:rFonts w:asciiTheme="minorHAnsi" w:hAnsiTheme="minorHAnsi" w:cstheme="minorHAnsi"/>
          <w:sz w:val="22"/>
          <w:szCs w:val="22"/>
        </w:rPr>
        <w:t xml:space="preserve">Σε συνέχεια </w:t>
      </w:r>
      <w:r w:rsidR="000C2889">
        <w:rPr>
          <w:rFonts w:asciiTheme="minorHAnsi" w:hAnsiTheme="minorHAnsi" w:cstheme="minorHAnsi"/>
          <w:sz w:val="22"/>
          <w:szCs w:val="22"/>
        </w:rPr>
        <w:t xml:space="preserve">ηλεκτρονικής επιστολής του </w:t>
      </w:r>
      <w:r w:rsidR="00E44288" w:rsidRPr="00E44288">
        <w:rPr>
          <w:rFonts w:asciiTheme="minorHAnsi" w:hAnsiTheme="minorHAnsi" w:cstheme="minorHAnsi"/>
          <w:sz w:val="22"/>
          <w:szCs w:val="22"/>
        </w:rPr>
        <w:t>Επιμελητηρίου Αιτωλοακαρνανίας</w:t>
      </w:r>
      <w:r w:rsidRPr="00C10500">
        <w:rPr>
          <w:rFonts w:asciiTheme="minorHAnsi" w:hAnsiTheme="minorHAnsi" w:cstheme="minorHAnsi"/>
          <w:sz w:val="22"/>
          <w:szCs w:val="22"/>
        </w:rPr>
        <w:t>,</w:t>
      </w:r>
      <w:r w:rsidRPr="00063598">
        <w:rPr>
          <w:rFonts w:asciiTheme="minorHAnsi" w:hAnsiTheme="minorHAnsi" w:cstheme="minorHAnsi"/>
          <w:sz w:val="22"/>
          <w:szCs w:val="22"/>
        </w:rPr>
        <w:t xml:space="preserve"> </w:t>
      </w:r>
      <w:r w:rsidRPr="00C10500">
        <w:rPr>
          <w:rFonts w:asciiTheme="minorHAnsi" w:hAnsiTheme="minorHAnsi" w:cstheme="minorHAnsi"/>
          <w:sz w:val="22"/>
          <w:szCs w:val="22"/>
        </w:rPr>
        <w:t>αποστέλλουμε, συνημμένως, διαθέσιμα στοιχεία γερμανικών εταιρειών δραστηριοποιούμενων στους κλάδους ενδιαφέροντος σας</w:t>
      </w:r>
      <w:r w:rsidRPr="00063598">
        <w:rPr>
          <w:rFonts w:asciiTheme="minorHAnsi" w:hAnsiTheme="minorHAnsi" w:cstheme="minorHAnsi"/>
          <w:sz w:val="22"/>
          <w:szCs w:val="22"/>
        </w:rPr>
        <w:t xml:space="preserve"> </w:t>
      </w:r>
      <w:r w:rsidRPr="00C10500">
        <w:rPr>
          <w:rFonts w:asciiTheme="minorHAnsi" w:hAnsiTheme="minorHAnsi" w:cstheme="minorHAnsi"/>
          <w:sz w:val="22"/>
          <w:szCs w:val="22"/>
        </w:rPr>
        <w:t>(διανομείς ελαιολάδου</w:t>
      </w:r>
      <w:r w:rsidR="000C2889" w:rsidRPr="000C2889">
        <w:t xml:space="preserve"> </w:t>
      </w:r>
      <w:r w:rsidR="000C2889">
        <w:t xml:space="preserve">και </w:t>
      </w:r>
      <w:r w:rsidR="000C2889" w:rsidRPr="000C2889">
        <w:rPr>
          <w:rFonts w:asciiTheme="minorHAnsi" w:hAnsiTheme="minorHAnsi" w:cstheme="minorHAnsi"/>
          <w:sz w:val="22"/>
          <w:szCs w:val="22"/>
        </w:rPr>
        <w:t>επιτραπέζιων ελιών</w:t>
      </w:r>
      <w:r w:rsidRPr="00C10500">
        <w:rPr>
          <w:rFonts w:asciiTheme="minorHAnsi" w:hAnsiTheme="minorHAnsi" w:cstheme="minorHAnsi"/>
          <w:sz w:val="22"/>
          <w:szCs w:val="22"/>
        </w:rPr>
        <w:t>, τροφίμων</w:t>
      </w:r>
      <w:r w:rsidRPr="00063598">
        <w:rPr>
          <w:rFonts w:asciiTheme="minorHAnsi" w:hAnsiTheme="minorHAnsi" w:cstheme="minorHAnsi"/>
          <w:sz w:val="22"/>
          <w:szCs w:val="22"/>
        </w:rPr>
        <w:t xml:space="preserve"> </w:t>
      </w:r>
      <w:r w:rsidRPr="00C10500">
        <w:rPr>
          <w:rFonts w:asciiTheme="minorHAnsi" w:hAnsiTheme="minorHAnsi" w:cstheme="minorHAnsi"/>
          <w:sz w:val="22"/>
          <w:szCs w:val="22"/>
        </w:rPr>
        <w:t xml:space="preserve">&amp; ποτών, ειδών </w:t>
      </w:r>
      <w:r w:rsidRPr="00C10500">
        <w:rPr>
          <w:rFonts w:asciiTheme="minorHAnsi" w:hAnsiTheme="minorHAnsi" w:cstheme="minorHAnsi"/>
          <w:sz w:val="22"/>
          <w:szCs w:val="22"/>
          <w:lang w:val="de-DE"/>
        </w:rPr>
        <w:t>delicatessen</w:t>
      </w:r>
      <w:r>
        <w:rPr>
          <w:rFonts w:asciiTheme="minorHAnsi" w:hAnsiTheme="minorHAnsi" w:cstheme="minorHAnsi"/>
          <w:sz w:val="22"/>
          <w:szCs w:val="22"/>
        </w:rPr>
        <w:t>, σούπερ-μάρκετ</w:t>
      </w:r>
      <w:r w:rsidRPr="00C10500">
        <w:rPr>
          <w:rFonts w:asciiTheme="minorHAnsi" w:hAnsiTheme="minorHAnsi" w:cstheme="minorHAnsi"/>
          <w:sz w:val="22"/>
          <w:szCs w:val="22"/>
        </w:rPr>
        <w:t>).</w:t>
      </w:r>
      <w:r>
        <w:rPr>
          <w:rFonts w:asciiTheme="minorHAnsi" w:hAnsiTheme="minorHAnsi" w:cstheme="minorHAnsi"/>
          <w:sz w:val="22"/>
          <w:szCs w:val="22"/>
        </w:rPr>
        <w:t xml:space="preserve"> </w:t>
      </w:r>
    </w:p>
    <w:p w14:paraId="5A3BAC0D" w14:textId="4B11C107" w:rsidR="00066D52" w:rsidRPr="00C10500" w:rsidRDefault="000C2889" w:rsidP="00066D52">
      <w:pPr>
        <w:spacing w:before="120" w:after="120"/>
        <w:ind w:left="-270"/>
        <w:jc w:val="both"/>
        <w:rPr>
          <w:rFonts w:asciiTheme="minorHAnsi" w:eastAsiaTheme="minorHAnsi" w:hAnsiTheme="minorHAnsi" w:cstheme="minorHAnsi"/>
          <w:bCs/>
          <w:sz w:val="22"/>
          <w:szCs w:val="22"/>
          <w:lang w:eastAsia="en-US"/>
        </w:rPr>
      </w:pPr>
      <w:r>
        <w:rPr>
          <w:rFonts w:asciiTheme="minorHAnsi" w:hAnsiTheme="minorHAnsi" w:cstheme="minorHAnsi"/>
          <w:sz w:val="22"/>
          <w:szCs w:val="22"/>
        </w:rPr>
        <w:t>Επιπλέον, π</w:t>
      </w:r>
      <w:r w:rsidR="00066D52">
        <w:rPr>
          <w:rFonts w:asciiTheme="minorHAnsi" w:hAnsiTheme="minorHAnsi" w:cstheme="minorHAnsi"/>
          <w:sz w:val="22"/>
          <w:szCs w:val="22"/>
        </w:rPr>
        <w:t>αραθέτουμε στοιχεία αναφορικά με την αγορά ελαιολάδου στη Γερμανία και επισυνάπτουμε στατιστικά στοιχεία σχετικά με τις επιτραπέζιες ελιές.</w:t>
      </w:r>
    </w:p>
    <w:p w14:paraId="3E44627D" w14:textId="77777777" w:rsidR="00066D52" w:rsidRPr="00C10500" w:rsidRDefault="00066D52" w:rsidP="00066D52">
      <w:pPr>
        <w:spacing w:before="60" w:after="120"/>
        <w:ind w:left="-284"/>
        <w:jc w:val="both"/>
        <w:rPr>
          <w:rFonts w:asciiTheme="minorHAnsi" w:hAnsiTheme="minorHAnsi" w:cstheme="minorHAnsi"/>
          <w:b/>
          <w:sz w:val="22"/>
          <w:szCs w:val="22"/>
        </w:rPr>
      </w:pPr>
      <w:r w:rsidRPr="00C10500">
        <w:rPr>
          <w:rFonts w:asciiTheme="minorHAnsi" w:hAnsiTheme="minorHAnsi" w:cstheme="minorHAnsi"/>
          <w:b/>
          <w:sz w:val="22"/>
          <w:szCs w:val="22"/>
        </w:rPr>
        <w:t>Αγορά Ελαιολάδου στη Γερμανία</w:t>
      </w:r>
    </w:p>
    <w:p w14:paraId="6083213C" w14:textId="77777777" w:rsidR="00066D52" w:rsidRPr="00C10500" w:rsidRDefault="00066D52" w:rsidP="00066D52">
      <w:pPr>
        <w:spacing w:before="60" w:after="120"/>
        <w:ind w:left="-284"/>
        <w:jc w:val="both"/>
        <w:rPr>
          <w:rFonts w:asciiTheme="minorHAnsi" w:hAnsiTheme="minorHAnsi" w:cstheme="minorHAnsi"/>
          <w:bCs/>
          <w:sz w:val="22"/>
          <w:szCs w:val="22"/>
        </w:rPr>
      </w:pPr>
      <w:r w:rsidRPr="00C10500">
        <w:rPr>
          <w:rFonts w:asciiTheme="minorHAnsi" w:hAnsiTheme="minorHAnsi" w:cstheme="minorHAnsi"/>
          <w:bCs/>
          <w:sz w:val="22"/>
          <w:szCs w:val="22"/>
        </w:rPr>
        <w:t>Παρά τη χαμηλή κατά κεφαλή κατανάλωση ελαιολάδου της Γερμανίας σε σχέση με τις χώρες της Μεσογείου, η γερμανική αγορά είναι μια πολύ σημαντική και αναπτυσσόμενη αγορά ελαιολάδου υψηλής π</w:t>
      </w:r>
      <w:r>
        <w:rPr>
          <w:rFonts w:asciiTheme="minorHAnsi" w:hAnsiTheme="minorHAnsi" w:cstheme="minorHAnsi"/>
          <w:bCs/>
          <w:sz w:val="22"/>
          <w:szCs w:val="22"/>
        </w:rPr>
        <w:t xml:space="preserve">οιότητας. Η ετήσια κατά κεφαλήν </w:t>
      </w:r>
      <w:r w:rsidRPr="00C10500">
        <w:rPr>
          <w:rFonts w:asciiTheme="minorHAnsi" w:hAnsiTheme="minorHAnsi" w:cstheme="minorHAnsi"/>
          <w:bCs/>
          <w:sz w:val="22"/>
          <w:szCs w:val="22"/>
        </w:rPr>
        <w:t>κατανάλωση ελαιολάδου ανέρχεται περίπου στο 1 λίτρο, δηλαδή μόλις 4-5% της ετήσιας κατά κεφαλήν κατανάλωσης ελαίων από έναν Γερμανό (βλ. παρακάτω πίνακα). Ωστόσο λόγω της αυξανόμενης ευαισθητοποίησης σχετικά με την υγιεινή διατροφή και τα οφέλη των διαφόρων λιπαρών οξέων σ</w:t>
      </w:r>
      <w:r>
        <w:rPr>
          <w:rFonts w:asciiTheme="minorHAnsi" w:hAnsiTheme="minorHAnsi" w:cstheme="minorHAnsi"/>
          <w:bCs/>
          <w:sz w:val="22"/>
          <w:szCs w:val="22"/>
        </w:rPr>
        <w:t xml:space="preserve">το σώμα, το ενδιαφέρον για ελαιόλαδο </w:t>
      </w:r>
      <w:r w:rsidRPr="00C10500">
        <w:rPr>
          <w:rFonts w:asciiTheme="minorHAnsi" w:hAnsiTheme="minorHAnsi" w:cstheme="minorHAnsi"/>
          <w:bCs/>
          <w:sz w:val="22"/>
          <w:szCs w:val="22"/>
        </w:rPr>
        <w:t>υψηλής ποιότητας αυξάνεται. Την ίδια στιγμή που το ελαιόλαδο ενσωματώνεται όλο και περισσότερο στις συνήθειες μαγειρικής των Γερμανών καταναλωτών, η εστίαση στην ποιότητα και τη δυνατότητα</w:t>
      </w:r>
      <w:r>
        <w:rPr>
          <w:rFonts w:asciiTheme="minorHAnsi" w:hAnsiTheme="minorHAnsi" w:cstheme="minorHAnsi"/>
          <w:bCs/>
          <w:sz w:val="22"/>
          <w:szCs w:val="22"/>
        </w:rPr>
        <w:t xml:space="preserve"> </w:t>
      </w:r>
      <w:r w:rsidRPr="00C10500">
        <w:rPr>
          <w:rFonts w:asciiTheme="minorHAnsi" w:hAnsiTheme="minorHAnsi" w:cstheme="minorHAnsi"/>
          <w:bCs/>
          <w:sz w:val="22"/>
          <w:szCs w:val="22"/>
        </w:rPr>
        <w:t>ιχνηλασιμότητας των προϊόντων παρέχει σημαντικές ευκαιρίες σε επαγγελματίες παραγωγούς και εξαγωγείς. Η επιτυχής πρόσβαση στην αγορά απαιτεί σημαντικές προσπάθειες για τη σωστή τοποθέτηση και εμπορία των προϊόντων.</w:t>
      </w:r>
    </w:p>
    <w:p w14:paraId="219EF41C" w14:textId="77777777" w:rsidR="00066D52" w:rsidRPr="00C10500" w:rsidRDefault="00066D52" w:rsidP="00066D52">
      <w:pPr>
        <w:spacing w:before="60" w:after="120"/>
        <w:ind w:left="-284"/>
        <w:jc w:val="center"/>
        <w:rPr>
          <w:rFonts w:asciiTheme="minorHAnsi" w:hAnsiTheme="minorHAnsi" w:cstheme="minorHAnsi"/>
          <w:b/>
          <w:bCs/>
          <w:i/>
          <w:sz w:val="22"/>
          <w:szCs w:val="22"/>
        </w:rPr>
      </w:pPr>
      <w:r w:rsidRPr="00C10500">
        <w:rPr>
          <w:rFonts w:asciiTheme="minorHAnsi" w:hAnsiTheme="minorHAnsi" w:cstheme="minorHAnsi"/>
          <w:b/>
          <w:bCs/>
          <w:i/>
          <w:sz w:val="22"/>
          <w:szCs w:val="22"/>
        </w:rPr>
        <w:t>Κατά κεφαλή κατανάλωση ελαίων στη Γερμανία (σε κιλά)</w:t>
      </w:r>
    </w:p>
    <w:p w14:paraId="6A078C91" w14:textId="77777777" w:rsidR="00066D52" w:rsidRPr="00C10500" w:rsidRDefault="00066D52" w:rsidP="00066D52">
      <w:pPr>
        <w:spacing w:before="60" w:after="120"/>
        <w:ind w:left="-284"/>
        <w:jc w:val="both"/>
        <w:rPr>
          <w:rFonts w:asciiTheme="minorHAnsi" w:hAnsiTheme="minorHAnsi" w:cstheme="minorHAnsi"/>
          <w:bCs/>
          <w:sz w:val="22"/>
          <w:szCs w:val="22"/>
        </w:rPr>
      </w:pPr>
      <w:r w:rsidRPr="00C10500">
        <w:rPr>
          <w:rFonts w:asciiTheme="minorHAnsi" w:hAnsiTheme="minorHAnsi" w:cstheme="minorHAnsi"/>
          <w:bCs/>
          <w:noProof/>
          <w:sz w:val="22"/>
          <w:szCs w:val="22"/>
        </w:rPr>
        <w:drawing>
          <wp:inline distT="0" distB="0" distL="0" distR="0" wp14:anchorId="77569208" wp14:editId="4F2D28A7">
            <wp:extent cx="575310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400175"/>
                    </a:xfrm>
                    <a:prstGeom prst="rect">
                      <a:avLst/>
                    </a:prstGeom>
                    <a:noFill/>
                    <a:ln>
                      <a:noFill/>
                    </a:ln>
                  </pic:spPr>
                </pic:pic>
              </a:graphicData>
            </a:graphic>
          </wp:inline>
        </w:drawing>
      </w:r>
    </w:p>
    <w:p w14:paraId="3EA891EF" w14:textId="77777777" w:rsidR="00066D52" w:rsidRPr="00C10500" w:rsidRDefault="00066D52" w:rsidP="00066D52">
      <w:pPr>
        <w:spacing w:before="60" w:after="120"/>
        <w:ind w:left="-284"/>
        <w:jc w:val="both"/>
        <w:rPr>
          <w:rFonts w:asciiTheme="minorHAnsi" w:hAnsiTheme="minorHAnsi" w:cstheme="minorHAnsi"/>
          <w:i/>
          <w:sz w:val="18"/>
          <w:szCs w:val="18"/>
        </w:rPr>
      </w:pPr>
      <w:r w:rsidRPr="00C10500">
        <w:rPr>
          <w:rFonts w:asciiTheme="minorHAnsi" w:hAnsiTheme="minorHAnsi" w:cstheme="minorHAnsi"/>
          <w:i/>
          <w:sz w:val="18"/>
          <w:szCs w:val="18"/>
        </w:rPr>
        <w:t xml:space="preserve">Πηγή: </w:t>
      </w:r>
      <w:r w:rsidRPr="00C10500">
        <w:rPr>
          <w:rFonts w:asciiTheme="minorHAnsi" w:hAnsiTheme="minorHAnsi" w:cstheme="minorHAnsi"/>
          <w:i/>
          <w:sz w:val="18"/>
          <w:szCs w:val="18"/>
          <w:lang w:val="en-US"/>
        </w:rPr>
        <w:t>Statista</w:t>
      </w:r>
    </w:p>
    <w:p w14:paraId="63F34FF2" w14:textId="7B07AADB" w:rsidR="00066D52" w:rsidRPr="00C10500" w:rsidRDefault="00066D52" w:rsidP="00066D52">
      <w:pPr>
        <w:spacing w:before="60" w:after="120"/>
        <w:ind w:left="-284"/>
        <w:jc w:val="both"/>
        <w:rPr>
          <w:rFonts w:asciiTheme="minorHAnsi" w:hAnsiTheme="minorHAnsi" w:cstheme="minorHAnsi"/>
          <w:bCs/>
          <w:sz w:val="22"/>
          <w:szCs w:val="22"/>
        </w:rPr>
      </w:pPr>
      <w:r w:rsidRPr="00C10500">
        <w:rPr>
          <w:rFonts w:asciiTheme="minorHAnsi" w:hAnsiTheme="minorHAnsi" w:cstheme="minorHAnsi"/>
          <w:bCs/>
          <w:sz w:val="22"/>
          <w:szCs w:val="22"/>
        </w:rPr>
        <w:t>Το μεγαλύτερο μέρος του ελαιολάδου που πωλείται στη Γερμανία πωλείται με ιδιωτική ετικέτα, όπως η Primadonna (από την αλυσίδα discounter</w:t>
      </w:r>
      <w:r w:rsidR="00414268">
        <w:rPr>
          <w:rFonts w:asciiTheme="minorHAnsi" w:hAnsiTheme="minorHAnsi" w:cstheme="minorHAnsi"/>
          <w:bCs/>
          <w:sz w:val="22"/>
          <w:szCs w:val="22"/>
        </w:rPr>
        <w:t xml:space="preserve"> </w:t>
      </w:r>
      <w:r w:rsidRPr="00C10500">
        <w:rPr>
          <w:rFonts w:asciiTheme="minorHAnsi" w:hAnsiTheme="minorHAnsi" w:cstheme="minorHAnsi"/>
          <w:bCs/>
          <w:sz w:val="22"/>
          <w:szCs w:val="22"/>
        </w:rPr>
        <w:t>Lidl), η El</w:t>
      </w:r>
      <w:r w:rsidR="00414268">
        <w:rPr>
          <w:rFonts w:asciiTheme="minorHAnsi" w:hAnsiTheme="minorHAnsi" w:cstheme="minorHAnsi"/>
          <w:bCs/>
          <w:sz w:val="22"/>
          <w:szCs w:val="22"/>
        </w:rPr>
        <w:t xml:space="preserve"> </w:t>
      </w:r>
      <w:r w:rsidRPr="00C10500">
        <w:rPr>
          <w:rFonts w:asciiTheme="minorHAnsi" w:hAnsiTheme="minorHAnsi" w:cstheme="minorHAnsi"/>
          <w:bCs/>
          <w:sz w:val="22"/>
          <w:szCs w:val="22"/>
        </w:rPr>
        <w:t>Cantinelle και η Cucina (από την Aldi</w:t>
      </w:r>
      <w:r w:rsidR="00414268">
        <w:rPr>
          <w:rFonts w:asciiTheme="minorHAnsi" w:hAnsiTheme="minorHAnsi" w:cstheme="minorHAnsi"/>
          <w:bCs/>
          <w:sz w:val="22"/>
          <w:szCs w:val="22"/>
        </w:rPr>
        <w:t xml:space="preserve"> </w:t>
      </w:r>
      <w:r w:rsidRPr="00C10500">
        <w:rPr>
          <w:rFonts w:asciiTheme="minorHAnsi" w:hAnsiTheme="minorHAnsi" w:cstheme="minorHAnsi"/>
          <w:bCs/>
          <w:sz w:val="22"/>
          <w:szCs w:val="22"/>
        </w:rPr>
        <w:t>Süd), η Casa</w:t>
      </w:r>
      <w:r w:rsidR="00414268">
        <w:rPr>
          <w:rFonts w:asciiTheme="minorHAnsi" w:hAnsiTheme="minorHAnsi" w:cstheme="minorHAnsi"/>
          <w:bCs/>
          <w:sz w:val="22"/>
          <w:szCs w:val="22"/>
        </w:rPr>
        <w:t xml:space="preserve"> </w:t>
      </w:r>
      <w:r w:rsidRPr="00C10500">
        <w:rPr>
          <w:rFonts w:asciiTheme="minorHAnsi" w:hAnsiTheme="minorHAnsi" w:cstheme="minorHAnsi"/>
          <w:bCs/>
          <w:sz w:val="22"/>
          <w:szCs w:val="22"/>
        </w:rPr>
        <w:t>Morando (από την AldiNord), η Aro (από την MetroCash&amp;Carry), η REWE</w:t>
      </w:r>
      <w:r w:rsidR="00414268">
        <w:rPr>
          <w:rFonts w:asciiTheme="minorHAnsi" w:hAnsiTheme="minorHAnsi" w:cstheme="minorHAnsi"/>
          <w:bCs/>
          <w:sz w:val="22"/>
          <w:szCs w:val="22"/>
        </w:rPr>
        <w:t xml:space="preserve"> </w:t>
      </w:r>
      <w:r w:rsidRPr="00C10500">
        <w:rPr>
          <w:rFonts w:asciiTheme="minorHAnsi" w:hAnsiTheme="minorHAnsi" w:cstheme="minorHAnsi"/>
          <w:bCs/>
          <w:sz w:val="22"/>
          <w:szCs w:val="22"/>
        </w:rPr>
        <w:t>Feine</w:t>
      </w:r>
      <w:r w:rsidR="00414268">
        <w:rPr>
          <w:rFonts w:asciiTheme="minorHAnsi" w:hAnsiTheme="minorHAnsi" w:cstheme="minorHAnsi"/>
          <w:bCs/>
          <w:sz w:val="22"/>
          <w:szCs w:val="22"/>
        </w:rPr>
        <w:t xml:space="preserve"> </w:t>
      </w:r>
      <w:r w:rsidRPr="00C10500">
        <w:rPr>
          <w:rFonts w:asciiTheme="minorHAnsi" w:hAnsiTheme="minorHAnsi" w:cstheme="minorHAnsi"/>
          <w:bCs/>
          <w:sz w:val="22"/>
          <w:szCs w:val="22"/>
        </w:rPr>
        <w:t>Welt και ja! (από REWE), και η</w:t>
      </w:r>
      <w:r w:rsidR="00414268">
        <w:rPr>
          <w:rFonts w:asciiTheme="minorHAnsi" w:hAnsiTheme="minorHAnsi" w:cstheme="minorHAnsi"/>
          <w:bCs/>
          <w:sz w:val="22"/>
          <w:szCs w:val="22"/>
        </w:rPr>
        <w:t xml:space="preserve"> </w:t>
      </w:r>
      <w:r w:rsidRPr="00C10500">
        <w:rPr>
          <w:rFonts w:asciiTheme="minorHAnsi" w:hAnsiTheme="minorHAnsi" w:cstheme="minorHAnsi"/>
          <w:bCs/>
          <w:sz w:val="22"/>
          <w:szCs w:val="22"/>
        </w:rPr>
        <w:t xml:space="preserve">Gut&amp;Günstig (από Edeka). </w:t>
      </w:r>
    </w:p>
    <w:p w14:paraId="084ED3C1" w14:textId="77777777" w:rsidR="00066D52" w:rsidRPr="00C10500" w:rsidRDefault="00066D52" w:rsidP="00066D52">
      <w:pPr>
        <w:spacing w:before="60" w:after="120"/>
        <w:ind w:left="-284"/>
        <w:jc w:val="both"/>
        <w:rPr>
          <w:rFonts w:asciiTheme="minorHAnsi" w:hAnsiTheme="minorHAnsi" w:cstheme="minorHAnsi"/>
          <w:bCs/>
          <w:sz w:val="22"/>
          <w:szCs w:val="22"/>
        </w:rPr>
      </w:pPr>
      <w:r w:rsidRPr="00C10500">
        <w:rPr>
          <w:rFonts w:asciiTheme="minorHAnsi" w:hAnsiTheme="minorHAnsi" w:cstheme="minorHAnsi"/>
          <w:bCs/>
          <w:sz w:val="22"/>
          <w:szCs w:val="22"/>
        </w:rPr>
        <w:t xml:space="preserve">Ως η μεγαλύτερη αγορά βιολογικών προϊόντων στην Ευρώπη, η Γερμανία παρέχει σημαντικές ευκαιρίες στους προμηθευτές βιολογικού ελαιολάδου (για περισσότερα στοιχεία </w:t>
      </w:r>
      <w:r w:rsidRPr="00D12AED">
        <w:rPr>
          <w:rFonts w:asciiTheme="minorHAnsi" w:hAnsiTheme="minorHAnsi" w:cstheme="minorHAnsi"/>
          <w:bCs/>
          <w:sz w:val="22"/>
          <w:szCs w:val="22"/>
          <w:u w:val="single"/>
        </w:rPr>
        <w:t xml:space="preserve">παραπέμπουμε σε έρευνα αγοράς για τον κλάδο βιολογικών προϊόντων στην αγορά της Γερμανίας την οποία εκπόνησε το Γραφείο ΟΕΥ Βερολίνου </w:t>
      </w:r>
      <w:hyperlink r:id="rId11" w:history="1">
        <w:r w:rsidRPr="00D12AED">
          <w:rPr>
            <w:rStyle w:val="Hyperlink"/>
            <w:rFonts w:asciiTheme="minorHAnsi" w:hAnsiTheme="minorHAnsi" w:cstheme="minorHAnsi"/>
            <w:bCs/>
            <w:sz w:val="22"/>
            <w:szCs w:val="22"/>
          </w:rPr>
          <w:t>https://agora.mfa.gr/infofiles-menu/infofile/73642</w:t>
        </w:r>
      </w:hyperlink>
      <w:r>
        <w:rPr>
          <w:rFonts w:asciiTheme="minorHAnsi" w:hAnsiTheme="minorHAnsi" w:cstheme="minorHAnsi"/>
          <w:bCs/>
          <w:sz w:val="22"/>
          <w:szCs w:val="22"/>
        </w:rPr>
        <w:t xml:space="preserve">). </w:t>
      </w:r>
      <w:r w:rsidRPr="00C10500">
        <w:rPr>
          <w:rFonts w:asciiTheme="minorHAnsi" w:hAnsiTheme="minorHAnsi" w:cstheme="minorHAnsi"/>
          <w:bCs/>
          <w:sz w:val="22"/>
          <w:szCs w:val="22"/>
        </w:rPr>
        <w:t xml:space="preserve">Μεγάλο μερίδιο των βιολογικών </w:t>
      </w:r>
      <w:r w:rsidRPr="00C10500">
        <w:rPr>
          <w:rFonts w:asciiTheme="minorHAnsi" w:hAnsiTheme="minorHAnsi" w:cstheme="minorHAnsi"/>
          <w:bCs/>
          <w:sz w:val="22"/>
          <w:szCs w:val="22"/>
        </w:rPr>
        <w:lastRenderedPageBreak/>
        <w:t xml:space="preserve">ελαιολάδων στη Γερμανία πωλούνται υπό ιδιωτική ετικέταεξειδικευμένων λιανοπωλητών βιολογικών προϊόντων, όπως οι Denn's, Alnatura, Basic, BioCompany, ebl-Naturkost και SuperBiomarkt. Οι κορυφαίες αλυσίδες λιανικής διαθέτουν επίσης τις δικές τους βιολογικές ιδιωτικές ετικέτες. </w:t>
      </w:r>
    </w:p>
    <w:p w14:paraId="531E489C" w14:textId="77777777" w:rsidR="00066D52" w:rsidRPr="00C10500" w:rsidRDefault="00066D52" w:rsidP="00066D52">
      <w:pPr>
        <w:spacing w:before="60" w:after="120"/>
        <w:ind w:left="-284"/>
        <w:jc w:val="both"/>
        <w:rPr>
          <w:rFonts w:asciiTheme="minorHAnsi" w:hAnsiTheme="minorHAnsi" w:cstheme="minorHAnsi"/>
          <w:sz w:val="22"/>
          <w:szCs w:val="22"/>
        </w:rPr>
      </w:pPr>
      <w:r w:rsidRPr="00C10500">
        <w:rPr>
          <w:rFonts w:asciiTheme="minorHAnsi" w:hAnsiTheme="minorHAnsi" w:cstheme="minorHAnsi"/>
          <w:bCs/>
          <w:sz w:val="22"/>
          <w:szCs w:val="22"/>
        </w:rPr>
        <w:t>Οι νέοι προμηθευτές πρέπει να γνωρίζουν ότι η Γερμανία είναι μια πολύ ανταγωνιστική αγορά τιμών και πολλές βιολογικές μάρκες δεν έχουν σημαντικά υψηλότερες τιμές σε σύγκριση με τις μάρκες συμβατικού ελαιολάδου.</w:t>
      </w:r>
      <w:r>
        <w:rPr>
          <w:rFonts w:asciiTheme="minorHAnsi" w:hAnsiTheme="minorHAnsi" w:cstheme="minorHAnsi"/>
          <w:bCs/>
          <w:sz w:val="22"/>
          <w:szCs w:val="22"/>
        </w:rPr>
        <w:t xml:space="preserve"> </w:t>
      </w:r>
      <w:r>
        <w:rPr>
          <w:rFonts w:asciiTheme="minorHAnsi" w:hAnsiTheme="minorHAnsi" w:cstheme="minorHAnsi"/>
          <w:sz w:val="22"/>
          <w:szCs w:val="22"/>
        </w:rPr>
        <w:t xml:space="preserve">Στη </w:t>
      </w:r>
      <w:r w:rsidRPr="00C10500">
        <w:rPr>
          <w:rFonts w:asciiTheme="minorHAnsi" w:hAnsiTheme="minorHAnsi" w:cstheme="minorHAnsi"/>
          <w:sz w:val="22"/>
          <w:szCs w:val="22"/>
        </w:rPr>
        <w:t>λιανική πώληση ελαιολάδου κυριαρχεί κατά κανόνα η γυάλινη συσκευασία με περιεχόμενο 250</w:t>
      </w:r>
      <w:r w:rsidRPr="00C10500">
        <w:rPr>
          <w:rFonts w:asciiTheme="minorHAnsi" w:hAnsiTheme="minorHAnsi" w:cstheme="minorHAnsi"/>
          <w:sz w:val="22"/>
          <w:szCs w:val="22"/>
          <w:lang w:val="de-DE"/>
        </w:rPr>
        <w:t>ml</w:t>
      </w:r>
      <w:r w:rsidRPr="00C10500">
        <w:rPr>
          <w:rFonts w:asciiTheme="minorHAnsi" w:hAnsiTheme="minorHAnsi" w:cstheme="minorHAnsi"/>
          <w:sz w:val="22"/>
          <w:szCs w:val="22"/>
        </w:rPr>
        <w:t>, 500</w:t>
      </w:r>
      <w:r w:rsidRPr="00C10500">
        <w:rPr>
          <w:rFonts w:asciiTheme="minorHAnsi" w:hAnsiTheme="minorHAnsi" w:cstheme="minorHAnsi"/>
          <w:sz w:val="22"/>
          <w:szCs w:val="22"/>
          <w:lang w:val="en-US"/>
        </w:rPr>
        <w:t>ml</w:t>
      </w:r>
      <w:r w:rsidRPr="00C10500">
        <w:rPr>
          <w:rFonts w:asciiTheme="minorHAnsi" w:hAnsiTheme="minorHAnsi" w:cstheme="minorHAnsi"/>
          <w:sz w:val="22"/>
          <w:szCs w:val="22"/>
        </w:rPr>
        <w:t>, 750</w:t>
      </w:r>
      <w:r w:rsidRPr="00C10500">
        <w:rPr>
          <w:rFonts w:asciiTheme="minorHAnsi" w:hAnsiTheme="minorHAnsi" w:cstheme="minorHAnsi"/>
          <w:sz w:val="22"/>
          <w:szCs w:val="22"/>
          <w:lang w:val="de-DE"/>
        </w:rPr>
        <w:t>ml</w:t>
      </w:r>
      <w:r w:rsidRPr="00C10500">
        <w:rPr>
          <w:rFonts w:asciiTheme="minorHAnsi" w:hAnsiTheme="minorHAnsi" w:cstheme="minorHAnsi"/>
          <w:sz w:val="22"/>
          <w:szCs w:val="22"/>
        </w:rPr>
        <w:t xml:space="preserve"> και 1 λίτρου, ενώ σε μικρότερη κλίμακα (κυρίως σε καταστήματα πώλησης ελληνικών προϊόντων [βλ. συνημμένη λίστα] ή περιοδικά σε εκπτωτικές αλυσίδες σούπερ-μάρκετ) απαντούν και συσκευασίες των 3 και 5 λίτρων, κυρίως σε λευκοσιδηρά δοχεία. Ως προς τις τιμές διάθεσης καταγράφονται μεγάλες διακυμάνσεις: </w:t>
      </w:r>
    </w:p>
    <w:p w14:paraId="4BD47D09" w14:textId="77777777" w:rsidR="00066D52" w:rsidRPr="00C10500" w:rsidRDefault="00066D52" w:rsidP="00066D52">
      <w:pPr>
        <w:spacing w:before="60" w:after="120"/>
        <w:ind w:left="-284"/>
        <w:jc w:val="both"/>
        <w:rPr>
          <w:rFonts w:asciiTheme="minorHAnsi" w:hAnsiTheme="minorHAnsi" w:cstheme="minorHAnsi"/>
          <w:b/>
          <w:sz w:val="22"/>
          <w:szCs w:val="22"/>
        </w:rPr>
      </w:pPr>
      <w:r w:rsidRPr="00C10500">
        <w:rPr>
          <w:rFonts w:asciiTheme="minorHAnsi" w:hAnsiTheme="minorHAnsi" w:cstheme="minorHAnsi"/>
          <w:b/>
          <w:sz w:val="22"/>
          <w:szCs w:val="22"/>
        </w:rPr>
        <w:t>Δείκτης τιμών καταναλωτή ελαιολάδου (ιδιωτική κατανάλωση, 2020=100)</w:t>
      </w:r>
    </w:p>
    <w:p w14:paraId="31CD9F7B" w14:textId="77777777" w:rsidR="00066D52" w:rsidRPr="00C10500" w:rsidRDefault="00066D52" w:rsidP="00066D52">
      <w:pPr>
        <w:spacing w:before="60" w:after="120"/>
        <w:ind w:left="-284"/>
        <w:jc w:val="both"/>
        <w:rPr>
          <w:rFonts w:asciiTheme="minorHAnsi" w:hAnsiTheme="minorHAnsi" w:cstheme="minorHAnsi"/>
          <w:sz w:val="22"/>
          <w:szCs w:val="22"/>
        </w:rPr>
      </w:pPr>
      <w:r w:rsidRPr="00C10500">
        <w:rPr>
          <w:rFonts w:asciiTheme="minorHAnsi" w:hAnsiTheme="minorHAnsi" w:cstheme="minorHAnsi"/>
          <w:noProof/>
          <w:sz w:val="22"/>
          <w:szCs w:val="22"/>
        </w:rPr>
        <w:drawing>
          <wp:inline distT="0" distB="0" distL="0" distR="0" wp14:anchorId="127D704D" wp14:editId="714A0772">
            <wp:extent cx="5486400" cy="1500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1500996"/>
                    </a:xfrm>
                    <a:prstGeom prst="rect">
                      <a:avLst/>
                    </a:prstGeom>
                  </pic:spPr>
                </pic:pic>
              </a:graphicData>
            </a:graphic>
          </wp:inline>
        </w:drawing>
      </w:r>
    </w:p>
    <w:p w14:paraId="386C0A06" w14:textId="77777777" w:rsidR="00066D52" w:rsidRPr="00C10500" w:rsidRDefault="00066D52" w:rsidP="00066D52">
      <w:pPr>
        <w:spacing w:before="60" w:after="120"/>
        <w:ind w:left="-284"/>
        <w:jc w:val="both"/>
        <w:rPr>
          <w:rFonts w:asciiTheme="minorHAnsi" w:hAnsiTheme="minorHAnsi" w:cstheme="minorHAnsi"/>
          <w:i/>
          <w:sz w:val="18"/>
          <w:szCs w:val="18"/>
        </w:rPr>
      </w:pPr>
      <w:r w:rsidRPr="00C10500">
        <w:rPr>
          <w:rFonts w:asciiTheme="minorHAnsi" w:hAnsiTheme="minorHAnsi" w:cstheme="minorHAnsi"/>
          <w:i/>
          <w:sz w:val="18"/>
          <w:szCs w:val="18"/>
        </w:rPr>
        <w:t xml:space="preserve">Πηγή: </w:t>
      </w:r>
      <w:r w:rsidRPr="00C10500">
        <w:rPr>
          <w:rFonts w:asciiTheme="minorHAnsi" w:hAnsiTheme="minorHAnsi" w:cstheme="minorHAnsi"/>
          <w:i/>
          <w:sz w:val="18"/>
          <w:szCs w:val="18"/>
          <w:lang w:val="en-US"/>
        </w:rPr>
        <w:t>Statista</w:t>
      </w:r>
    </w:p>
    <w:p w14:paraId="23C967F1" w14:textId="77777777" w:rsidR="00066D52" w:rsidRPr="00C10500" w:rsidRDefault="00066D52" w:rsidP="00066D52">
      <w:pPr>
        <w:spacing w:before="60" w:after="120"/>
        <w:ind w:left="-284"/>
        <w:jc w:val="both"/>
        <w:rPr>
          <w:rFonts w:asciiTheme="minorHAnsi" w:hAnsiTheme="minorHAnsi" w:cstheme="minorHAnsi"/>
          <w:sz w:val="22"/>
          <w:szCs w:val="22"/>
        </w:rPr>
      </w:pPr>
      <w:r w:rsidRPr="00C10500">
        <w:rPr>
          <w:rFonts w:asciiTheme="minorHAnsi" w:hAnsiTheme="minorHAnsi" w:cstheme="minorHAnsi"/>
          <w:sz w:val="22"/>
          <w:szCs w:val="22"/>
        </w:rPr>
        <w:t xml:space="preserve">Στα πολυκαταστήματα το εύρος τιμών κυμαίνεται ανάλογα με την ποιότητα και τη συσκευασία, με το εξαιρετικά παρθένο να κοστίζει τουλάχιστον 11 Ευρώ το λίτρο [όσο μικρότερη είναι η συσκευασία τόσο αυξάνεται και η λιανική τιμή], με τις πληθωριστικές πιέσεις να αυξάνονται σημαντικά από το 2020 και μετά (βλ. ανωτέρω γράφημα). Στα καταστήματα πώλησης αποκλειστικά βιολογικών προϊόντων οι τιμές κυμαίνονται κατά κύριο λόγο από 15 έως 25 Ευρώ το λίτρο, χωρίς να λείπουν και ελαιόλαδα υψηλής ποιότητας και ακριβής συσκευασίας που υπερβαίνουν τα 30 Ευρώ. Στα καταστήματα </w:t>
      </w:r>
      <w:r w:rsidRPr="00C10500">
        <w:rPr>
          <w:rFonts w:asciiTheme="minorHAnsi" w:hAnsiTheme="minorHAnsi" w:cstheme="minorHAnsi"/>
          <w:sz w:val="22"/>
          <w:szCs w:val="22"/>
          <w:lang w:val="de-DE"/>
        </w:rPr>
        <w:t>Delikatessen</w:t>
      </w:r>
      <w:r w:rsidRPr="00C10500">
        <w:rPr>
          <w:rFonts w:asciiTheme="minorHAnsi" w:hAnsiTheme="minorHAnsi" w:cstheme="minorHAnsi"/>
          <w:sz w:val="22"/>
          <w:szCs w:val="22"/>
        </w:rPr>
        <w:t xml:space="preserve"> οι τιμές ελαιολάδου ανέρχονται σε τουλάχιστον 20 Ευρώ, με ορισμένες ποικιλίες να αγγίζουν και να υπερβαίνουν τα 50 Ευρώ το λίτρο. Όσον αφορά στα ελληνικά ελαιόλαδα, η παρουσία τους στα μεγάλα πολυκαταστήματα εμφανίζεται ανοδική, οι τιμές είναι σε γενικές γραμμές ανάλογες με τις τιμές των λοιπών ελαιολάδων, ενώ οι συχνότερες ποικιλίες ελαιολάδου προέρχονται από Κρήτη και Καλαμάτα.</w:t>
      </w:r>
    </w:p>
    <w:p w14:paraId="00A54147" w14:textId="77777777" w:rsidR="00066D52" w:rsidRPr="00C10500" w:rsidRDefault="00066D52" w:rsidP="00066D52">
      <w:pPr>
        <w:spacing w:before="60" w:after="120"/>
        <w:ind w:left="-284"/>
        <w:jc w:val="both"/>
        <w:rPr>
          <w:rFonts w:asciiTheme="minorHAnsi" w:hAnsiTheme="minorHAnsi" w:cstheme="minorHAnsi"/>
          <w:b/>
          <w:sz w:val="22"/>
          <w:szCs w:val="22"/>
        </w:rPr>
      </w:pPr>
      <w:r w:rsidRPr="00C10500">
        <w:rPr>
          <w:rFonts w:asciiTheme="minorHAnsi" w:hAnsiTheme="minorHAnsi" w:cstheme="minorHAnsi"/>
          <w:b/>
          <w:sz w:val="22"/>
          <w:szCs w:val="22"/>
        </w:rPr>
        <w:t xml:space="preserve">Κύριοι εξαγωγείς ελαιολάδου στη Γερμανία - </w:t>
      </w:r>
      <w:r w:rsidRPr="00C10500">
        <w:rPr>
          <w:rFonts w:asciiTheme="minorHAnsi" w:hAnsiTheme="minorHAnsi" w:cstheme="minorHAnsi"/>
          <w:sz w:val="22"/>
          <w:szCs w:val="22"/>
        </w:rPr>
        <w:t>Σε τόνους, Έτη: 2022 (μπλε) – 2023 (μαύρο)</w:t>
      </w:r>
    </w:p>
    <w:p w14:paraId="5EC5E129" w14:textId="77777777" w:rsidR="00066D52" w:rsidRPr="00C10500" w:rsidRDefault="00066D52" w:rsidP="00066D52">
      <w:pPr>
        <w:spacing w:before="60" w:after="120"/>
        <w:ind w:left="-284"/>
        <w:jc w:val="both"/>
        <w:rPr>
          <w:rFonts w:asciiTheme="minorHAnsi" w:hAnsiTheme="minorHAnsi" w:cstheme="minorHAnsi"/>
          <w:sz w:val="22"/>
          <w:szCs w:val="22"/>
        </w:rPr>
      </w:pPr>
      <w:r w:rsidRPr="00C10500">
        <w:rPr>
          <w:rFonts w:asciiTheme="minorHAnsi" w:hAnsiTheme="minorHAnsi" w:cstheme="minorHAnsi"/>
          <w:noProof/>
          <w:sz w:val="22"/>
          <w:szCs w:val="22"/>
        </w:rPr>
        <w:drawing>
          <wp:inline distT="0" distB="0" distL="0" distR="0" wp14:anchorId="400C9993" wp14:editId="3E6C6B4D">
            <wp:extent cx="5736564" cy="2337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40093" cy="2339196"/>
                    </a:xfrm>
                    <a:prstGeom prst="rect">
                      <a:avLst/>
                    </a:prstGeom>
                  </pic:spPr>
                </pic:pic>
              </a:graphicData>
            </a:graphic>
          </wp:inline>
        </w:drawing>
      </w:r>
    </w:p>
    <w:p w14:paraId="685BCDB7" w14:textId="77777777" w:rsidR="00066D52" w:rsidRPr="00C10500" w:rsidRDefault="00066D52" w:rsidP="00066D52">
      <w:pPr>
        <w:spacing w:before="60" w:after="120"/>
        <w:ind w:left="-284"/>
        <w:jc w:val="both"/>
        <w:rPr>
          <w:rFonts w:asciiTheme="minorHAnsi" w:hAnsiTheme="minorHAnsi" w:cstheme="minorHAnsi"/>
          <w:i/>
          <w:sz w:val="22"/>
          <w:szCs w:val="22"/>
        </w:rPr>
      </w:pPr>
      <w:r w:rsidRPr="00C10500">
        <w:rPr>
          <w:rFonts w:asciiTheme="minorHAnsi" w:hAnsiTheme="minorHAnsi" w:cstheme="minorHAnsi"/>
          <w:i/>
          <w:sz w:val="22"/>
          <w:szCs w:val="22"/>
        </w:rPr>
        <w:t xml:space="preserve">Πηγή: </w:t>
      </w:r>
      <w:r w:rsidRPr="00C10500">
        <w:rPr>
          <w:rFonts w:asciiTheme="minorHAnsi" w:hAnsiTheme="minorHAnsi" w:cstheme="minorHAnsi"/>
          <w:i/>
          <w:sz w:val="22"/>
          <w:szCs w:val="22"/>
          <w:lang w:val="en-US"/>
        </w:rPr>
        <w:t>Statista</w:t>
      </w:r>
    </w:p>
    <w:p w14:paraId="5E221FC2" w14:textId="77777777" w:rsidR="00414268" w:rsidRDefault="00414268">
      <w:pPr>
        <w:rPr>
          <w:rFonts w:asciiTheme="minorHAnsi" w:hAnsiTheme="minorHAnsi" w:cstheme="minorHAnsi"/>
          <w:b/>
          <w:sz w:val="22"/>
          <w:szCs w:val="22"/>
        </w:rPr>
      </w:pPr>
      <w:r>
        <w:rPr>
          <w:rFonts w:asciiTheme="minorHAnsi" w:hAnsiTheme="minorHAnsi" w:cstheme="minorHAnsi"/>
          <w:b/>
          <w:sz w:val="22"/>
          <w:szCs w:val="22"/>
        </w:rPr>
        <w:br w:type="page"/>
      </w:r>
    </w:p>
    <w:p w14:paraId="24EFD966" w14:textId="70328B97" w:rsidR="00066D52" w:rsidRPr="00C10500" w:rsidRDefault="00066D52" w:rsidP="00066D52">
      <w:pPr>
        <w:ind w:right="141"/>
        <w:jc w:val="both"/>
        <w:rPr>
          <w:rFonts w:asciiTheme="minorHAnsi" w:hAnsiTheme="minorHAnsi" w:cstheme="minorHAnsi"/>
          <w:b/>
          <w:sz w:val="22"/>
          <w:szCs w:val="22"/>
        </w:rPr>
      </w:pPr>
      <w:r w:rsidRPr="00C10500">
        <w:rPr>
          <w:rFonts w:asciiTheme="minorHAnsi" w:hAnsiTheme="minorHAnsi" w:cstheme="minorHAnsi"/>
          <w:b/>
          <w:sz w:val="22"/>
          <w:szCs w:val="22"/>
        </w:rPr>
        <w:lastRenderedPageBreak/>
        <w:t>Προφίλ Γερμανού Καταναλωτή</w:t>
      </w:r>
    </w:p>
    <w:p w14:paraId="2073D175" w14:textId="77777777" w:rsidR="00066D52" w:rsidRDefault="00066D52" w:rsidP="00066D52">
      <w:pPr>
        <w:ind w:left="-426" w:right="141"/>
        <w:jc w:val="both"/>
        <w:rPr>
          <w:rFonts w:asciiTheme="minorHAnsi" w:hAnsiTheme="minorHAnsi" w:cstheme="minorHAnsi"/>
          <w:bCs/>
          <w:sz w:val="22"/>
          <w:szCs w:val="22"/>
        </w:rPr>
      </w:pPr>
    </w:p>
    <w:p w14:paraId="16374036" w14:textId="77777777" w:rsidR="00066D52" w:rsidRPr="00D12AED" w:rsidRDefault="00066D52" w:rsidP="00066D52">
      <w:pPr>
        <w:ind w:left="-426" w:right="141"/>
        <w:jc w:val="both"/>
        <w:rPr>
          <w:rFonts w:asciiTheme="minorHAnsi" w:hAnsiTheme="minorHAnsi" w:cstheme="minorHAnsi"/>
          <w:bCs/>
          <w:sz w:val="22"/>
          <w:szCs w:val="22"/>
        </w:rPr>
      </w:pPr>
      <w:r w:rsidRPr="00D12AED">
        <w:rPr>
          <w:rFonts w:asciiTheme="minorHAnsi" w:hAnsiTheme="minorHAnsi" w:cstheme="minorHAnsi"/>
          <w:bCs/>
          <w:sz w:val="22"/>
          <w:szCs w:val="22"/>
        </w:rPr>
        <w:t>Οι Γερμανοί εκτιμούν ιδιαίτερα την υγιεινή διατροφή, χωρίς όμως να παραμελούν την απόλαυση. Τα φρέσκα και τοπικά τρόφιμα είναι ιδιαίτερα σημαντικά για τους Γερμανούς. Δίνουν μεγάλη βάση στη δήλωση προέλευσης των προϊόντων αλλά και στην περιεκτικότητα ενός προϊόντος σε ζάχαρη. Αυτό μάλιστα φαίνεται να είναι ένα από τα σημαντικότερα κριτήρια για την επιλογή ενός προϊόντος.</w:t>
      </w:r>
    </w:p>
    <w:p w14:paraId="60A70EC3" w14:textId="77777777" w:rsidR="00066D52" w:rsidRPr="00D12AED" w:rsidRDefault="00066D52" w:rsidP="00066D52">
      <w:pPr>
        <w:ind w:left="-426" w:right="141"/>
        <w:jc w:val="both"/>
        <w:rPr>
          <w:rFonts w:asciiTheme="minorHAnsi" w:hAnsiTheme="minorHAnsi" w:cstheme="minorHAnsi"/>
          <w:bCs/>
          <w:sz w:val="22"/>
          <w:szCs w:val="22"/>
        </w:rPr>
      </w:pPr>
      <w:r w:rsidRPr="00D12AED">
        <w:rPr>
          <w:rFonts w:asciiTheme="minorHAnsi" w:hAnsiTheme="minorHAnsi" w:cstheme="minorHAnsi"/>
          <w:bCs/>
          <w:sz w:val="22"/>
          <w:szCs w:val="22"/>
        </w:rPr>
        <w:t xml:space="preserve">Σύμφωνα με την «Έκθεση Διατροφής 2024» του γερμανικού Υπουργείου Τροφίμων και Γεωργίας όλο και περισσότεροι Γερμανοί ενδιαφέρονται για έναν υγιεινό τρόπο διατροφής (91%), που πλέον δεν περιλαμβάνει το κρέας: μόλις το 23% καταναλώνουν κρέας σε καθημερινή βάση, αν και καταγράφεται αύξηση της κατανάλωσης κατά 3% συγκριτικά με πέρυσι. Στην κορυφή της λίστας των τροφίμων που καταναλώνονται καθημερινά βρίσκονται τα φρούτα και τα λαχανικά, αν και σημείωσαν μικρή πτώση την τελευταία τριετία (71% έναντι 76% τρία χρόνια πριν), και ακολουθούν τα γαλακτοκομικά προϊόντα (62%, +4% συγκριτικά με πέρυσι). </w:t>
      </w:r>
      <w:r w:rsidRPr="00D12AED">
        <w:rPr>
          <w:rFonts w:asciiTheme="minorHAnsi" w:hAnsiTheme="minorHAnsi" w:cstheme="minorHAnsi"/>
          <w:sz w:val="22"/>
          <w:szCs w:val="22"/>
        </w:rPr>
        <w:t>Μόλις το 1% τρώει σε καθημερινή βάση ψάρι.</w:t>
      </w:r>
    </w:p>
    <w:p w14:paraId="03EE430F" w14:textId="77777777" w:rsidR="00066D52" w:rsidRDefault="00066D52" w:rsidP="00066D52">
      <w:pPr>
        <w:ind w:left="-426" w:right="141"/>
        <w:jc w:val="both"/>
        <w:rPr>
          <w:sz w:val="22"/>
          <w:szCs w:val="22"/>
        </w:rPr>
      </w:pPr>
      <w:r>
        <w:rPr>
          <w:noProof/>
        </w:rPr>
        <w:drawing>
          <wp:inline distT="0" distB="0" distL="0" distR="0" wp14:anchorId="605D4D13" wp14:editId="7662C584">
            <wp:extent cx="5724605" cy="3373291"/>
            <wp:effectExtent l="0" t="0" r="0" b="0"/>
            <wp:docPr id="10" name="Picture 10" descr="C:\Users\OEY_Arxeio\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EY_Arxeio\Desktop\Cap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3377734"/>
                    </a:xfrm>
                    <a:prstGeom prst="rect">
                      <a:avLst/>
                    </a:prstGeom>
                    <a:noFill/>
                    <a:ln>
                      <a:noFill/>
                    </a:ln>
                  </pic:spPr>
                </pic:pic>
              </a:graphicData>
            </a:graphic>
          </wp:inline>
        </w:drawing>
      </w:r>
    </w:p>
    <w:p w14:paraId="668F3F5C" w14:textId="77777777" w:rsidR="00066D52" w:rsidRPr="00651620" w:rsidRDefault="00066D52" w:rsidP="00066D52">
      <w:pPr>
        <w:pStyle w:val="ListParagraph"/>
        <w:spacing w:line="276" w:lineRule="auto"/>
        <w:ind w:left="-66"/>
        <w:rPr>
          <w:rFonts w:ascii="Arial Narrow" w:hAnsi="Arial Narrow"/>
          <w:i/>
          <w:sz w:val="16"/>
          <w:szCs w:val="16"/>
          <w:lang w:val="el-GR"/>
        </w:rPr>
      </w:pPr>
      <w:r w:rsidRPr="00651620">
        <w:rPr>
          <w:rFonts w:ascii="Arial Narrow" w:hAnsi="Arial Narrow"/>
          <w:i/>
          <w:sz w:val="16"/>
          <w:szCs w:val="16"/>
          <w:lang w:val="el-GR"/>
        </w:rPr>
        <w:t xml:space="preserve">Πηγή: </w:t>
      </w:r>
      <w:hyperlink r:id="rId15" w:history="1">
        <w:r w:rsidRPr="00651620">
          <w:rPr>
            <w:rStyle w:val="Hyperlink"/>
            <w:rFonts w:ascii="Arial Narrow" w:hAnsi="Arial Narrow"/>
            <w:i/>
            <w:sz w:val="16"/>
            <w:szCs w:val="16"/>
            <w:lang w:val="el-GR"/>
          </w:rPr>
          <w:t>Διατροφική Έκθεση 2024  του Γ/ Υπουργείου Τροφίμων και Γεωργίας</w:t>
        </w:r>
      </w:hyperlink>
    </w:p>
    <w:p w14:paraId="207E8D02" w14:textId="77777777" w:rsidR="00066D52" w:rsidRDefault="00066D52" w:rsidP="00066D52">
      <w:pPr>
        <w:ind w:left="-426" w:right="141"/>
        <w:jc w:val="both"/>
        <w:rPr>
          <w:sz w:val="22"/>
          <w:szCs w:val="22"/>
        </w:rPr>
      </w:pPr>
    </w:p>
    <w:p w14:paraId="31F43E60" w14:textId="77777777" w:rsidR="00066D52" w:rsidRPr="00D12AED" w:rsidRDefault="00066D52" w:rsidP="00066D52">
      <w:pPr>
        <w:ind w:left="-426" w:right="141"/>
        <w:jc w:val="both"/>
        <w:rPr>
          <w:rFonts w:asciiTheme="minorHAnsi" w:hAnsiTheme="minorHAnsi" w:cstheme="minorHAnsi"/>
          <w:bCs/>
          <w:sz w:val="22"/>
          <w:szCs w:val="22"/>
        </w:rPr>
      </w:pPr>
      <w:r w:rsidRPr="00D12AED">
        <w:rPr>
          <w:rFonts w:asciiTheme="minorHAnsi" w:hAnsiTheme="minorHAnsi" w:cstheme="minorHAnsi"/>
          <w:bCs/>
          <w:sz w:val="22"/>
          <w:szCs w:val="22"/>
        </w:rPr>
        <w:t xml:space="preserve">Ο αριθμός των χορτοφάγων / vegan διπλασιάστηκε συγκριτικά με το 2020 (10% το 2024 έναντι 5% το 2020). </w:t>
      </w:r>
      <w:r w:rsidRPr="00D12AED">
        <w:rPr>
          <w:rFonts w:asciiTheme="minorHAnsi" w:hAnsiTheme="minorHAnsi" w:cstheme="minorHAnsi"/>
          <w:sz w:val="22"/>
          <w:szCs w:val="22"/>
        </w:rPr>
        <w:t>Το 41% ακολουθεί ευέλικτη δίαιτα, τρώγοντας κρέας σε περιστασιακή βάση από συνειδητή επιλογή (flexitarians ή semi-vegeterians).</w:t>
      </w:r>
    </w:p>
    <w:p w14:paraId="0209A8A5" w14:textId="77777777" w:rsidR="00066D52" w:rsidRDefault="00066D52" w:rsidP="00066D52">
      <w:pPr>
        <w:ind w:left="-426" w:right="141"/>
        <w:jc w:val="both"/>
        <w:rPr>
          <w:rFonts w:asciiTheme="minorHAnsi" w:hAnsiTheme="minorHAnsi" w:cstheme="minorHAnsi"/>
          <w:sz w:val="22"/>
          <w:szCs w:val="22"/>
        </w:rPr>
      </w:pPr>
    </w:p>
    <w:p w14:paraId="47976528" w14:textId="77777777" w:rsidR="00066D52" w:rsidRPr="00D12AED" w:rsidRDefault="00066D52" w:rsidP="00066D52">
      <w:pPr>
        <w:ind w:left="-426" w:right="141"/>
        <w:jc w:val="both"/>
        <w:rPr>
          <w:rFonts w:asciiTheme="minorHAnsi" w:hAnsiTheme="minorHAnsi" w:cstheme="minorHAnsi"/>
          <w:sz w:val="22"/>
          <w:szCs w:val="22"/>
        </w:rPr>
      </w:pPr>
      <w:r w:rsidRPr="00D12AED">
        <w:rPr>
          <w:rFonts w:asciiTheme="minorHAnsi" w:hAnsiTheme="minorHAnsi" w:cstheme="minorHAnsi"/>
          <w:sz w:val="22"/>
          <w:szCs w:val="22"/>
        </w:rPr>
        <w:t xml:space="preserve">Όπως προκύπτει από τον παρακάτω πίνακα και γραφήματα, είναι πολύ σημαντικό για την επιτυχία της προσπάθειας προώθησης ενός διατροφικού προϊόντος στη Γερμανία να αναφέρονται στη συσκευασία οι πληροφορίες αυτές, που αναδεικνύουν τα ιδιαίτερα ποιοτικά χαρακτηριστικά – διατροφική αξία αυτού, η προέλευσή του, πιστοποιήσεις που βεβαιώνουν την ποιότητα ή / και τη βιολογική παραγωγή του, καθώς και ειδικότερες πληροφορίες, όπως, επί παραδείγματι, αν πληροί τις απαιτούμενες προϋποθέσεις παραγωγής, ώστε να χαρακτηριστεί vegan. Οι Γερμανοί καταναλωτές, κατά τις αγορές αγροδιατροφικών προϊόντων αποδίδουν ιδιαίτερη σημασία και στις αναγραφόμενες πληροφορίες στη συσκευασία τους: </w:t>
      </w:r>
    </w:p>
    <w:p w14:paraId="1610979D" w14:textId="77777777" w:rsidR="00066D52" w:rsidRDefault="00066D52" w:rsidP="00066D52">
      <w:pPr>
        <w:ind w:right="-154"/>
      </w:pPr>
      <w:r>
        <w:rPr>
          <w:noProof/>
        </w:rPr>
        <w:lastRenderedPageBreak/>
        <w:drawing>
          <wp:inline distT="0" distB="0" distL="0" distR="0" wp14:anchorId="46403D35" wp14:editId="2978F598">
            <wp:extent cx="5254709" cy="2242868"/>
            <wp:effectExtent l="19050" t="0" r="22141" b="5032"/>
            <wp:docPr id="6"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95119E" w14:textId="77777777" w:rsidR="00066D52" w:rsidRPr="00795E84" w:rsidRDefault="00066D52" w:rsidP="00066D52">
      <w:pPr>
        <w:spacing w:line="276" w:lineRule="auto"/>
        <w:ind w:left="-426"/>
        <w:rPr>
          <w:rFonts w:ascii="Arial Narrow" w:hAnsi="Arial Narrow"/>
          <w:i/>
          <w:sz w:val="16"/>
          <w:szCs w:val="16"/>
        </w:rPr>
      </w:pPr>
      <w:r>
        <w:rPr>
          <w:rFonts w:ascii="Arial Narrow" w:hAnsi="Arial Narrow"/>
          <w:i/>
          <w:sz w:val="16"/>
          <w:szCs w:val="16"/>
        </w:rPr>
        <w:t xml:space="preserve">          </w:t>
      </w:r>
      <w:r w:rsidRPr="00CA5437">
        <w:rPr>
          <w:rFonts w:ascii="Arial Narrow" w:hAnsi="Arial Narrow"/>
          <w:i/>
          <w:sz w:val="16"/>
          <w:szCs w:val="16"/>
        </w:rPr>
        <w:t xml:space="preserve">        </w:t>
      </w:r>
      <w:r w:rsidRPr="004B5A85">
        <w:rPr>
          <w:rFonts w:ascii="Arial Narrow" w:hAnsi="Arial Narrow"/>
          <w:i/>
          <w:sz w:val="16"/>
          <w:szCs w:val="16"/>
        </w:rPr>
        <w:t xml:space="preserve">Πηγή: </w:t>
      </w:r>
      <w:hyperlink r:id="rId17" w:history="1">
        <w:r w:rsidRPr="004B5A85">
          <w:rPr>
            <w:rStyle w:val="Hyperlink"/>
            <w:rFonts w:ascii="Arial Narrow" w:hAnsi="Arial Narrow"/>
            <w:i/>
            <w:sz w:val="16"/>
            <w:szCs w:val="16"/>
          </w:rPr>
          <w:t>Διατροφική Έκθεση 2024 του Γ/ Υπουργείου Τροφίμων και Γεωργίας</w:t>
        </w:r>
      </w:hyperlink>
    </w:p>
    <w:p w14:paraId="12D19AFD" w14:textId="77777777" w:rsidR="00066D52" w:rsidRPr="004C1C69" w:rsidRDefault="00066D52" w:rsidP="00066D52">
      <w:pPr>
        <w:pStyle w:val="ListParagraph"/>
        <w:ind w:left="-66"/>
      </w:pPr>
      <w:r>
        <w:rPr>
          <w:noProof/>
          <w:lang w:val="el-GR" w:eastAsia="el-GR"/>
        </w:rPr>
        <w:drawing>
          <wp:inline distT="0" distB="0" distL="0" distR="0" wp14:anchorId="20728BCE" wp14:editId="656A3187">
            <wp:extent cx="5732145" cy="4383405"/>
            <wp:effectExtent l="0" t="0" r="0" b="0"/>
            <wp:docPr id="7" name="Picture 7" descr="C:\Users\OEY_Arxeio\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EY_Arxeio\Desktop\Captu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145" cy="4383405"/>
                    </a:xfrm>
                    <a:prstGeom prst="rect">
                      <a:avLst/>
                    </a:prstGeom>
                    <a:noFill/>
                    <a:ln>
                      <a:noFill/>
                    </a:ln>
                  </pic:spPr>
                </pic:pic>
              </a:graphicData>
            </a:graphic>
          </wp:inline>
        </w:drawing>
      </w:r>
    </w:p>
    <w:p w14:paraId="0E33A56B" w14:textId="77777777" w:rsidR="00066D52" w:rsidRPr="004B5A85" w:rsidRDefault="00066D52" w:rsidP="00066D52">
      <w:pPr>
        <w:pStyle w:val="ListParagraph"/>
        <w:spacing w:line="276" w:lineRule="auto"/>
        <w:ind w:left="-66"/>
        <w:rPr>
          <w:rFonts w:ascii="Arial Narrow" w:hAnsi="Arial Narrow"/>
          <w:i/>
          <w:sz w:val="16"/>
          <w:szCs w:val="16"/>
          <w:lang w:val="el-GR"/>
        </w:rPr>
      </w:pPr>
      <w:r w:rsidRPr="004B5A85">
        <w:rPr>
          <w:rFonts w:ascii="Arial Narrow" w:hAnsi="Arial Narrow"/>
          <w:i/>
          <w:sz w:val="16"/>
          <w:szCs w:val="16"/>
          <w:lang w:val="el-GR"/>
        </w:rPr>
        <w:t xml:space="preserve">Πηγή: </w:t>
      </w:r>
      <w:hyperlink r:id="rId19" w:history="1">
        <w:r w:rsidRPr="004B5A85">
          <w:rPr>
            <w:rStyle w:val="Hyperlink"/>
            <w:rFonts w:ascii="Arial Narrow" w:hAnsi="Arial Narrow"/>
            <w:i/>
            <w:sz w:val="16"/>
            <w:szCs w:val="16"/>
            <w:lang w:val="el-GR"/>
          </w:rPr>
          <w:t>Διατροφική Έκθεση 2024 του Γ/Ομοσπονδιακού Υπουργείου Τροφίμων και Γεωργίας</w:t>
        </w:r>
      </w:hyperlink>
    </w:p>
    <w:p w14:paraId="6E5DB49D" w14:textId="77777777" w:rsidR="00066D52" w:rsidRPr="00C10500" w:rsidRDefault="00066D52" w:rsidP="00066D52">
      <w:pPr>
        <w:ind w:left="-426" w:right="141"/>
        <w:jc w:val="both"/>
        <w:rPr>
          <w:rFonts w:asciiTheme="minorHAnsi" w:hAnsiTheme="minorHAnsi" w:cstheme="minorHAnsi"/>
          <w:sz w:val="22"/>
          <w:szCs w:val="22"/>
        </w:rPr>
      </w:pPr>
    </w:p>
    <w:p w14:paraId="1BE6D476" w14:textId="77777777" w:rsidR="00066D52" w:rsidRPr="00C10500" w:rsidRDefault="00066D52" w:rsidP="00066D52">
      <w:pPr>
        <w:ind w:right="141"/>
        <w:jc w:val="both"/>
        <w:rPr>
          <w:rFonts w:asciiTheme="minorHAnsi" w:hAnsiTheme="minorHAnsi" w:cstheme="minorHAnsi"/>
          <w:sz w:val="22"/>
          <w:szCs w:val="22"/>
        </w:rPr>
      </w:pPr>
      <w:r w:rsidRPr="00C10500">
        <w:rPr>
          <w:rFonts w:asciiTheme="minorHAnsi" w:hAnsiTheme="minorHAnsi" w:cstheme="minorHAnsi"/>
          <w:b/>
          <w:sz w:val="22"/>
          <w:szCs w:val="22"/>
        </w:rPr>
        <w:t>Κανάλια διανομής – μερίδια αγοράς</w:t>
      </w:r>
    </w:p>
    <w:p w14:paraId="01717C3A" w14:textId="77777777" w:rsidR="00066D52" w:rsidRPr="00C10500" w:rsidRDefault="00066D52" w:rsidP="00066D52">
      <w:pPr>
        <w:ind w:left="-426" w:right="141"/>
        <w:jc w:val="both"/>
        <w:rPr>
          <w:rFonts w:asciiTheme="minorHAnsi" w:hAnsiTheme="minorHAnsi" w:cstheme="minorHAnsi"/>
          <w:sz w:val="22"/>
          <w:szCs w:val="22"/>
        </w:rPr>
      </w:pPr>
    </w:p>
    <w:p w14:paraId="79B769E0" w14:textId="77777777" w:rsidR="00066D52" w:rsidRPr="00C10500" w:rsidRDefault="00066D52" w:rsidP="00066D52">
      <w:pPr>
        <w:ind w:left="-426" w:right="141"/>
        <w:jc w:val="both"/>
        <w:rPr>
          <w:rFonts w:asciiTheme="minorHAnsi" w:hAnsiTheme="minorHAnsi" w:cstheme="minorHAnsi"/>
          <w:sz w:val="22"/>
          <w:szCs w:val="22"/>
        </w:rPr>
      </w:pPr>
      <w:r w:rsidRPr="00C10500">
        <w:rPr>
          <w:rFonts w:asciiTheme="minorHAnsi" w:hAnsiTheme="minorHAnsi" w:cstheme="minorHAnsi"/>
          <w:sz w:val="22"/>
          <w:szCs w:val="22"/>
          <w:lang w:val="en-US"/>
        </w:rPr>
        <w:t>To</w:t>
      </w:r>
      <w:r w:rsidRPr="00C10500">
        <w:rPr>
          <w:rFonts w:asciiTheme="minorHAnsi" w:hAnsiTheme="minorHAnsi" w:cstheme="minorHAnsi"/>
          <w:sz w:val="22"/>
          <w:szCs w:val="22"/>
        </w:rPr>
        <w:t xml:space="preserve"> 80% του τζίρου στον κλάδο του λιανεμπορίου τροφίμων στη Γερμανία πραγματοποιήθηκε το 2023 από τις 4 μεγαλύτερες επιχειρήσεις του κλάδου: Edeka, Rewe, SchwarzGroup και Aldi.Ακολουθούν οι αλυσίδες </w:t>
      </w:r>
      <w:r w:rsidRPr="00C10500">
        <w:rPr>
          <w:rFonts w:asciiTheme="minorHAnsi" w:hAnsiTheme="minorHAnsi" w:cstheme="minorHAnsi"/>
          <w:sz w:val="22"/>
          <w:szCs w:val="22"/>
          <w:lang w:val="en-US"/>
        </w:rPr>
        <w:t>dm</w:t>
      </w:r>
      <w:r w:rsidRPr="00C10500">
        <w:rPr>
          <w:rFonts w:asciiTheme="minorHAnsi" w:hAnsiTheme="minorHAnsi" w:cstheme="minorHAnsi"/>
          <w:sz w:val="22"/>
          <w:szCs w:val="22"/>
        </w:rPr>
        <w:t xml:space="preserve">και </w:t>
      </w:r>
      <w:r w:rsidRPr="00C10500">
        <w:rPr>
          <w:rFonts w:asciiTheme="minorHAnsi" w:hAnsiTheme="minorHAnsi" w:cstheme="minorHAnsi"/>
          <w:sz w:val="22"/>
          <w:szCs w:val="22"/>
          <w:lang w:val="en-US"/>
        </w:rPr>
        <w:t>Rossman</w:t>
      </w:r>
      <w:r w:rsidRPr="00C10500">
        <w:rPr>
          <w:rFonts w:asciiTheme="minorHAnsi" w:hAnsiTheme="minorHAnsi" w:cstheme="minorHAnsi"/>
          <w:sz w:val="22"/>
          <w:szCs w:val="22"/>
        </w:rPr>
        <w:t>, που, όμως,εστιάζουν, κυρίως, σε  προϊόντα προσωπικής υγιεινής, αν και πωλούν, επίσης, βρεφικές τροφές και ορισμένα συσκευασμένα τρόφιμα. Πλέον πρόσφατα στοιχεία για το 2023 παρατίθενται στον παρακάτω πίνακα:</w:t>
      </w:r>
    </w:p>
    <w:p w14:paraId="0C65A80C" w14:textId="5E2931B6" w:rsidR="00414268" w:rsidRDefault="00414268">
      <w:pPr>
        <w:rPr>
          <w:rFonts w:asciiTheme="minorHAnsi" w:hAnsiTheme="minorHAnsi" w:cstheme="minorHAnsi"/>
          <w:sz w:val="22"/>
          <w:szCs w:val="22"/>
        </w:rPr>
      </w:pPr>
      <w:r>
        <w:rPr>
          <w:rFonts w:asciiTheme="minorHAnsi" w:hAnsiTheme="minorHAnsi" w:cstheme="minorHAnsi"/>
          <w:sz w:val="22"/>
          <w:szCs w:val="22"/>
        </w:rPr>
        <w:br w:type="page"/>
      </w:r>
    </w:p>
    <w:p w14:paraId="6D6503F5" w14:textId="77777777" w:rsidR="00066D52" w:rsidRPr="00C10500" w:rsidRDefault="00066D52" w:rsidP="00066D52">
      <w:pPr>
        <w:ind w:left="-426" w:right="141"/>
        <w:jc w:val="both"/>
        <w:rPr>
          <w:rFonts w:asciiTheme="minorHAnsi" w:hAnsiTheme="minorHAnsi" w:cstheme="minorHAnsi"/>
          <w:sz w:val="22"/>
          <w:szCs w:val="22"/>
        </w:rPr>
      </w:pPr>
    </w:p>
    <w:p w14:paraId="32EC8224" w14:textId="77777777" w:rsidR="00066D52" w:rsidRPr="00C10500" w:rsidRDefault="00066D52" w:rsidP="00066D52">
      <w:pPr>
        <w:jc w:val="center"/>
        <w:rPr>
          <w:rFonts w:asciiTheme="minorHAnsi" w:hAnsiTheme="minorHAnsi" w:cstheme="minorHAnsi"/>
          <w:b/>
          <w:sz w:val="22"/>
          <w:szCs w:val="22"/>
        </w:rPr>
      </w:pPr>
      <w:r w:rsidRPr="00C10500">
        <w:rPr>
          <w:rFonts w:asciiTheme="minorHAnsi" w:hAnsiTheme="minorHAnsi" w:cstheme="minorHAnsi"/>
          <w:b/>
          <w:sz w:val="22"/>
          <w:szCs w:val="22"/>
        </w:rPr>
        <w:t>Κορυφαίες λιανεμπορικές αλυσίδες τροφίμων στη Γερμανία το 2023</w:t>
      </w:r>
    </w:p>
    <w:p w14:paraId="3649783E" w14:textId="77777777" w:rsidR="00066D52" w:rsidRPr="00C10500" w:rsidRDefault="00066D52" w:rsidP="00066D52">
      <w:pPr>
        <w:jc w:val="center"/>
        <w:rPr>
          <w:rFonts w:asciiTheme="minorHAnsi" w:hAnsiTheme="minorHAnsi" w:cstheme="minorHAnsi"/>
          <w:i/>
          <w:sz w:val="22"/>
          <w:szCs w:val="22"/>
        </w:rPr>
      </w:pPr>
      <w:r w:rsidRPr="00C10500">
        <w:rPr>
          <w:rFonts w:asciiTheme="minorHAnsi" w:hAnsiTheme="minorHAnsi" w:cstheme="minorHAnsi"/>
          <w:i/>
          <w:noProof/>
          <w:sz w:val="22"/>
          <w:szCs w:val="22"/>
        </w:rPr>
        <w:drawing>
          <wp:inline distT="0" distB="0" distL="0" distR="0" wp14:anchorId="35FB0420" wp14:editId="79DA11AB">
            <wp:extent cx="5486400" cy="3036498"/>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96C235" w14:textId="77777777" w:rsidR="00066D52" w:rsidRPr="00C10500" w:rsidRDefault="00066D52" w:rsidP="00066D52">
      <w:pPr>
        <w:rPr>
          <w:rFonts w:asciiTheme="minorHAnsi" w:hAnsiTheme="minorHAnsi" w:cstheme="minorHAnsi"/>
          <w:i/>
          <w:sz w:val="22"/>
          <w:szCs w:val="22"/>
        </w:rPr>
      </w:pPr>
      <w:r w:rsidRPr="00C10500">
        <w:rPr>
          <w:rFonts w:asciiTheme="minorHAnsi" w:hAnsiTheme="minorHAnsi" w:cstheme="minorHAnsi"/>
          <w:i/>
          <w:sz w:val="22"/>
          <w:szCs w:val="22"/>
        </w:rPr>
        <w:t xml:space="preserve">Πηγή: </w:t>
      </w:r>
      <w:r w:rsidRPr="00C10500">
        <w:rPr>
          <w:rFonts w:asciiTheme="minorHAnsi" w:hAnsiTheme="minorHAnsi" w:cstheme="minorHAnsi"/>
          <w:bCs/>
          <w:i/>
          <w:sz w:val="22"/>
          <w:szCs w:val="22"/>
          <w:lang w:val="de-DE"/>
        </w:rPr>
        <w:t>EHIRetailInstitute</w:t>
      </w:r>
      <w:r w:rsidRPr="00C10500">
        <w:rPr>
          <w:rFonts w:asciiTheme="minorHAnsi" w:hAnsiTheme="minorHAnsi" w:cstheme="minorHAnsi"/>
          <w:i/>
          <w:sz w:val="22"/>
          <w:szCs w:val="22"/>
        </w:rPr>
        <w:t xml:space="preserve"> – Επεξεργασία</w:t>
      </w:r>
      <w:r w:rsidRPr="00C10500">
        <w:rPr>
          <w:rFonts w:asciiTheme="minorHAnsi" w:hAnsiTheme="minorHAnsi" w:cstheme="minorHAnsi"/>
          <w:i/>
          <w:sz w:val="22"/>
          <w:szCs w:val="22"/>
          <w:lang w:val="de-DE"/>
        </w:rPr>
        <w:t>LebensmittelZeitung</w:t>
      </w:r>
      <w:r w:rsidRPr="00C10500">
        <w:rPr>
          <w:rFonts w:asciiTheme="minorHAnsi" w:hAnsiTheme="minorHAnsi" w:cstheme="minorHAnsi"/>
          <w:i/>
          <w:sz w:val="22"/>
          <w:szCs w:val="22"/>
        </w:rPr>
        <w:t>Σεπτέμβριος 2023</w:t>
      </w:r>
    </w:p>
    <w:p w14:paraId="21A5435F" w14:textId="77777777" w:rsidR="00066D52" w:rsidRPr="00C10500" w:rsidRDefault="00066D52" w:rsidP="00066D52">
      <w:pPr>
        <w:ind w:left="-426" w:right="141"/>
        <w:jc w:val="both"/>
        <w:rPr>
          <w:rFonts w:asciiTheme="minorHAnsi" w:hAnsiTheme="minorHAnsi" w:cstheme="minorHAnsi"/>
          <w:sz w:val="22"/>
          <w:szCs w:val="22"/>
        </w:rPr>
      </w:pPr>
    </w:p>
    <w:p w14:paraId="5C165E5D" w14:textId="77777777" w:rsidR="00066D52" w:rsidRPr="00C10500" w:rsidRDefault="00066D52" w:rsidP="00066D52">
      <w:pPr>
        <w:ind w:left="-426" w:right="141"/>
        <w:jc w:val="both"/>
        <w:rPr>
          <w:rFonts w:asciiTheme="minorHAnsi" w:hAnsiTheme="minorHAnsi" w:cstheme="minorHAnsi"/>
          <w:sz w:val="22"/>
          <w:szCs w:val="22"/>
        </w:rPr>
      </w:pPr>
      <w:r w:rsidRPr="00C10500">
        <w:rPr>
          <w:rFonts w:asciiTheme="minorHAnsi" w:hAnsiTheme="minorHAnsi" w:cstheme="minorHAnsi"/>
          <w:sz w:val="22"/>
          <w:szCs w:val="22"/>
        </w:rPr>
        <w:t>Τα τελευταία χρόνια οι διαδικτυακές λιανικές πωλήσεις (</w:t>
      </w:r>
      <w:r w:rsidRPr="00C10500">
        <w:rPr>
          <w:rFonts w:asciiTheme="minorHAnsi" w:hAnsiTheme="minorHAnsi" w:cstheme="minorHAnsi"/>
          <w:sz w:val="22"/>
          <w:szCs w:val="22"/>
          <w:lang w:val="en-US"/>
        </w:rPr>
        <w:t>e</w:t>
      </w:r>
      <w:r w:rsidRPr="00C10500">
        <w:rPr>
          <w:rFonts w:asciiTheme="minorHAnsi" w:hAnsiTheme="minorHAnsi" w:cstheme="minorHAnsi"/>
          <w:sz w:val="22"/>
          <w:szCs w:val="22"/>
        </w:rPr>
        <w:t>-</w:t>
      </w:r>
      <w:r w:rsidRPr="00C10500">
        <w:rPr>
          <w:rFonts w:asciiTheme="minorHAnsi" w:hAnsiTheme="minorHAnsi" w:cstheme="minorHAnsi"/>
          <w:sz w:val="22"/>
          <w:szCs w:val="22"/>
          <w:lang w:val="en-US"/>
        </w:rPr>
        <w:t>commerce</w:t>
      </w:r>
      <w:r w:rsidRPr="00C10500">
        <w:rPr>
          <w:rFonts w:asciiTheme="minorHAnsi" w:hAnsiTheme="minorHAnsi" w:cstheme="minorHAnsi"/>
          <w:sz w:val="22"/>
          <w:szCs w:val="22"/>
        </w:rPr>
        <w:t xml:space="preserve">) καταγράφουν ανοδικές τάσεις. Σύμφωνα με την τελευταία μελέτη του Ινστιτούτου ΕΗΙ (E-Commerce-MarktDeutschland 2023) το σύνολο των πωλήσεων στη Γερμανία μέσω ηλ. εμπορίου ανέρχεται πλέον σε περίπου € 84,5 δις με την ιστοσελίδα </w:t>
      </w:r>
      <w:r w:rsidRPr="00C10500">
        <w:rPr>
          <w:rFonts w:asciiTheme="minorHAnsi" w:hAnsiTheme="minorHAnsi" w:cstheme="minorHAnsi"/>
          <w:sz w:val="22"/>
          <w:szCs w:val="22"/>
          <w:lang w:val="en-US"/>
        </w:rPr>
        <w:t>amazon</w:t>
      </w:r>
      <w:r w:rsidRPr="00C10500">
        <w:rPr>
          <w:rFonts w:asciiTheme="minorHAnsi" w:hAnsiTheme="minorHAnsi" w:cstheme="minorHAnsi"/>
          <w:sz w:val="22"/>
          <w:szCs w:val="22"/>
        </w:rPr>
        <w:t>.</w:t>
      </w:r>
      <w:r w:rsidRPr="00C10500">
        <w:rPr>
          <w:rFonts w:asciiTheme="minorHAnsi" w:hAnsiTheme="minorHAnsi" w:cstheme="minorHAnsi"/>
          <w:sz w:val="22"/>
          <w:szCs w:val="22"/>
          <w:lang w:val="en-US"/>
        </w:rPr>
        <w:t>de</w:t>
      </w:r>
      <w:r w:rsidRPr="00C10500">
        <w:rPr>
          <w:rFonts w:asciiTheme="minorHAnsi" w:hAnsiTheme="minorHAnsi" w:cstheme="minorHAnsi"/>
          <w:sz w:val="22"/>
          <w:szCs w:val="22"/>
        </w:rPr>
        <w:t>να κυριαρχεί.</w:t>
      </w:r>
    </w:p>
    <w:p w14:paraId="612F013B" w14:textId="77777777" w:rsidR="00066D52" w:rsidRPr="00C10500" w:rsidRDefault="00066D52" w:rsidP="00066D52">
      <w:pPr>
        <w:ind w:left="-426" w:right="141"/>
        <w:jc w:val="both"/>
        <w:rPr>
          <w:rFonts w:asciiTheme="minorHAnsi" w:hAnsiTheme="minorHAnsi" w:cstheme="minorHAnsi"/>
          <w:sz w:val="22"/>
          <w:szCs w:val="22"/>
        </w:rPr>
      </w:pPr>
      <w:r w:rsidRPr="00C10500">
        <w:rPr>
          <w:rFonts w:asciiTheme="minorHAnsi" w:hAnsiTheme="minorHAnsi" w:cstheme="minorHAnsi"/>
          <w:sz w:val="22"/>
          <w:szCs w:val="22"/>
        </w:rPr>
        <w:t xml:space="preserve">Ο πραγματοποιούμενος ηλεκτρονικά τζίρος πρέπει να είναι ακόμη μεγαλύτερος, αν λάβουμε υπόψη ότι στην έρευνά του το ΕΗΙ δεν φαίνεται να έχει συμπεριλάβει τις εταιρείες ηλ. πώλησης τροφίμων, από όπου οι ενδιαφερόμενοι για φρούτα / λαχανικά πραγματοποιούν τις σχετικές αγορές τους. Σημειώνεται ότι η μητρική της γ/εταιρείας ηλ. παραγγελιών </w:t>
      </w:r>
      <w:r w:rsidRPr="00C10500">
        <w:rPr>
          <w:rFonts w:asciiTheme="minorHAnsi" w:hAnsiTheme="minorHAnsi" w:cstheme="minorHAnsi"/>
          <w:sz w:val="22"/>
          <w:szCs w:val="22"/>
          <w:lang w:val="en-US"/>
        </w:rPr>
        <w:t>Lieferando</w:t>
      </w:r>
      <w:r w:rsidRPr="00C10500">
        <w:rPr>
          <w:rFonts w:asciiTheme="minorHAnsi" w:hAnsiTheme="minorHAnsi" w:cstheme="minorHAnsi"/>
          <w:sz w:val="22"/>
          <w:szCs w:val="22"/>
        </w:rPr>
        <w:t xml:space="preserve">, </w:t>
      </w:r>
      <w:r w:rsidRPr="00C10500">
        <w:rPr>
          <w:rFonts w:asciiTheme="minorHAnsi" w:hAnsiTheme="minorHAnsi" w:cstheme="minorHAnsi"/>
          <w:sz w:val="22"/>
          <w:szCs w:val="22"/>
          <w:lang w:val="en-US"/>
        </w:rPr>
        <w:t>JustEatTakeaway</w:t>
      </w:r>
      <w:r w:rsidRPr="00C10500">
        <w:rPr>
          <w:rFonts w:asciiTheme="minorHAnsi" w:hAnsiTheme="minorHAnsi" w:cstheme="minorHAnsi"/>
          <w:sz w:val="22"/>
          <w:szCs w:val="22"/>
        </w:rPr>
        <w:t xml:space="preserve">, πραγματοποίησε το 2021 τζίρο € 4,5 δις, εκ των οποίων τα 567 εκ. στη Γερμανία. Το 2022 η </w:t>
      </w:r>
      <w:r w:rsidRPr="00C10500">
        <w:rPr>
          <w:rFonts w:asciiTheme="minorHAnsi" w:hAnsiTheme="minorHAnsi" w:cstheme="minorHAnsi"/>
          <w:sz w:val="22"/>
          <w:szCs w:val="22"/>
          <w:lang w:val="en-US"/>
        </w:rPr>
        <w:t>Lieferando</w:t>
      </w:r>
      <w:r w:rsidRPr="00C10500">
        <w:rPr>
          <w:rFonts w:asciiTheme="minorHAnsi" w:hAnsiTheme="minorHAnsi" w:cstheme="minorHAnsi"/>
          <w:sz w:val="22"/>
          <w:szCs w:val="22"/>
        </w:rPr>
        <w:t>εγκαινίασε στην εφαρμογή της την υπηρεσία «</w:t>
      </w:r>
      <w:r w:rsidRPr="00C10500">
        <w:rPr>
          <w:rFonts w:asciiTheme="minorHAnsi" w:hAnsiTheme="minorHAnsi" w:cstheme="minorHAnsi"/>
          <w:sz w:val="22"/>
          <w:szCs w:val="22"/>
          <w:lang w:val="en-US"/>
        </w:rPr>
        <w:t>LieferandoExpress</w:t>
      </w:r>
      <w:r w:rsidRPr="00C10500">
        <w:rPr>
          <w:rFonts w:asciiTheme="minorHAnsi" w:hAnsiTheme="minorHAnsi" w:cstheme="minorHAnsi"/>
          <w:sz w:val="22"/>
          <w:szCs w:val="22"/>
        </w:rPr>
        <w:t xml:space="preserve">», η οποία ξεκίνησε με πάνω από 1.000 κωδικούς, μεταξύ των οποίων φρούτα και λαχανικά. Ανταγωνιστές της </w:t>
      </w:r>
      <w:r w:rsidRPr="00C10500">
        <w:rPr>
          <w:rFonts w:asciiTheme="minorHAnsi" w:hAnsiTheme="minorHAnsi" w:cstheme="minorHAnsi"/>
          <w:sz w:val="22"/>
          <w:szCs w:val="22"/>
          <w:lang w:val="en-US"/>
        </w:rPr>
        <w:t>Lieferando</w:t>
      </w:r>
      <w:r w:rsidRPr="00C10500">
        <w:rPr>
          <w:rFonts w:asciiTheme="minorHAnsi" w:hAnsiTheme="minorHAnsi" w:cstheme="minorHAnsi"/>
          <w:sz w:val="22"/>
          <w:szCs w:val="22"/>
        </w:rPr>
        <w:t xml:space="preserve">είναι οι εφαρμογές </w:t>
      </w:r>
      <w:r w:rsidRPr="00C10500">
        <w:rPr>
          <w:rFonts w:asciiTheme="minorHAnsi" w:hAnsiTheme="minorHAnsi" w:cstheme="minorHAnsi"/>
          <w:sz w:val="22"/>
          <w:szCs w:val="22"/>
          <w:lang w:val="en-US"/>
        </w:rPr>
        <w:t>Gorillas</w:t>
      </w:r>
      <w:r w:rsidRPr="00C10500">
        <w:rPr>
          <w:rFonts w:asciiTheme="minorHAnsi" w:hAnsiTheme="minorHAnsi" w:cstheme="minorHAnsi"/>
          <w:sz w:val="22"/>
          <w:szCs w:val="22"/>
        </w:rPr>
        <w:t xml:space="preserve">και </w:t>
      </w:r>
      <w:r w:rsidRPr="00C10500">
        <w:rPr>
          <w:rFonts w:asciiTheme="minorHAnsi" w:hAnsiTheme="minorHAnsi" w:cstheme="minorHAnsi"/>
          <w:sz w:val="22"/>
          <w:szCs w:val="22"/>
          <w:lang w:val="en-US"/>
        </w:rPr>
        <w:t>Flink</w:t>
      </w:r>
      <w:r w:rsidRPr="00C10500">
        <w:rPr>
          <w:rFonts w:asciiTheme="minorHAnsi" w:hAnsiTheme="minorHAnsi" w:cstheme="minorHAnsi"/>
          <w:sz w:val="22"/>
          <w:szCs w:val="22"/>
        </w:rPr>
        <w:t>, ενώ και οι φυσικές λιανεμπορικές αλυσίδες εισέρχονται στον ανταγωνισμό με ιστοσελίδες και εφαρμογές ηλ. εμπορίου (</w:t>
      </w:r>
      <w:r w:rsidRPr="00C10500">
        <w:rPr>
          <w:rFonts w:asciiTheme="minorHAnsi" w:hAnsiTheme="minorHAnsi" w:cstheme="minorHAnsi"/>
          <w:sz w:val="22"/>
          <w:szCs w:val="22"/>
          <w:lang w:val="en-US"/>
        </w:rPr>
        <w:t>REWE</w:t>
      </w:r>
      <w:r w:rsidRPr="00C10500">
        <w:rPr>
          <w:rFonts w:asciiTheme="minorHAnsi" w:hAnsiTheme="minorHAnsi" w:cstheme="minorHAnsi"/>
          <w:sz w:val="22"/>
          <w:szCs w:val="22"/>
        </w:rPr>
        <w:t xml:space="preserve">, </w:t>
      </w:r>
      <w:r w:rsidRPr="00C10500">
        <w:rPr>
          <w:rFonts w:asciiTheme="minorHAnsi" w:hAnsiTheme="minorHAnsi" w:cstheme="minorHAnsi"/>
          <w:sz w:val="22"/>
          <w:szCs w:val="22"/>
          <w:lang w:val="en-US"/>
        </w:rPr>
        <w:t>Edeka</w:t>
      </w:r>
      <w:r w:rsidRPr="00C10500">
        <w:rPr>
          <w:rFonts w:asciiTheme="minorHAnsi" w:hAnsiTheme="minorHAnsi" w:cstheme="minorHAnsi"/>
          <w:sz w:val="22"/>
          <w:szCs w:val="22"/>
        </w:rPr>
        <w:t xml:space="preserve">, </w:t>
      </w:r>
      <w:r w:rsidRPr="00C10500">
        <w:rPr>
          <w:rFonts w:asciiTheme="minorHAnsi" w:hAnsiTheme="minorHAnsi" w:cstheme="minorHAnsi"/>
          <w:sz w:val="22"/>
          <w:szCs w:val="22"/>
          <w:lang w:val="en-US"/>
        </w:rPr>
        <w:t>Lidl</w:t>
      </w:r>
      <w:r w:rsidRPr="00C10500">
        <w:rPr>
          <w:rFonts w:asciiTheme="minorHAnsi" w:hAnsiTheme="minorHAnsi" w:cstheme="minorHAnsi"/>
          <w:sz w:val="22"/>
          <w:szCs w:val="22"/>
        </w:rPr>
        <w:t>).</w:t>
      </w:r>
    </w:p>
    <w:p w14:paraId="634F2067" w14:textId="77777777" w:rsidR="00066D52" w:rsidRPr="00C10500" w:rsidRDefault="00066D52" w:rsidP="00066D52">
      <w:pPr>
        <w:ind w:left="-426" w:right="141"/>
        <w:jc w:val="both"/>
        <w:rPr>
          <w:rFonts w:asciiTheme="minorHAnsi" w:hAnsiTheme="minorHAnsi" w:cstheme="minorHAnsi"/>
          <w:b/>
          <w:sz w:val="22"/>
          <w:szCs w:val="22"/>
        </w:rPr>
      </w:pPr>
    </w:p>
    <w:p w14:paraId="0F3F76C0" w14:textId="77777777" w:rsidR="00414268" w:rsidRDefault="00414268">
      <w:pPr>
        <w:rPr>
          <w:rFonts w:asciiTheme="minorHAnsi" w:hAnsiTheme="minorHAnsi" w:cstheme="minorHAnsi"/>
          <w:b/>
          <w:sz w:val="22"/>
          <w:szCs w:val="22"/>
        </w:rPr>
      </w:pPr>
      <w:r>
        <w:rPr>
          <w:rFonts w:asciiTheme="minorHAnsi" w:hAnsiTheme="minorHAnsi" w:cstheme="minorHAnsi"/>
          <w:b/>
          <w:sz w:val="22"/>
          <w:szCs w:val="22"/>
        </w:rPr>
        <w:br w:type="page"/>
      </w:r>
    </w:p>
    <w:p w14:paraId="6D9B05CD" w14:textId="5755BCF9" w:rsidR="00066D52" w:rsidRPr="00C10500" w:rsidRDefault="00066D52" w:rsidP="00066D52">
      <w:pPr>
        <w:jc w:val="center"/>
        <w:rPr>
          <w:rFonts w:asciiTheme="minorHAnsi" w:hAnsiTheme="minorHAnsi" w:cstheme="minorHAnsi"/>
          <w:b/>
          <w:sz w:val="22"/>
          <w:szCs w:val="22"/>
        </w:rPr>
      </w:pPr>
      <w:r w:rsidRPr="00C10500">
        <w:rPr>
          <w:rFonts w:asciiTheme="minorHAnsi" w:hAnsiTheme="minorHAnsi" w:cstheme="minorHAnsi"/>
          <w:b/>
          <w:sz w:val="22"/>
          <w:szCs w:val="22"/>
        </w:rPr>
        <w:lastRenderedPageBreak/>
        <w:t>Οι βασικοί «παίκτες» στις διαδικτυακές πωλήσεις τροφίμων στη Γερμανία</w:t>
      </w:r>
    </w:p>
    <w:p w14:paraId="6F3A895F" w14:textId="77777777" w:rsidR="00066D52" w:rsidRPr="00C10500" w:rsidRDefault="00066D52" w:rsidP="00066D52">
      <w:pPr>
        <w:jc w:val="center"/>
        <w:rPr>
          <w:rFonts w:asciiTheme="minorHAnsi" w:hAnsiTheme="minorHAnsi" w:cstheme="minorHAnsi"/>
          <w:sz w:val="22"/>
          <w:szCs w:val="22"/>
        </w:rPr>
      </w:pPr>
      <w:r w:rsidRPr="00C10500">
        <w:rPr>
          <w:rFonts w:asciiTheme="minorHAnsi" w:hAnsiTheme="minorHAnsi" w:cstheme="minorHAnsi"/>
          <w:sz w:val="22"/>
          <w:szCs w:val="22"/>
        </w:rPr>
        <w:t xml:space="preserve">(μπλε = πλήρης γκάμα προϊόντων, κίτρινο = τα τρόφιμα ως μέρος της γκάμας της υπηρεσίας, πράσινο = υπηρεσίες παραγγελιών φαγητών – Επισημαίνονται οι συνεργασίες </w:t>
      </w:r>
      <w:r w:rsidRPr="00C10500">
        <w:rPr>
          <w:rFonts w:asciiTheme="minorHAnsi" w:hAnsiTheme="minorHAnsi" w:cstheme="minorHAnsi"/>
          <w:sz w:val="22"/>
          <w:szCs w:val="22"/>
          <w:lang w:val="en-US"/>
        </w:rPr>
        <w:t>Flink</w:t>
      </w:r>
      <w:r w:rsidRPr="00C10500">
        <w:rPr>
          <w:rFonts w:asciiTheme="minorHAnsi" w:hAnsiTheme="minorHAnsi" w:cstheme="minorHAnsi"/>
          <w:sz w:val="22"/>
          <w:szCs w:val="22"/>
        </w:rPr>
        <w:t xml:space="preserve"> – </w:t>
      </w:r>
      <w:r w:rsidRPr="00C10500">
        <w:rPr>
          <w:rFonts w:asciiTheme="minorHAnsi" w:hAnsiTheme="minorHAnsi" w:cstheme="minorHAnsi"/>
          <w:sz w:val="22"/>
          <w:szCs w:val="22"/>
          <w:lang w:val="en-US"/>
        </w:rPr>
        <w:t>Wolt</w:t>
      </w:r>
      <w:r w:rsidRPr="00C10500">
        <w:rPr>
          <w:rFonts w:asciiTheme="minorHAnsi" w:hAnsiTheme="minorHAnsi" w:cstheme="minorHAnsi"/>
          <w:sz w:val="22"/>
          <w:szCs w:val="22"/>
        </w:rPr>
        <w:t xml:space="preserve">και </w:t>
      </w:r>
      <w:r w:rsidRPr="00C10500">
        <w:rPr>
          <w:rFonts w:asciiTheme="minorHAnsi" w:hAnsiTheme="minorHAnsi" w:cstheme="minorHAnsi"/>
          <w:sz w:val="22"/>
          <w:szCs w:val="22"/>
          <w:lang w:val="en-US"/>
        </w:rPr>
        <w:t>Getir</w:t>
      </w:r>
      <w:r w:rsidRPr="00C10500">
        <w:rPr>
          <w:rFonts w:asciiTheme="minorHAnsi" w:hAnsiTheme="minorHAnsi" w:cstheme="minorHAnsi"/>
          <w:sz w:val="22"/>
          <w:szCs w:val="22"/>
        </w:rPr>
        <w:t xml:space="preserve"> – </w:t>
      </w:r>
      <w:r w:rsidRPr="00C10500">
        <w:rPr>
          <w:rFonts w:asciiTheme="minorHAnsi" w:hAnsiTheme="minorHAnsi" w:cstheme="minorHAnsi"/>
          <w:sz w:val="22"/>
          <w:szCs w:val="22"/>
          <w:lang w:val="en-US"/>
        </w:rPr>
        <w:t>Lieferando</w:t>
      </w:r>
      <w:r w:rsidRPr="00C10500">
        <w:rPr>
          <w:rFonts w:asciiTheme="minorHAnsi" w:hAnsiTheme="minorHAnsi" w:cstheme="minorHAnsi"/>
          <w:sz w:val="22"/>
          <w:szCs w:val="22"/>
        </w:rPr>
        <w:t>με στόχο την επέκταση των εν λόγω εταιρειών μέσω συνεργιών τόσο στην μπλε όσο και στην πράσινη κατηγορία)</w:t>
      </w:r>
    </w:p>
    <w:p w14:paraId="33B5041D" w14:textId="77777777" w:rsidR="00066D52" w:rsidRPr="00C10500" w:rsidRDefault="00066D52" w:rsidP="00066D52">
      <w:pPr>
        <w:jc w:val="center"/>
        <w:rPr>
          <w:rFonts w:asciiTheme="minorHAnsi" w:hAnsiTheme="minorHAnsi" w:cstheme="minorHAnsi"/>
          <w:sz w:val="22"/>
          <w:szCs w:val="22"/>
        </w:rPr>
      </w:pPr>
    </w:p>
    <w:p w14:paraId="426B9717" w14:textId="77777777" w:rsidR="00066D52" w:rsidRPr="00C10500" w:rsidRDefault="00066D52" w:rsidP="00066D52">
      <w:pPr>
        <w:ind w:left="-426" w:right="141"/>
        <w:jc w:val="center"/>
        <w:rPr>
          <w:rFonts w:asciiTheme="minorHAnsi" w:hAnsiTheme="minorHAnsi" w:cstheme="minorHAnsi"/>
          <w:sz w:val="22"/>
          <w:szCs w:val="22"/>
        </w:rPr>
      </w:pPr>
      <w:r w:rsidRPr="00C10500">
        <w:rPr>
          <w:rFonts w:asciiTheme="minorHAnsi" w:hAnsiTheme="minorHAnsi" w:cstheme="minorHAnsi"/>
          <w:noProof/>
          <w:sz w:val="22"/>
          <w:szCs w:val="22"/>
        </w:rPr>
        <w:drawing>
          <wp:inline distT="0" distB="0" distL="0" distR="0" wp14:anchorId="3DE4C95A" wp14:editId="0D0D61D5">
            <wp:extent cx="4791075" cy="326707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1075" cy="3267075"/>
                    </a:xfrm>
                    <a:prstGeom prst="rect">
                      <a:avLst/>
                    </a:prstGeom>
                    <a:noFill/>
                    <a:ln>
                      <a:noFill/>
                    </a:ln>
                  </pic:spPr>
                </pic:pic>
              </a:graphicData>
            </a:graphic>
          </wp:inline>
        </w:drawing>
      </w:r>
    </w:p>
    <w:p w14:paraId="34901CEE" w14:textId="77777777" w:rsidR="00066D52" w:rsidRPr="00C10500" w:rsidRDefault="00066D52" w:rsidP="00066D52">
      <w:pPr>
        <w:ind w:left="-426" w:right="141"/>
        <w:jc w:val="both"/>
        <w:rPr>
          <w:rFonts w:asciiTheme="minorHAnsi" w:hAnsiTheme="minorHAnsi" w:cstheme="minorHAnsi"/>
          <w:bCs/>
          <w:i/>
          <w:sz w:val="22"/>
          <w:szCs w:val="22"/>
        </w:rPr>
      </w:pPr>
      <w:r w:rsidRPr="00C10500">
        <w:rPr>
          <w:rFonts w:asciiTheme="minorHAnsi" w:hAnsiTheme="minorHAnsi" w:cstheme="minorHAnsi"/>
          <w:i/>
          <w:sz w:val="22"/>
          <w:szCs w:val="22"/>
        </w:rPr>
        <w:t xml:space="preserve">Πηγή: </w:t>
      </w:r>
      <w:r w:rsidRPr="00C10500">
        <w:rPr>
          <w:rFonts w:asciiTheme="minorHAnsi" w:hAnsiTheme="minorHAnsi" w:cstheme="minorHAnsi"/>
          <w:bCs/>
          <w:i/>
          <w:sz w:val="22"/>
          <w:szCs w:val="22"/>
          <w:lang w:val="en-US"/>
        </w:rPr>
        <w:t>HDEOnlineMonitor</w:t>
      </w:r>
      <w:r w:rsidRPr="00C10500">
        <w:rPr>
          <w:rFonts w:asciiTheme="minorHAnsi" w:hAnsiTheme="minorHAnsi" w:cstheme="minorHAnsi"/>
          <w:bCs/>
          <w:i/>
          <w:sz w:val="22"/>
          <w:szCs w:val="22"/>
        </w:rPr>
        <w:t xml:space="preserve"> 2023</w:t>
      </w:r>
    </w:p>
    <w:p w14:paraId="17B2AC8E" w14:textId="77777777" w:rsidR="00066D52" w:rsidRPr="00C10500" w:rsidRDefault="00066D52" w:rsidP="00066D52">
      <w:pPr>
        <w:ind w:left="-426" w:right="141"/>
        <w:jc w:val="both"/>
        <w:rPr>
          <w:rFonts w:asciiTheme="minorHAnsi" w:hAnsiTheme="minorHAnsi" w:cstheme="minorHAnsi"/>
          <w:sz w:val="22"/>
          <w:szCs w:val="22"/>
        </w:rPr>
      </w:pPr>
    </w:p>
    <w:p w14:paraId="3C92921C" w14:textId="77777777" w:rsidR="00066D52" w:rsidRPr="00C10500" w:rsidRDefault="00066D52" w:rsidP="00066D52">
      <w:pPr>
        <w:ind w:left="-426" w:right="141"/>
        <w:jc w:val="both"/>
        <w:rPr>
          <w:rFonts w:asciiTheme="minorHAnsi" w:hAnsiTheme="minorHAnsi" w:cstheme="minorHAnsi"/>
          <w:sz w:val="22"/>
          <w:szCs w:val="22"/>
        </w:rPr>
      </w:pPr>
      <w:r w:rsidRPr="00C10500">
        <w:rPr>
          <w:rFonts w:asciiTheme="minorHAnsi" w:hAnsiTheme="minorHAnsi" w:cstheme="minorHAnsi"/>
          <w:sz w:val="22"/>
          <w:szCs w:val="22"/>
        </w:rPr>
        <w:t xml:space="preserve">Το Ινστιτούτο Εμπορικών Ερευνών </w:t>
      </w:r>
      <w:r w:rsidRPr="00C10500">
        <w:rPr>
          <w:rFonts w:asciiTheme="minorHAnsi" w:hAnsiTheme="minorHAnsi" w:cstheme="minorHAnsi"/>
          <w:sz w:val="22"/>
          <w:szCs w:val="22"/>
          <w:lang w:val="en-US"/>
        </w:rPr>
        <w:t>IfH</w:t>
      </w:r>
      <w:r w:rsidRPr="00C10500">
        <w:rPr>
          <w:rFonts w:asciiTheme="minorHAnsi" w:hAnsiTheme="minorHAnsi" w:cstheme="minorHAnsi"/>
          <w:sz w:val="22"/>
          <w:szCs w:val="22"/>
        </w:rPr>
        <w:t xml:space="preserve"> (InstitutfürHandelsforschung) με έδρα την Κολωνία, που συντάσσει τον ετήσια δείκτη </w:t>
      </w:r>
      <w:hyperlink r:id="rId22" w:history="1">
        <w:r w:rsidRPr="00C10500">
          <w:rPr>
            <w:rStyle w:val="Hyperlink"/>
            <w:rFonts w:asciiTheme="minorHAnsi" w:hAnsiTheme="minorHAnsi" w:cstheme="minorHAnsi"/>
            <w:sz w:val="22"/>
            <w:szCs w:val="22"/>
            <w:lang w:val="en-US"/>
          </w:rPr>
          <w:t>OnlineMonitor</w:t>
        </w:r>
      </w:hyperlink>
      <w:r w:rsidRPr="00C10500">
        <w:rPr>
          <w:rFonts w:asciiTheme="minorHAnsi" w:hAnsiTheme="minorHAnsi" w:cstheme="minorHAnsi"/>
          <w:sz w:val="22"/>
          <w:szCs w:val="22"/>
        </w:rPr>
        <w:t xml:space="preserve"> (2023) για λογαριασμό της Γερμανικής Συνομοσπονδίας Εμπορίου (</w:t>
      </w:r>
      <w:r w:rsidRPr="00C10500">
        <w:rPr>
          <w:rFonts w:asciiTheme="minorHAnsi" w:hAnsiTheme="minorHAnsi" w:cstheme="minorHAnsi"/>
          <w:sz w:val="22"/>
          <w:szCs w:val="22"/>
          <w:lang w:val="en-US"/>
        </w:rPr>
        <w:t>HandelsverbandDeutschland</w:t>
      </w:r>
      <w:r w:rsidRPr="00C10500">
        <w:rPr>
          <w:rFonts w:asciiTheme="minorHAnsi" w:hAnsiTheme="minorHAnsi" w:cstheme="minorHAnsi"/>
          <w:sz w:val="22"/>
          <w:szCs w:val="22"/>
        </w:rPr>
        <w:t>–</w:t>
      </w:r>
      <w:r w:rsidRPr="00C10500">
        <w:rPr>
          <w:rFonts w:asciiTheme="minorHAnsi" w:hAnsiTheme="minorHAnsi" w:cstheme="minorHAnsi"/>
          <w:sz w:val="22"/>
          <w:szCs w:val="22"/>
          <w:lang w:val="en-US"/>
        </w:rPr>
        <w:t>HDE</w:t>
      </w:r>
      <w:r w:rsidRPr="00C10500">
        <w:rPr>
          <w:rFonts w:asciiTheme="minorHAnsi" w:hAnsiTheme="minorHAnsi" w:cstheme="minorHAnsi"/>
          <w:sz w:val="22"/>
          <w:szCs w:val="22"/>
        </w:rPr>
        <w:t>), διαπιστώνει ότι οι ηλεκτρονικές πωλήσεις τροφίμων αντιστοιχούν στο 2,9% του συνολικού τζίρου των λιανεμπορικών επιχειρήσεων σε σχέση με τα τρόφιμα, δηλαδή περίπου €6,1 δις ετησίως. Μάλιστα, οι διαδικτυακές πωλήσεις τροφίμων το 2022 αυξήθηκαν κατά 8,3%, ενώ οι πωλήσεις σε φυσικά σημεία της αγοράς ενισχύθηκαν κατά μόλις 1,8%.</w:t>
      </w:r>
    </w:p>
    <w:p w14:paraId="5DFC23CC" w14:textId="77777777" w:rsidR="00066D52" w:rsidRPr="00C10500" w:rsidRDefault="00066D52" w:rsidP="00066D52">
      <w:pPr>
        <w:spacing w:before="60" w:after="120"/>
        <w:jc w:val="both"/>
        <w:rPr>
          <w:rFonts w:asciiTheme="minorHAnsi" w:hAnsiTheme="minorHAnsi" w:cstheme="minorHAnsi"/>
          <w:b/>
          <w:sz w:val="22"/>
          <w:szCs w:val="22"/>
        </w:rPr>
      </w:pPr>
      <w:r w:rsidRPr="00C10500">
        <w:rPr>
          <w:rFonts w:asciiTheme="minorHAnsi" w:hAnsiTheme="minorHAnsi" w:cstheme="minorHAnsi"/>
          <w:b/>
          <w:sz w:val="22"/>
          <w:szCs w:val="22"/>
        </w:rPr>
        <w:t>Κλαδικές Εκθέσεις</w:t>
      </w:r>
    </w:p>
    <w:p w14:paraId="2CF62AF8" w14:textId="77777777" w:rsidR="00066D52" w:rsidRPr="00C10500" w:rsidRDefault="00066D52" w:rsidP="00066D52">
      <w:pPr>
        <w:pStyle w:val="ListParagraph"/>
        <w:numPr>
          <w:ilvl w:val="0"/>
          <w:numId w:val="1"/>
        </w:numPr>
        <w:spacing w:before="60" w:after="120"/>
        <w:ind w:left="0" w:firstLine="0"/>
        <w:jc w:val="both"/>
        <w:rPr>
          <w:rFonts w:asciiTheme="minorHAnsi" w:hAnsiTheme="minorHAnsi" w:cstheme="minorHAnsi"/>
          <w:sz w:val="22"/>
          <w:szCs w:val="22"/>
          <w:lang w:val="el-GR"/>
        </w:rPr>
      </w:pPr>
      <w:r w:rsidRPr="00C10500">
        <w:rPr>
          <w:rFonts w:asciiTheme="minorHAnsi" w:hAnsiTheme="minorHAnsi" w:cstheme="minorHAnsi"/>
          <w:sz w:val="22"/>
          <w:szCs w:val="22"/>
          <w:lang w:val="el-GR"/>
        </w:rPr>
        <w:t>Διεθνής Αγροτοοικονομική Έκθεση “GrüneWoche” για επαγγελματίες και καταναλωτικό κοινό, Βερολίνο, ετησίως (</w:t>
      </w:r>
      <w:hyperlink r:id="rId23" w:history="1">
        <w:r w:rsidRPr="00C10500">
          <w:rPr>
            <w:rStyle w:val="Hyperlink"/>
            <w:rFonts w:asciiTheme="minorHAnsi" w:hAnsiTheme="minorHAnsi" w:cstheme="minorHAnsi"/>
            <w:sz w:val="22"/>
            <w:szCs w:val="22"/>
          </w:rPr>
          <w:t>www</w:t>
        </w:r>
        <w:r w:rsidRPr="00C10500">
          <w:rPr>
            <w:rStyle w:val="Hyperlink"/>
            <w:rFonts w:asciiTheme="minorHAnsi" w:hAnsiTheme="minorHAnsi" w:cstheme="minorHAnsi"/>
            <w:sz w:val="22"/>
            <w:szCs w:val="22"/>
            <w:lang w:val="el-GR"/>
          </w:rPr>
          <w:t>.</w:t>
        </w:r>
        <w:r w:rsidRPr="00C10500">
          <w:rPr>
            <w:rStyle w:val="Hyperlink"/>
            <w:rFonts w:asciiTheme="minorHAnsi" w:hAnsiTheme="minorHAnsi" w:cstheme="minorHAnsi"/>
            <w:sz w:val="22"/>
            <w:szCs w:val="22"/>
          </w:rPr>
          <w:t>gruenewoche</w:t>
        </w:r>
        <w:r w:rsidRPr="00C10500">
          <w:rPr>
            <w:rStyle w:val="Hyperlink"/>
            <w:rFonts w:asciiTheme="minorHAnsi" w:hAnsiTheme="minorHAnsi" w:cstheme="minorHAnsi"/>
            <w:sz w:val="22"/>
            <w:szCs w:val="22"/>
            <w:lang w:val="el-GR"/>
          </w:rPr>
          <w:t>.</w:t>
        </w:r>
        <w:r w:rsidRPr="00C10500">
          <w:rPr>
            <w:rStyle w:val="Hyperlink"/>
            <w:rFonts w:asciiTheme="minorHAnsi" w:hAnsiTheme="minorHAnsi" w:cstheme="minorHAnsi"/>
            <w:sz w:val="22"/>
            <w:szCs w:val="22"/>
          </w:rPr>
          <w:t>de</w:t>
        </w:r>
      </w:hyperlink>
      <w:r w:rsidRPr="00C10500">
        <w:rPr>
          <w:rFonts w:asciiTheme="minorHAnsi" w:hAnsiTheme="minorHAnsi" w:cstheme="minorHAnsi"/>
          <w:sz w:val="22"/>
          <w:szCs w:val="22"/>
          <w:lang w:val="el-GR"/>
        </w:rPr>
        <w:t xml:space="preserve"> )</w:t>
      </w:r>
    </w:p>
    <w:p w14:paraId="7ADB281C" w14:textId="77777777" w:rsidR="00066D52" w:rsidRPr="00C10500" w:rsidRDefault="00066D52" w:rsidP="00066D52">
      <w:pPr>
        <w:pStyle w:val="ListParagraph"/>
        <w:numPr>
          <w:ilvl w:val="0"/>
          <w:numId w:val="1"/>
        </w:numPr>
        <w:spacing w:before="60" w:after="120"/>
        <w:ind w:left="0" w:firstLine="0"/>
        <w:jc w:val="both"/>
        <w:rPr>
          <w:rFonts w:asciiTheme="minorHAnsi" w:hAnsiTheme="minorHAnsi" w:cstheme="minorHAnsi"/>
          <w:sz w:val="22"/>
          <w:szCs w:val="22"/>
          <w:lang w:val="el-GR"/>
        </w:rPr>
      </w:pPr>
      <w:r w:rsidRPr="00C10500">
        <w:rPr>
          <w:rFonts w:asciiTheme="minorHAnsi" w:hAnsiTheme="minorHAnsi" w:cstheme="minorHAnsi"/>
          <w:sz w:val="22"/>
          <w:szCs w:val="22"/>
          <w:lang w:val="el-GR"/>
        </w:rPr>
        <w:t>Διεθνής Έκθεση Τροφίμων “Anuga”, Κολωνία, ανά δύο έτη (</w:t>
      </w:r>
      <w:hyperlink r:id="rId24" w:history="1">
        <w:r w:rsidRPr="00C10500">
          <w:rPr>
            <w:rStyle w:val="Hyperlink"/>
            <w:rFonts w:asciiTheme="minorHAnsi" w:hAnsiTheme="minorHAnsi" w:cstheme="minorHAnsi"/>
            <w:sz w:val="22"/>
            <w:szCs w:val="22"/>
            <w:lang w:val="el-GR"/>
          </w:rPr>
          <w:t>www.anuga.de</w:t>
        </w:r>
      </w:hyperlink>
      <w:r w:rsidRPr="00C10500">
        <w:rPr>
          <w:rFonts w:asciiTheme="minorHAnsi" w:hAnsiTheme="minorHAnsi" w:cstheme="minorHAnsi"/>
          <w:sz w:val="22"/>
          <w:szCs w:val="22"/>
          <w:lang w:val="el-GR"/>
        </w:rPr>
        <w:t xml:space="preserve"> ), η μεγαλύτερη Διεθνής Έκθεση τροφίμων στον κόσμο, με συμμετοχή πολλών ελληνικών επιχειρήσεων. </w:t>
      </w:r>
    </w:p>
    <w:p w14:paraId="449EA6F8" w14:textId="77777777" w:rsidR="00066D52" w:rsidRPr="00C10500" w:rsidRDefault="00066D52" w:rsidP="00066D52">
      <w:pPr>
        <w:pStyle w:val="ListParagraph"/>
        <w:numPr>
          <w:ilvl w:val="0"/>
          <w:numId w:val="1"/>
        </w:numPr>
        <w:spacing w:before="60" w:after="120"/>
        <w:ind w:left="0" w:firstLine="0"/>
        <w:jc w:val="both"/>
        <w:rPr>
          <w:rFonts w:asciiTheme="minorHAnsi" w:hAnsiTheme="minorHAnsi" w:cstheme="minorHAnsi"/>
          <w:sz w:val="22"/>
          <w:szCs w:val="22"/>
          <w:lang w:val="el-GR"/>
        </w:rPr>
      </w:pPr>
      <w:r w:rsidRPr="00C10500">
        <w:rPr>
          <w:rFonts w:asciiTheme="minorHAnsi" w:hAnsiTheme="minorHAnsi" w:cstheme="minorHAnsi"/>
          <w:sz w:val="22"/>
          <w:szCs w:val="22"/>
          <w:lang w:val="el-GR"/>
        </w:rPr>
        <w:t>Διεθνής Έκθεση βιολογικών προϊόντων “Β</w:t>
      </w:r>
      <w:r w:rsidRPr="00C10500">
        <w:rPr>
          <w:rFonts w:asciiTheme="minorHAnsi" w:hAnsiTheme="minorHAnsi" w:cstheme="minorHAnsi"/>
          <w:sz w:val="22"/>
          <w:szCs w:val="22"/>
        </w:rPr>
        <w:t>iofach</w:t>
      </w:r>
      <w:r w:rsidRPr="00C10500">
        <w:rPr>
          <w:rFonts w:asciiTheme="minorHAnsi" w:hAnsiTheme="minorHAnsi" w:cstheme="minorHAnsi"/>
          <w:sz w:val="22"/>
          <w:szCs w:val="22"/>
          <w:lang w:val="el-GR"/>
        </w:rPr>
        <w:t>+</w:t>
      </w:r>
      <w:r w:rsidRPr="00C10500">
        <w:rPr>
          <w:rFonts w:asciiTheme="minorHAnsi" w:hAnsiTheme="minorHAnsi" w:cstheme="minorHAnsi"/>
          <w:sz w:val="22"/>
          <w:szCs w:val="22"/>
        </w:rPr>
        <w:t>Vivaness</w:t>
      </w:r>
      <w:r w:rsidRPr="00C10500">
        <w:rPr>
          <w:rFonts w:asciiTheme="minorHAnsi" w:hAnsiTheme="minorHAnsi" w:cstheme="minorHAnsi"/>
          <w:sz w:val="22"/>
          <w:szCs w:val="22"/>
          <w:lang w:val="el-GR"/>
        </w:rPr>
        <w:t>”, Νυρεμβέργη (</w:t>
      </w:r>
      <w:hyperlink r:id="rId25" w:history="1">
        <w:r w:rsidRPr="00C10500">
          <w:rPr>
            <w:rStyle w:val="Hyperlink"/>
            <w:rFonts w:asciiTheme="minorHAnsi" w:hAnsiTheme="minorHAnsi" w:cstheme="minorHAnsi"/>
            <w:sz w:val="22"/>
            <w:szCs w:val="22"/>
          </w:rPr>
          <w:t>www</w:t>
        </w:r>
        <w:r w:rsidRPr="00C10500">
          <w:rPr>
            <w:rStyle w:val="Hyperlink"/>
            <w:rFonts w:asciiTheme="minorHAnsi" w:hAnsiTheme="minorHAnsi" w:cstheme="minorHAnsi"/>
            <w:sz w:val="22"/>
            <w:szCs w:val="22"/>
            <w:lang w:val="el-GR"/>
          </w:rPr>
          <w:t>.</w:t>
        </w:r>
        <w:r w:rsidRPr="00C10500">
          <w:rPr>
            <w:rStyle w:val="Hyperlink"/>
            <w:rFonts w:asciiTheme="minorHAnsi" w:hAnsiTheme="minorHAnsi" w:cstheme="minorHAnsi"/>
            <w:sz w:val="22"/>
            <w:szCs w:val="22"/>
          </w:rPr>
          <w:t>biofach</w:t>
        </w:r>
        <w:r w:rsidRPr="00C10500">
          <w:rPr>
            <w:rStyle w:val="Hyperlink"/>
            <w:rFonts w:asciiTheme="minorHAnsi" w:hAnsiTheme="minorHAnsi" w:cstheme="minorHAnsi"/>
            <w:sz w:val="22"/>
            <w:szCs w:val="22"/>
            <w:lang w:val="el-GR"/>
          </w:rPr>
          <w:t>.</w:t>
        </w:r>
        <w:r w:rsidRPr="00C10500">
          <w:rPr>
            <w:rStyle w:val="Hyperlink"/>
            <w:rFonts w:asciiTheme="minorHAnsi" w:hAnsiTheme="minorHAnsi" w:cstheme="minorHAnsi"/>
            <w:sz w:val="22"/>
            <w:szCs w:val="22"/>
          </w:rPr>
          <w:t>de</w:t>
        </w:r>
      </w:hyperlink>
      <w:r w:rsidRPr="00C10500">
        <w:rPr>
          <w:rFonts w:asciiTheme="minorHAnsi" w:hAnsiTheme="minorHAnsi" w:cstheme="minorHAnsi"/>
          <w:sz w:val="22"/>
          <w:szCs w:val="22"/>
          <w:lang w:val="el-GR"/>
        </w:rPr>
        <w:t>,</w:t>
      </w:r>
      <w:hyperlink r:id="rId26" w:history="1">
        <w:r w:rsidRPr="00C10500">
          <w:rPr>
            <w:rStyle w:val="Hyperlink"/>
            <w:rFonts w:asciiTheme="minorHAnsi" w:hAnsiTheme="minorHAnsi" w:cstheme="minorHAnsi"/>
            <w:sz w:val="22"/>
            <w:szCs w:val="22"/>
          </w:rPr>
          <w:t>www</w:t>
        </w:r>
        <w:r w:rsidRPr="00C10500">
          <w:rPr>
            <w:rStyle w:val="Hyperlink"/>
            <w:rFonts w:asciiTheme="minorHAnsi" w:hAnsiTheme="minorHAnsi" w:cstheme="minorHAnsi"/>
            <w:sz w:val="22"/>
            <w:szCs w:val="22"/>
            <w:lang w:val="el-GR"/>
          </w:rPr>
          <w:t>.</w:t>
        </w:r>
        <w:r w:rsidRPr="00C10500">
          <w:rPr>
            <w:rStyle w:val="Hyperlink"/>
            <w:rFonts w:asciiTheme="minorHAnsi" w:hAnsiTheme="minorHAnsi" w:cstheme="minorHAnsi"/>
            <w:sz w:val="22"/>
            <w:szCs w:val="22"/>
          </w:rPr>
          <w:t>vivaness</w:t>
        </w:r>
        <w:r w:rsidRPr="00C10500">
          <w:rPr>
            <w:rStyle w:val="Hyperlink"/>
            <w:rFonts w:asciiTheme="minorHAnsi" w:hAnsiTheme="minorHAnsi" w:cstheme="minorHAnsi"/>
            <w:sz w:val="22"/>
            <w:szCs w:val="22"/>
            <w:lang w:val="el-GR"/>
          </w:rPr>
          <w:t>.</w:t>
        </w:r>
        <w:r w:rsidRPr="00C10500">
          <w:rPr>
            <w:rStyle w:val="Hyperlink"/>
            <w:rFonts w:asciiTheme="minorHAnsi" w:hAnsiTheme="minorHAnsi" w:cstheme="minorHAnsi"/>
            <w:sz w:val="22"/>
            <w:szCs w:val="22"/>
          </w:rPr>
          <w:t>de</w:t>
        </w:r>
      </w:hyperlink>
      <w:r w:rsidRPr="00C10500">
        <w:rPr>
          <w:rFonts w:asciiTheme="minorHAnsi" w:hAnsiTheme="minorHAnsi" w:cstheme="minorHAnsi"/>
          <w:sz w:val="22"/>
          <w:szCs w:val="22"/>
          <w:lang w:val="el-GR"/>
        </w:rPr>
        <w:t>)</w:t>
      </w:r>
    </w:p>
    <w:p w14:paraId="1578480C" w14:textId="77777777" w:rsidR="00066D52" w:rsidRPr="00C10500" w:rsidRDefault="00066D52" w:rsidP="00066D52">
      <w:pPr>
        <w:pStyle w:val="ListParagraph"/>
        <w:ind w:left="-270" w:right="-157"/>
        <w:jc w:val="both"/>
        <w:rPr>
          <w:rFonts w:asciiTheme="minorHAnsi" w:hAnsiTheme="minorHAnsi" w:cstheme="minorHAnsi"/>
          <w:sz w:val="22"/>
          <w:szCs w:val="22"/>
          <w:lang w:val="el-GR"/>
        </w:rPr>
      </w:pPr>
    </w:p>
    <w:p w14:paraId="4270A091" w14:textId="77777777" w:rsidR="00066D52" w:rsidRDefault="00066D52" w:rsidP="00066D52">
      <w:pPr>
        <w:ind w:left="-270" w:right="-157"/>
        <w:jc w:val="both"/>
        <w:rPr>
          <w:rFonts w:asciiTheme="minorHAnsi" w:hAnsiTheme="minorHAnsi" w:cstheme="minorHAnsi"/>
          <w:b/>
          <w:sz w:val="22"/>
          <w:szCs w:val="22"/>
        </w:rPr>
      </w:pPr>
    </w:p>
    <w:p w14:paraId="75CCBAF5" w14:textId="77777777" w:rsidR="00066D52" w:rsidRPr="00C10500" w:rsidRDefault="00066D52" w:rsidP="00066D52">
      <w:pPr>
        <w:ind w:left="-270" w:right="-157"/>
        <w:jc w:val="both"/>
        <w:rPr>
          <w:rFonts w:asciiTheme="minorHAnsi" w:hAnsiTheme="minorHAnsi" w:cstheme="minorHAnsi"/>
          <w:b/>
          <w:sz w:val="22"/>
          <w:szCs w:val="22"/>
        </w:rPr>
      </w:pPr>
      <w:r w:rsidRPr="00C10500">
        <w:rPr>
          <w:rFonts w:asciiTheme="minorHAnsi" w:hAnsiTheme="minorHAnsi" w:cstheme="minorHAnsi"/>
          <w:b/>
          <w:sz w:val="22"/>
          <w:szCs w:val="22"/>
        </w:rPr>
        <w:t>Πρότυπα συσκευασίας και επισήμανσης</w:t>
      </w:r>
    </w:p>
    <w:p w14:paraId="4A2D3281" w14:textId="77777777" w:rsidR="00066D52" w:rsidRPr="00C10500" w:rsidRDefault="00066D52" w:rsidP="00066D52">
      <w:pPr>
        <w:ind w:left="-450" w:right="141"/>
        <w:jc w:val="both"/>
        <w:rPr>
          <w:rFonts w:asciiTheme="minorHAnsi" w:hAnsiTheme="minorHAnsi" w:cstheme="minorHAnsi"/>
          <w:sz w:val="22"/>
          <w:szCs w:val="22"/>
        </w:rPr>
      </w:pPr>
      <w:r w:rsidRPr="00C10500">
        <w:rPr>
          <w:rFonts w:asciiTheme="minorHAnsi" w:hAnsiTheme="minorHAnsi" w:cstheme="minorHAnsi"/>
          <w:sz w:val="22"/>
          <w:szCs w:val="22"/>
        </w:rPr>
        <w:t>Στη Γερμανία για την επισήμανση τροφίμων και ποτών ισχύουν τα προβλεπόμενα στον Κανονισμό ΕΕ 1169/2011. Μεταξύ άλλων, προβλέπεται η διάκριση μεταξύ υποχρεωτικών και προαιρετικών στοιχείων επισήμανσης στη συσκευασία των προϊόντων. Απαραίτητο είναι τα εν λόγω επισημαινόμενα στοιχεία να είναι μεταφρασμένα στη γερμανική. Για περισσότερες πληροφορίες:</w:t>
      </w:r>
    </w:p>
    <w:p w14:paraId="42F74F1D" w14:textId="77777777" w:rsidR="00066D52" w:rsidRPr="00C10500" w:rsidRDefault="00066D52" w:rsidP="00066D52">
      <w:pPr>
        <w:numPr>
          <w:ilvl w:val="0"/>
          <w:numId w:val="8"/>
        </w:numPr>
        <w:ind w:right="141"/>
        <w:jc w:val="both"/>
        <w:rPr>
          <w:rFonts w:asciiTheme="minorHAnsi" w:hAnsiTheme="minorHAnsi" w:cstheme="minorHAnsi"/>
          <w:sz w:val="22"/>
          <w:szCs w:val="22"/>
        </w:rPr>
      </w:pPr>
      <w:r w:rsidRPr="00C10500">
        <w:rPr>
          <w:rFonts w:asciiTheme="minorHAnsi" w:hAnsiTheme="minorHAnsi" w:cstheme="minorHAnsi"/>
          <w:sz w:val="22"/>
          <w:szCs w:val="22"/>
        </w:rPr>
        <w:t xml:space="preserve">Σε σχέση με τα υποχρεωτικώς επισημαινόμενα στοιχεία: </w:t>
      </w:r>
      <w:hyperlink r:id="rId27" w:history="1">
        <w:r w:rsidRPr="00C10500">
          <w:rPr>
            <w:rStyle w:val="Hyperlink"/>
            <w:rFonts w:asciiTheme="minorHAnsi" w:hAnsiTheme="minorHAnsi" w:cstheme="minorHAnsi"/>
            <w:sz w:val="22"/>
            <w:szCs w:val="22"/>
          </w:rPr>
          <w:t>https://www.bmel.de/DE/themen/ernaehrung/lebensmittel-kennzeichnung/pflichtangaben/lebensmittelkennzeichnung-wichtigsten-vorgaben-lmiv.html</w:t>
        </w:r>
      </w:hyperlink>
    </w:p>
    <w:p w14:paraId="24A2D39E" w14:textId="77777777" w:rsidR="00066D52" w:rsidRPr="00C10500" w:rsidRDefault="00066D52" w:rsidP="00066D52">
      <w:pPr>
        <w:numPr>
          <w:ilvl w:val="0"/>
          <w:numId w:val="8"/>
        </w:numPr>
        <w:ind w:right="141"/>
        <w:jc w:val="both"/>
        <w:rPr>
          <w:rFonts w:asciiTheme="minorHAnsi" w:hAnsiTheme="minorHAnsi" w:cstheme="minorHAnsi"/>
          <w:sz w:val="22"/>
          <w:szCs w:val="22"/>
        </w:rPr>
      </w:pPr>
      <w:r w:rsidRPr="00C10500">
        <w:rPr>
          <w:rFonts w:asciiTheme="minorHAnsi" w:hAnsiTheme="minorHAnsi" w:cstheme="minorHAnsi"/>
          <w:sz w:val="22"/>
          <w:szCs w:val="22"/>
        </w:rPr>
        <w:t xml:space="preserve">Σε σχέση με τα προαιρετικώς επισημαινόμενα στοιχεία: </w:t>
      </w:r>
      <w:hyperlink r:id="rId28" w:history="1">
        <w:r w:rsidRPr="00C10500">
          <w:rPr>
            <w:rStyle w:val="Hyperlink"/>
            <w:rFonts w:asciiTheme="minorHAnsi" w:hAnsiTheme="minorHAnsi" w:cstheme="minorHAnsi"/>
            <w:sz w:val="22"/>
            <w:szCs w:val="22"/>
          </w:rPr>
          <w:t>https://www.bmel.de/DE/themen/ernaehrung/lebensmittel-kennzeichnung/freiwillige-angaben-und-label/freiwillige-angaben-und-label_node.html</w:t>
        </w:r>
      </w:hyperlink>
      <w:r w:rsidRPr="00C10500">
        <w:rPr>
          <w:rFonts w:asciiTheme="minorHAnsi" w:hAnsiTheme="minorHAnsi" w:cstheme="minorHAnsi"/>
          <w:sz w:val="22"/>
          <w:szCs w:val="22"/>
        </w:rPr>
        <w:t>.</w:t>
      </w:r>
    </w:p>
    <w:p w14:paraId="159D2433" w14:textId="77777777" w:rsidR="00066D52" w:rsidRPr="00C10500" w:rsidRDefault="00066D52" w:rsidP="00066D52">
      <w:pPr>
        <w:numPr>
          <w:ilvl w:val="0"/>
          <w:numId w:val="8"/>
        </w:numPr>
        <w:ind w:right="141"/>
        <w:jc w:val="both"/>
        <w:rPr>
          <w:rFonts w:asciiTheme="minorHAnsi" w:hAnsiTheme="minorHAnsi" w:cstheme="minorHAnsi"/>
          <w:sz w:val="22"/>
          <w:szCs w:val="22"/>
        </w:rPr>
      </w:pPr>
      <w:r w:rsidRPr="00C10500">
        <w:rPr>
          <w:rFonts w:asciiTheme="minorHAnsi" w:hAnsiTheme="minorHAnsi" w:cstheme="minorHAnsi"/>
          <w:sz w:val="22"/>
          <w:szCs w:val="22"/>
        </w:rPr>
        <w:lastRenderedPageBreak/>
        <w:t xml:space="preserve">Γενικές πληροφορίες: </w:t>
      </w:r>
      <w:hyperlink r:id="rId29" w:history="1">
        <w:r w:rsidRPr="00C10500">
          <w:rPr>
            <w:rStyle w:val="Hyperlink"/>
            <w:rFonts w:asciiTheme="minorHAnsi" w:hAnsiTheme="minorHAnsi" w:cstheme="minorHAnsi"/>
            <w:sz w:val="22"/>
            <w:szCs w:val="22"/>
          </w:rPr>
          <w:t>https://www.bmel.de/DE/themen/ernaehrung/lebensmittel-kennzeichnung/lebensmittel-kennzeichnung_node.html</w:t>
        </w:r>
      </w:hyperlink>
    </w:p>
    <w:p w14:paraId="48827D29" w14:textId="77777777" w:rsidR="00066D52" w:rsidRPr="00C10500" w:rsidRDefault="00066D52" w:rsidP="00066D52">
      <w:pPr>
        <w:numPr>
          <w:ilvl w:val="0"/>
          <w:numId w:val="8"/>
        </w:numPr>
        <w:ind w:right="141"/>
        <w:jc w:val="both"/>
        <w:rPr>
          <w:rFonts w:asciiTheme="minorHAnsi" w:hAnsiTheme="minorHAnsi" w:cstheme="minorHAnsi"/>
          <w:sz w:val="22"/>
          <w:szCs w:val="22"/>
        </w:rPr>
      </w:pPr>
      <w:r w:rsidRPr="00C10500">
        <w:rPr>
          <w:rFonts w:asciiTheme="minorHAnsi" w:hAnsiTheme="minorHAnsi" w:cstheme="minorHAnsi"/>
          <w:sz w:val="22"/>
          <w:szCs w:val="22"/>
        </w:rPr>
        <w:t xml:space="preserve">Διευκρινίσεις της Ευρωπαϊκής Επιτροπής σε σχέση με τον ως άνω Κανονισμό: </w:t>
      </w:r>
      <w:hyperlink r:id="rId30" w:history="1">
        <w:r w:rsidRPr="00C10500">
          <w:rPr>
            <w:rStyle w:val="Hyperlink"/>
            <w:rFonts w:asciiTheme="minorHAnsi" w:hAnsiTheme="minorHAnsi" w:cstheme="minorHAnsi"/>
            <w:sz w:val="22"/>
            <w:szCs w:val="22"/>
          </w:rPr>
          <w:t>https://eur-lex.europa.eu/legal-content/EL/TXT/?uri=CELEX:52018XC0608(01)</w:t>
        </w:r>
      </w:hyperlink>
      <w:r w:rsidRPr="00C10500">
        <w:rPr>
          <w:rFonts w:asciiTheme="minorHAnsi" w:hAnsiTheme="minorHAnsi" w:cstheme="minorHAnsi"/>
          <w:sz w:val="22"/>
          <w:szCs w:val="22"/>
        </w:rPr>
        <w:t>.</w:t>
      </w:r>
    </w:p>
    <w:p w14:paraId="5108766B" w14:textId="77777777" w:rsidR="00066D52" w:rsidRPr="00C10500" w:rsidRDefault="00066D52" w:rsidP="00066D52">
      <w:pPr>
        <w:numPr>
          <w:ilvl w:val="0"/>
          <w:numId w:val="8"/>
        </w:numPr>
        <w:ind w:right="141"/>
        <w:jc w:val="both"/>
        <w:rPr>
          <w:rFonts w:asciiTheme="minorHAnsi" w:hAnsiTheme="minorHAnsi" w:cstheme="minorHAnsi"/>
          <w:sz w:val="22"/>
          <w:szCs w:val="22"/>
        </w:rPr>
      </w:pPr>
      <w:r w:rsidRPr="00C10500">
        <w:rPr>
          <w:rFonts w:asciiTheme="minorHAnsi" w:hAnsiTheme="minorHAnsi" w:cstheme="minorHAnsi"/>
          <w:sz w:val="22"/>
          <w:szCs w:val="22"/>
        </w:rPr>
        <w:t xml:space="preserve">Σε σχέση με την ποιότητα και τα πρότυπα των συσκευασιών καθ’ εαυτές, βλ. τον γερμανικό Νόμο περί Συσκευασιών, που ενσωματώνει την Οδηγία 94/62/ΕΚ: </w:t>
      </w:r>
      <w:hyperlink r:id="rId31" w:history="1">
        <w:r w:rsidRPr="00C10500">
          <w:rPr>
            <w:rStyle w:val="Hyperlink"/>
            <w:rFonts w:asciiTheme="minorHAnsi" w:hAnsiTheme="minorHAnsi" w:cstheme="minorHAnsi"/>
            <w:sz w:val="22"/>
            <w:szCs w:val="22"/>
          </w:rPr>
          <w:t>https://www.bmuv.de/gesetz/gesetz-ueber-das-inverkehrbringen-die-ruecknahme-und-die-hochwertige-verwertung-von-verpackungen</w:t>
        </w:r>
      </w:hyperlink>
      <w:r w:rsidRPr="00C10500">
        <w:rPr>
          <w:rFonts w:asciiTheme="minorHAnsi" w:hAnsiTheme="minorHAnsi" w:cstheme="minorHAnsi"/>
          <w:sz w:val="22"/>
          <w:szCs w:val="22"/>
        </w:rPr>
        <w:t>&amp;</w:t>
      </w:r>
      <w:hyperlink r:id="rId32" w:history="1">
        <w:r w:rsidRPr="00C10500">
          <w:rPr>
            <w:rStyle w:val="Hyperlink"/>
            <w:rFonts w:asciiTheme="minorHAnsi" w:hAnsiTheme="minorHAnsi" w:cstheme="minorHAnsi"/>
            <w:sz w:val="22"/>
            <w:szCs w:val="22"/>
          </w:rPr>
          <w:t>https://www.gesetze-im-internet.de/verpackg/</w:t>
        </w:r>
      </w:hyperlink>
      <w:r w:rsidRPr="00C10500">
        <w:rPr>
          <w:rFonts w:asciiTheme="minorHAnsi" w:hAnsiTheme="minorHAnsi" w:cstheme="minorHAnsi"/>
          <w:sz w:val="22"/>
          <w:szCs w:val="22"/>
        </w:rPr>
        <w:t xml:space="preserve">. </w:t>
      </w:r>
    </w:p>
    <w:p w14:paraId="4CB3CF9F" w14:textId="77777777" w:rsidR="00066D52" w:rsidRPr="00C10500" w:rsidRDefault="00066D52" w:rsidP="00066D52">
      <w:pPr>
        <w:numPr>
          <w:ilvl w:val="0"/>
          <w:numId w:val="8"/>
        </w:numPr>
        <w:ind w:right="141"/>
        <w:jc w:val="both"/>
        <w:rPr>
          <w:rFonts w:asciiTheme="minorHAnsi" w:hAnsiTheme="minorHAnsi" w:cstheme="minorHAnsi"/>
          <w:sz w:val="22"/>
          <w:szCs w:val="22"/>
        </w:rPr>
      </w:pPr>
      <w:r w:rsidRPr="00C10500">
        <w:rPr>
          <w:rFonts w:asciiTheme="minorHAnsi" w:hAnsiTheme="minorHAnsi" w:cstheme="minorHAnsi"/>
          <w:sz w:val="22"/>
          <w:szCs w:val="22"/>
        </w:rPr>
        <w:t xml:space="preserve">Ειδικά για τα πρότυπα εμπορίας του ελαιολάδου, βλ. τον  </w:t>
      </w:r>
      <w:hyperlink r:id="rId33" w:history="1">
        <w:r w:rsidRPr="00C10500">
          <w:rPr>
            <w:rStyle w:val="Hyperlink"/>
            <w:rFonts w:asciiTheme="minorHAnsi" w:hAnsiTheme="minorHAnsi" w:cstheme="minorHAnsi"/>
            <w:sz w:val="22"/>
            <w:szCs w:val="22"/>
          </w:rPr>
          <w:t>Εκτελεστικό Κανονισμό (ΕΕ) αριθμ. 29/2012 της Επιτροπής</w:t>
        </w:r>
      </w:hyperlink>
      <w:r w:rsidRPr="00C10500">
        <w:rPr>
          <w:rFonts w:asciiTheme="minorHAnsi" w:hAnsiTheme="minorHAnsi" w:cstheme="minorHAnsi"/>
          <w:sz w:val="22"/>
          <w:szCs w:val="22"/>
        </w:rPr>
        <w:t>.</w:t>
      </w:r>
    </w:p>
    <w:p w14:paraId="2930DE0E" w14:textId="77777777" w:rsidR="00066D52" w:rsidRPr="00C10500" w:rsidRDefault="00066D52" w:rsidP="00066D52">
      <w:pPr>
        <w:numPr>
          <w:ilvl w:val="0"/>
          <w:numId w:val="8"/>
        </w:numPr>
        <w:ind w:right="141"/>
        <w:jc w:val="both"/>
        <w:rPr>
          <w:rFonts w:asciiTheme="minorHAnsi" w:hAnsiTheme="minorHAnsi" w:cstheme="minorHAnsi"/>
          <w:sz w:val="22"/>
          <w:szCs w:val="22"/>
        </w:rPr>
      </w:pPr>
      <w:r w:rsidRPr="00C10500">
        <w:rPr>
          <w:rFonts w:asciiTheme="minorHAnsi" w:hAnsiTheme="minorHAnsi" w:cstheme="minorHAnsi"/>
          <w:sz w:val="22"/>
          <w:szCs w:val="22"/>
        </w:rPr>
        <w:t xml:space="preserve">Ειδική επιτροπή </w:t>
      </w:r>
      <w:hyperlink r:id="rId34" w:history="1">
        <w:r w:rsidRPr="00C10500">
          <w:rPr>
            <w:rStyle w:val="Hyperlink"/>
            <w:rFonts w:asciiTheme="minorHAnsi" w:hAnsiTheme="minorHAnsi" w:cstheme="minorHAnsi"/>
            <w:sz w:val="22"/>
            <w:szCs w:val="22"/>
          </w:rPr>
          <w:t>(</w:t>
        </w:r>
        <w:r w:rsidRPr="00C10500">
          <w:rPr>
            <w:rStyle w:val="Hyperlink"/>
            <w:rFonts w:asciiTheme="minorHAnsi" w:hAnsiTheme="minorHAnsi" w:cstheme="minorHAnsi"/>
            <w:sz w:val="22"/>
            <w:szCs w:val="22"/>
            <w:lang w:val="en-US"/>
          </w:rPr>
          <w:t>DLMBK</w:t>
        </w:r>
      </w:hyperlink>
      <w:r w:rsidRPr="00C10500">
        <w:rPr>
          <w:rFonts w:asciiTheme="minorHAnsi" w:hAnsiTheme="minorHAnsi" w:cstheme="minorHAnsi"/>
          <w:sz w:val="22"/>
          <w:szCs w:val="22"/>
        </w:rPr>
        <w:t>) εκδίδει πρόσθετες «κατευθυντήριες οδηγίες» για την ποιότητα των διακινούμενων ανά κατηγορία τροφίμων. Ειδικά, για τις «Κατευθυντήριες Αρχές για τα βρώσιμα έλαια, βλ.:</w:t>
      </w:r>
    </w:p>
    <w:p w14:paraId="52C38A03" w14:textId="77777777" w:rsidR="00066D52" w:rsidRPr="00C10500" w:rsidRDefault="00A51BE9" w:rsidP="00066D52">
      <w:pPr>
        <w:ind w:left="-90" w:right="141"/>
        <w:jc w:val="both"/>
        <w:rPr>
          <w:rFonts w:asciiTheme="minorHAnsi" w:hAnsiTheme="minorHAnsi" w:cstheme="minorHAnsi"/>
          <w:sz w:val="22"/>
          <w:szCs w:val="22"/>
        </w:rPr>
      </w:pPr>
      <w:hyperlink r:id="rId35" w:history="1">
        <w:r w:rsidR="00066D52" w:rsidRPr="00C10500">
          <w:rPr>
            <w:rStyle w:val="Hyperlink"/>
            <w:rFonts w:asciiTheme="minorHAnsi" w:hAnsiTheme="minorHAnsi" w:cstheme="minorHAnsi"/>
            <w:sz w:val="22"/>
            <w:szCs w:val="22"/>
          </w:rPr>
          <w:t>https://www.deutsche-lebensmittelbuch-kommission.de/fileadmin/Dokumente/neufassung_leitsaetze_fuer_speisefette_und_speiseoele_bekanntmachung_vom_02-07-2020_ev_26-08-2020.pdf</w:t>
        </w:r>
      </w:hyperlink>
      <w:r w:rsidR="00066D52" w:rsidRPr="00C10500">
        <w:rPr>
          <w:rFonts w:asciiTheme="minorHAnsi" w:hAnsiTheme="minorHAnsi" w:cstheme="minorHAnsi"/>
          <w:sz w:val="22"/>
          <w:szCs w:val="22"/>
        </w:rPr>
        <w:t>.</w:t>
      </w:r>
    </w:p>
    <w:p w14:paraId="32928782" w14:textId="77777777" w:rsidR="00066D52" w:rsidRPr="00C10500" w:rsidRDefault="00066D52" w:rsidP="00066D52">
      <w:pPr>
        <w:ind w:right="141"/>
        <w:jc w:val="both"/>
        <w:rPr>
          <w:rFonts w:asciiTheme="minorHAnsi" w:hAnsiTheme="minorHAnsi" w:cstheme="minorHAnsi"/>
          <w:b/>
          <w:sz w:val="22"/>
          <w:szCs w:val="22"/>
        </w:rPr>
      </w:pPr>
    </w:p>
    <w:p w14:paraId="3A6547B7" w14:textId="77777777" w:rsidR="00066D52" w:rsidRPr="00C10500" w:rsidRDefault="00066D52" w:rsidP="00066D52">
      <w:pPr>
        <w:ind w:left="-426" w:right="141"/>
        <w:jc w:val="both"/>
        <w:rPr>
          <w:rFonts w:asciiTheme="minorHAnsi" w:hAnsiTheme="minorHAnsi" w:cstheme="minorHAnsi"/>
          <w:sz w:val="22"/>
          <w:szCs w:val="22"/>
        </w:rPr>
      </w:pPr>
      <w:r w:rsidRPr="00C10500">
        <w:rPr>
          <w:rFonts w:asciiTheme="minorHAnsi" w:hAnsiTheme="minorHAnsi" w:cstheme="minorHAnsi"/>
          <w:sz w:val="22"/>
          <w:szCs w:val="22"/>
        </w:rPr>
        <w:t xml:space="preserve">Πλείονες πληροφορίες για το επιχειρηματικό περιβάλλον στη Γερμανία προσφέρει η διαδικτυακή πύλη </w:t>
      </w:r>
      <w:r w:rsidRPr="00C10500">
        <w:rPr>
          <w:rFonts w:asciiTheme="minorHAnsi" w:hAnsiTheme="minorHAnsi" w:cstheme="minorHAnsi"/>
          <w:bCs/>
          <w:sz w:val="22"/>
          <w:szCs w:val="22"/>
        </w:rPr>
        <w:t xml:space="preserve">http: </w:t>
      </w:r>
      <w:hyperlink r:id="rId36" w:history="1">
        <w:r w:rsidRPr="00C10500">
          <w:rPr>
            <w:rStyle w:val="Hyperlink"/>
            <w:rFonts w:asciiTheme="minorHAnsi" w:hAnsiTheme="minorHAnsi" w:cstheme="minorHAnsi"/>
            <w:sz w:val="22"/>
            <w:szCs w:val="22"/>
          </w:rPr>
          <w:t>https://www.gtai-exportguide.de/de?ix=1</w:t>
        </w:r>
      </w:hyperlink>
      <w:r w:rsidRPr="00C10500">
        <w:rPr>
          <w:rFonts w:asciiTheme="minorHAnsi" w:hAnsiTheme="minorHAnsi" w:cstheme="minorHAnsi"/>
          <w:sz w:val="22"/>
          <w:szCs w:val="22"/>
        </w:rPr>
        <w:t xml:space="preserve">, ενώ στοιχεία για τη γερμανική αγορά, τα οποία επικαιροποιούνται διαρκώς, προσφέρει η ιστοσελίδα του Γραφείου ΟΕΥ Βερολίνου </w:t>
      </w:r>
      <w:hyperlink r:id="rId37" w:history="1">
        <w:r w:rsidRPr="00C10500">
          <w:rPr>
            <w:rStyle w:val="Hyperlink"/>
            <w:rFonts w:asciiTheme="minorHAnsi" w:hAnsiTheme="minorHAnsi" w:cstheme="minorHAnsi"/>
            <w:sz w:val="22"/>
            <w:szCs w:val="22"/>
          </w:rPr>
          <w:t>http://www.agora.mfa.gr/ta-grafeia-oikonomikon-emporikon-upotheseon/grafeia-ana-xora/office/823</w:t>
        </w:r>
      </w:hyperlink>
      <w:r w:rsidRPr="00C10500">
        <w:rPr>
          <w:rFonts w:asciiTheme="minorHAnsi" w:hAnsiTheme="minorHAnsi" w:cstheme="minorHAnsi"/>
          <w:sz w:val="22"/>
          <w:szCs w:val="22"/>
        </w:rPr>
        <w:t xml:space="preserve"> και ο αναρτημένος σε αυτή Επιχειρηματικός Οδηγός (</w:t>
      </w:r>
      <w:r w:rsidRPr="00C10500">
        <w:rPr>
          <w:rFonts w:asciiTheme="minorHAnsi" w:hAnsiTheme="minorHAnsi" w:cstheme="minorHAnsi"/>
          <w:sz w:val="22"/>
          <w:szCs w:val="22"/>
          <w:lang w:val="de-DE"/>
        </w:rPr>
        <w:t>DoingBusiness</w:t>
      </w:r>
      <w:r w:rsidRPr="00C10500">
        <w:rPr>
          <w:rFonts w:asciiTheme="minorHAnsi" w:hAnsiTheme="minorHAnsi" w:cstheme="minorHAnsi"/>
          <w:sz w:val="22"/>
          <w:szCs w:val="22"/>
        </w:rPr>
        <w:t xml:space="preserve">) για την αγορά της Γερμανίας </w:t>
      </w:r>
      <w:hyperlink r:id="rId38" w:history="1">
        <w:r w:rsidRPr="00C10500">
          <w:rPr>
            <w:rStyle w:val="Hyperlink"/>
            <w:rFonts w:asciiTheme="minorHAnsi" w:hAnsiTheme="minorHAnsi" w:cstheme="minorHAnsi"/>
            <w:sz w:val="22"/>
            <w:szCs w:val="22"/>
          </w:rPr>
          <w:t>https://agora.mfa.gr/ta-grafeia-oikonomikon-emporikon-upotheseon/infofile/81711</w:t>
        </w:r>
      </w:hyperlink>
      <w:r w:rsidRPr="00C10500">
        <w:rPr>
          <w:rFonts w:asciiTheme="minorHAnsi" w:hAnsiTheme="minorHAnsi" w:cstheme="minorHAnsi"/>
          <w:sz w:val="22"/>
          <w:szCs w:val="22"/>
        </w:rPr>
        <w:t>.</w:t>
      </w:r>
    </w:p>
    <w:p w14:paraId="5A7D07E1" w14:textId="77777777" w:rsidR="00066D52" w:rsidRPr="00C10500" w:rsidRDefault="00066D52" w:rsidP="00066D52">
      <w:pPr>
        <w:ind w:left="-426" w:right="141"/>
        <w:jc w:val="both"/>
        <w:rPr>
          <w:rFonts w:asciiTheme="minorHAnsi" w:hAnsiTheme="minorHAnsi" w:cstheme="minorHAnsi"/>
          <w:sz w:val="22"/>
          <w:szCs w:val="22"/>
        </w:rPr>
      </w:pPr>
    </w:p>
    <w:p w14:paraId="09A418C2" w14:textId="77777777" w:rsidR="00066D52" w:rsidRPr="00C10500" w:rsidRDefault="00066D52" w:rsidP="00066D52">
      <w:pPr>
        <w:spacing w:before="60" w:after="120"/>
        <w:ind w:left="-426"/>
        <w:jc w:val="both"/>
        <w:rPr>
          <w:rFonts w:asciiTheme="minorHAnsi" w:hAnsiTheme="minorHAnsi" w:cstheme="minorHAnsi"/>
          <w:sz w:val="22"/>
          <w:szCs w:val="22"/>
        </w:rPr>
      </w:pPr>
      <w:r w:rsidRPr="00C10500">
        <w:rPr>
          <w:rFonts w:asciiTheme="minorHAnsi" w:hAnsiTheme="minorHAnsi" w:cstheme="minorHAnsi"/>
          <w:sz w:val="22"/>
          <w:szCs w:val="22"/>
        </w:rPr>
        <w:t>Το Γραφείο μας παραμένει στη διάθεσή σας για οποιαδήποτε άλλη πληροφορία και υποστήριξη των ενεργειών σας.</w:t>
      </w:r>
    </w:p>
    <w:p w14:paraId="082DBE2C" w14:textId="77777777" w:rsidR="007A5225" w:rsidRPr="00CF6B8A" w:rsidRDefault="007A5225" w:rsidP="00A90873">
      <w:pPr>
        <w:spacing w:before="60" w:after="120"/>
        <w:ind w:left="-426"/>
        <w:jc w:val="both"/>
        <w:rPr>
          <w:rFonts w:asciiTheme="minorHAnsi" w:hAnsiTheme="minorHAnsi" w:cstheme="minorHAnsi"/>
          <w:sz w:val="22"/>
          <w:szCs w:val="22"/>
        </w:rPr>
      </w:pPr>
    </w:p>
    <w:tbl>
      <w:tblPr>
        <w:tblW w:w="0" w:type="auto"/>
        <w:tblLook w:val="04A0" w:firstRow="1" w:lastRow="0" w:firstColumn="1" w:lastColumn="0" w:noHBand="0" w:noVBand="1"/>
      </w:tblPr>
      <w:tblGrid>
        <w:gridCol w:w="4489"/>
        <w:gridCol w:w="4534"/>
      </w:tblGrid>
      <w:tr w:rsidR="00B6379B" w:rsidRPr="00CF6B8A" w14:paraId="4DB751A7" w14:textId="77777777" w:rsidTr="00B571C3">
        <w:tc>
          <w:tcPr>
            <w:tcW w:w="4615" w:type="dxa"/>
          </w:tcPr>
          <w:p w14:paraId="5DE55894" w14:textId="77777777" w:rsidR="00B6379B" w:rsidRPr="00CF6B8A" w:rsidRDefault="00B6379B" w:rsidP="00900840">
            <w:pPr>
              <w:pStyle w:val="Header"/>
              <w:tabs>
                <w:tab w:val="left" w:pos="990"/>
              </w:tabs>
              <w:jc w:val="center"/>
              <w:rPr>
                <w:rFonts w:asciiTheme="minorHAnsi" w:hAnsiTheme="minorHAnsi" w:cstheme="minorHAnsi"/>
                <w:sz w:val="22"/>
                <w:szCs w:val="22"/>
              </w:rPr>
            </w:pPr>
          </w:p>
        </w:tc>
        <w:tc>
          <w:tcPr>
            <w:tcW w:w="4624" w:type="dxa"/>
          </w:tcPr>
          <w:p w14:paraId="42840141" w14:textId="77777777" w:rsidR="002472C0" w:rsidRPr="00CF6B8A" w:rsidRDefault="00615459" w:rsidP="002472C0">
            <w:pPr>
              <w:pStyle w:val="Header"/>
              <w:tabs>
                <w:tab w:val="left" w:pos="875"/>
              </w:tabs>
              <w:jc w:val="center"/>
              <w:rPr>
                <w:rFonts w:asciiTheme="minorHAnsi" w:hAnsiTheme="minorHAnsi" w:cstheme="minorHAnsi"/>
                <w:sz w:val="22"/>
                <w:szCs w:val="22"/>
              </w:rPr>
            </w:pPr>
            <w:r w:rsidRPr="00CF6B8A">
              <w:rPr>
                <w:rFonts w:asciiTheme="minorHAnsi" w:hAnsiTheme="minorHAnsi" w:cstheme="minorHAnsi"/>
                <w:sz w:val="22"/>
                <w:szCs w:val="22"/>
              </w:rPr>
              <w:t>Ο Προϊστάμενος</w:t>
            </w:r>
          </w:p>
          <w:p w14:paraId="5D30EC22" w14:textId="77777777" w:rsidR="00615459" w:rsidRPr="00CF6B8A" w:rsidRDefault="00615459" w:rsidP="00A90873">
            <w:pPr>
              <w:pStyle w:val="Header"/>
              <w:tabs>
                <w:tab w:val="left" w:pos="990"/>
              </w:tabs>
              <w:rPr>
                <w:rFonts w:asciiTheme="minorHAnsi" w:hAnsiTheme="minorHAnsi" w:cstheme="minorHAnsi"/>
                <w:sz w:val="22"/>
                <w:szCs w:val="22"/>
              </w:rPr>
            </w:pPr>
          </w:p>
          <w:p w14:paraId="38DFC62B" w14:textId="77777777" w:rsidR="001E2C83" w:rsidRPr="00CF6B8A" w:rsidRDefault="001E2C83" w:rsidP="00900840">
            <w:pPr>
              <w:pStyle w:val="Header"/>
              <w:tabs>
                <w:tab w:val="left" w:pos="990"/>
              </w:tabs>
              <w:jc w:val="center"/>
              <w:rPr>
                <w:rFonts w:asciiTheme="minorHAnsi" w:hAnsiTheme="minorHAnsi" w:cstheme="minorHAnsi"/>
                <w:sz w:val="22"/>
                <w:szCs w:val="22"/>
              </w:rPr>
            </w:pPr>
          </w:p>
          <w:p w14:paraId="7BC23616" w14:textId="77777777" w:rsidR="00A90873" w:rsidRPr="00CF6B8A" w:rsidRDefault="00A90873" w:rsidP="00900840">
            <w:pPr>
              <w:pStyle w:val="Header"/>
              <w:tabs>
                <w:tab w:val="left" w:pos="990"/>
              </w:tabs>
              <w:jc w:val="center"/>
              <w:rPr>
                <w:rFonts w:asciiTheme="minorHAnsi" w:hAnsiTheme="minorHAnsi" w:cstheme="minorHAnsi"/>
                <w:sz w:val="22"/>
                <w:szCs w:val="22"/>
              </w:rPr>
            </w:pPr>
          </w:p>
          <w:p w14:paraId="64A1DB5B" w14:textId="77777777" w:rsidR="00615459" w:rsidRPr="00CF6B8A" w:rsidRDefault="005658AD" w:rsidP="00900840">
            <w:pPr>
              <w:pStyle w:val="Header"/>
              <w:tabs>
                <w:tab w:val="left" w:pos="990"/>
              </w:tabs>
              <w:jc w:val="center"/>
              <w:rPr>
                <w:rFonts w:asciiTheme="minorHAnsi" w:hAnsiTheme="minorHAnsi" w:cstheme="minorHAnsi"/>
                <w:sz w:val="22"/>
                <w:szCs w:val="22"/>
              </w:rPr>
            </w:pPr>
            <w:r w:rsidRPr="00CF6B8A">
              <w:rPr>
                <w:rFonts w:asciiTheme="minorHAnsi" w:hAnsiTheme="minorHAnsi" w:cstheme="minorHAnsi"/>
                <w:sz w:val="22"/>
                <w:szCs w:val="22"/>
              </w:rPr>
              <w:t>Θεόδωρος Ξυπολιάς</w:t>
            </w:r>
          </w:p>
          <w:p w14:paraId="30692B85" w14:textId="0ACE16EA" w:rsidR="00267B3F" w:rsidRPr="00CF6B8A" w:rsidRDefault="005658AD" w:rsidP="00900840">
            <w:pPr>
              <w:ind w:right="-108"/>
              <w:jc w:val="center"/>
              <w:rPr>
                <w:rFonts w:asciiTheme="minorHAnsi" w:hAnsiTheme="minorHAnsi" w:cstheme="minorHAnsi"/>
                <w:sz w:val="22"/>
                <w:szCs w:val="22"/>
              </w:rPr>
            </w:pPr>
            <w:r w:rsidRPr="00CF6B8A">
              <w:rPr>
                <w:rFonts w:asciiTheme="minorHAnsi" w:hAnsiTheme="minorHAnsi" w:cstheme="minorHAnsi"/>
                <w:sz w:val="22"/>
                <w:szCs w:val="22"/>
              </w:rPr>
              <w:t xml:space="preserve">Γεν. </w:t>
            </w:r>
            <w:r w:rsidR="001E2C83" w:rsidRPr="00CF6B8A">
              <w:rPr>
                <w:rFonts w:asciiTheme="minorHAnsi" w:hAnsiTheme="minorHAnsi" w:cstheme="minorHAnsi"/>
                <w:sz w:val="22"/>
                <w:szCs w:val="22"/>
              </w:rPr>
              <w:t>Σύμβουλος</w:t>
            </w:r>
            <w:r w:rsidR="00615459" w:rsidRPr="00CF6B8A">
              <w:rPr>
                <w:rFonts w:asciiTheme="minorHAnsi" w:hAnsiTheme="minorHAnsi" w:cstheme="minorHAnsi"/>
                <w:sz w:val="22"/>
                <w:szCs w:val="22"/>
              </w:rPr>
              <w:t xml:space="preserve"> ΟΕΥ </w:t>
            </w:r>
            <w:r w:rsidR="00E72C25">
              <w:rPr>
                <w:rFonts w:asciiTheme="minorHAnsi" w:hAnsiTheme="minorHAnsi" w:cstheme="minorHAnsi"/>
                <w:sz w:val="22"/>
                <w:szCs w:val="22"/>
              </w:rPr>
              <w:t>Α</w:t>
            </w:r>
            <w:r w:rsidR="00615459" w:rsidRPr="00CF6B8A">
              <w:rPr>
                <w:rFonts w:asciiTheme="minorHAnsi" w:hAnsiTheme="minorHAnsi" w:cstheme="minorHAnsi"/>
                <w:sz w:val="22"/>
                <w:szCs w:val="22"/>
              </w:rPr>
              <w:t>΄</w:t>
            </w:r>
          </w:p>
        </w:tc>
      </w:tr>
    </w:tbl>
    <w:p w14:paraId="0CC44053" w14:textId="1B278511" w:rsidR="002E59D9" w:rsidRPr="00CF6B8A" w:rsidRDefault="00C63218" w:rsidP="00E72C25">
      <w:pPr>
        <w:pStyle w:val="Header"/>
        <w:tabs>
          <w:tab w:val="left" w:pos="990"/>
        </w:tabs>
        <w:rPr>
          <w:rFonts w:asciiTheme="minorHAnsi" w:hAnsiTheme="minorHAnsi" w:cstheme="minorHAnsi"/>
          <w:sz w:val="22"/>
          <w:szCs w:val="22"/>
        </w:rPr>
      </w:pPr>
      <w:r w:rsidRPr="00CF6B8A">
        <w:rPr>
          <w:rFonts w:asciiTheme="minorHAnsi" w:hAnsiTheme="minorHAnsi" w:cstheme="minorHAnsi"/>
          <w:noProof/>
          <w:sz w:val="22"/>
          <w:szCs w:val="22"/>
        </w:rPr>
        <mc:AlternateContent>
          <mc:Choice Requires="wps">
            <w:drawing>
              <wp:anchor distT="0" distB="0" distL="114300" distR="114300" simplePos="0" relativeHeight="251657728" behindDoc="0" locked="1" layoutInCell="1" allowOverlap="1" wp14:anchorId="5AA95CCA" wp14:editId="6CC34B2A">
                <wp:simplePos x="0" y="0"/>
                <wp:positionH relativeFrom="character">
                  <wp:posOffset>0</wp:posOffset>
                </wp:positionH>
                <wp:positionV relativeFrom="line">
                  <wp:posOffset>0</wp:posOffset>
                </wp:positionV>
                <wp:extent cx="301625" cy="301625"/>
                <wp:effectExtent l="0" t="0" r="0" b="0"/>
                <wp:wrapNone/>
                <wp:docPr id="5" name="AutoShape 1" descr="https://www.campo-verde.de/wp-content/themes/campo-verde/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8BB35" id="AutoShape 1" o:spid="_x0000_s1026" alt="https://www.campo-verde.de/wp-content/themes/campo-verde/img/logo.svg" style="position:absolute;margin-left:0;margin-top:0;width:23.75pt;height:23.7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HYC&#10;m6EWAgAAEgQAAA4AAAAAAAAAAAAAAAAALgIAAGRycy9lMm9Eb2MueG1sUEsBAi0AFAAGAAgAAAAh&#10;AGg2l2jaAAAAAwEAAA8AAAAAAAAAAAAAAAAAcAQAAGRycy9kb3ducmV2LnhtbFBLBQYAAAAABAAE&#10;APMAAAB3BQAAAAA=&#10;" filled="f" stroked="f">
                <o:lock v:ext="edit" aspectratio="t"/>
                <w10:wrap anchory="line"/>
                <w10:anchorlock/>
              </v:rect>
            </w:pict>
          </mc:Fallback>
        </mc:AlternateContent>
      </w:r>
    </w:p>
    <w:sectPr w:rsidR="002E59D9" w:rsidRPr="00CF6B8A" w:rsidSect="00673B59">
      <w:footerReference w:type="default" r:id="rId39"/>
      <w:pgSz w:w="11906" w:h="16838"/>
      <w:pgMar w:top="709" w:right="1466" w:bottom="1134" w:left="1417" w:header="708"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C752" w14:textId="77777777" w:rsidR="00A92748" w:rsidRDefault="00A92748" w:rsidP="00A50658">
      <w:r>
        <w:separator/>
      </w:r>
    </w:p>
  </w:endnote>
  <w:endnote w:type="continuationSeparator" w:id="0">
    <w:p w14:paraId="489F084A" w14:textId="77777777" w:rsidR="00A92748" w:rsidRDefault="00A92748" w:rsidP="00A5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DC8A" w14:textId="77777777" w:rsidR="00A92748" w:rsidRPr="003479BE" w:rsidRDefault="00A92748" w:rsidP="009D652D">
    <w:pPr>
      <w:pStyle w:val="Footer"/>
      <w:pBdr>
        <w:top w:val="single" w:sz="4" w:space="1" w:color="D9D9D9"/>
      </w:pBdr>
      <w:jc w:val="center"/>
      <w:rPr>
        <w:sz w:val="18"/>
        <w:szCs w:val="18"/>
        <w:lang w:val="de-DE"/>
      </w:rPr>
    </w:pPr>
    <w:r>
      <w:rPr>
        <w:i/>
        <w:sz w:val="18"/>
        <w:szCs w:val="18"/>
        <w:lang w:val="de-DE"/>
      </w:rPr>
      <w:t>Hiroshima Str. 11-15, D-10785, Berlin, T</w:t>
    </w:r>
    <w:r>
      <w:rPr>
        <w:i/>
        <w:sz w:val="18"/>
        <w:szCs w:val="18"/>
      </w:rPr>
      <w:t>ηλ</w:t>
    </w:r>
    <w:r>
      <w:rPr>
        <w:i/>
        <w:sz w:val="18"/>
        <w:szCs w:val="18"/>
        <w:lang w:val="de-DE"/>
      </w:rPr>
      <w:t>.</w:t>
    </w:r>
    <w:r w:rsidRPr="003479BE">
      <w:rPr>
        <w:i/>
        <w:sz w:val="18"/>
        <w:szCs w:val="18"/>
        <w:lang w:val="de-DE"/>
      </w:rPr>
      <w:t>:+49 (0</w:t>
    </w:r>
    <w:r w:rsidRPr="009D652D">
      <w:rPr>
        <w:i/>
        <w:sz w:val="18"/>
        <w:szCs w:val="18"/>
        <w:lang w:val="de-DE"/>
      </w:rPr>
      <w:t xml:space="preserve">) </w:t>
    </w:r>
    <w:r>
      <w:rPr>
        <w:i/>
        <w:sz w:val="18"/>
        <w:szCs w:val="18"/>
        <w:lang w:val="de-DE"/>
      </w:rPr>
      <w:t>208 387 131</w:t>
    </w:r>
    <w:r w:rsidRPr="00081AEA">
      <w:rPr>
        <w:i/>
        <w:sz w:val="18"/>
        <w:szCs w:val="18"/>
        <w:lang w:val="de-DE"/>
      </w:rPr>
      <w:t xml:space="preserve">, </w:t>
    </w:r>
    <w:r w:rsidRPr="003479BE">
      <w:rPr>
        <w:i/>
        <w:sz w:val="18"/>
        <w:szCs w:val="18"/>
        <w:lang w:val="de-DE"/>
      </w:rPr>
      <w:t xml:space="preserve">E-mail: </w:t>
    </w:r>
    <w:hyperlink r:id="rId1" w:history="1">
      <w:r w:rsidRPr="003479BE">
        <w:rPr>
          <w:rStyle w:val="Hyperlink"/>
          <w:i/>
          <w:sz w:val="18"/>
          <w:szCs w:val="18"/>
          <w:lang w:val="de-DE"/>
        </w:rPr>
        <w:t>ecocom-berlin@mfa.gr</w:t>
      </w:r>
    </w:hyperlink>
    <w:r w:rsidR="002B533E" w:rsidRPr="003479BE">
      <w:rPr>
        <w:sz w:val="18"/>
        <w:szCs w:val="18"/>
      </w:rPr>
      <w:fldChar w:fldCharType="begin"/>
    </w:r>
    <w:r w:rsidRPr="003479BE">
      <w:rPr>
        <w:sz w:val="18"/>
        <w:szCs w:val="18"/>
        <w:lang w:val="de-DE"/>
      </w:rPr>
      <w:instrText xml:space="preserve"> PAGE   \* MERGEFORMAT </w:instrText>
    </w:r>
    <w:r w:rsidR="002B533E" w:rsidRPr="003479BE">
      <w:rPr>
        <w:sz w:val="18"/>
        <w:szCs w:val="18"/>
      </w:rPr>
      <w:fldChar w:fldCharType="separate"/>
    </w:r>
    <w:r w:rsidR="00063598">
      <w:rPr>
        <w:noProof/>
        <w:sz w:val="18"/>
        <w:szCs w:val="18"/>
        <w:lang w:val="de-DE"/>
      </w:rPr>
      <w:t>5</w:t>
    </w:r>
    <w:r w:rsidR="002B533E" w:rsidRPr="003479BE">
      <w:rPr>
        <w:sz w:val="18"/>
        <w:szCs w:val="18"/>
      </w:rPr>
      <w:fldChar w:fldCharType="end"/>
    </w:r>
    <w:r w:rsidRPr="003479BE">
      <w:rPr>
        <w:sz w:val="18"/>
        <w:szCs w:val="18"/>
        <w:lang w:val="de-DE"/>
      </w:rPr>
      <w:t xml:space="preserve"> | </w:t>
    </w:r>
    <w:r w:rsidRPr="003479BE">
      <w:rPr>
        <w:sz w:val="18"/>
        <w:szCs w:val="18"/>
      </w:rPr>
      <w:t>σελ</w:t>
    </w:r>
    <w:r w:rsidRPr="003479BE">
      <w:rPr>
        <w:sz w:val="18"/>
        <w:szCs w:val="18"/>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969D" w14:textId="77777777" w:rsidR="00A92748" w:rsidRDefault="00A92748" w:rsidP="00A50658">
      <w:r>
        <w:separator/>
      </w:r>
    </w:p>
  </w:footnote>
  <w:footnote w:type="continuationSeparator" w:id="0">
    <w:p w14:paraId="4C41D102" w14:textId="77777777" w:rsidR="00A92748" w:rsidRDefault="00A92748" w:rsidP="00A50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67D"/>
    <w:multiLevelType w:val="hybridMultilevel"/>
    <w:tmpl w:val="264C9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3B56DD"/>
    <w:multiLevelType w:val="hybridMultilevel"/>
    <w:tmpl w:val="5838C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FB05BE"/>
    <w:multiLevelType w:val="hybridMultilevel"/>
    <w:tmpl w:val="8A764514"/>
    <w:lvl w:ilvl="0" w:tplc="7B421F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B5DBC"/>
    <w:multiLevelType w:val="hybridMultilevel"/>
    <w:tmpl w:val="DDEA1538"/>
    <w:lvl w:ilvl="0" w:tplc="383A6D4E">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36A636D2"/>
    <w:multiLevelType w:val="hybridMultilevel"/>
    <w:tmpl w:val="9C643544"/>
    <w:lvl w:ilvl="0" w:tplc="1000000F">
      <w:start w:val="1"/>
      <w:numFmt w:val="decimal"/>
      <w:lvlText w:val="%1."/>
      <w:lvlJc w:val="left"/>
      <w:pPr>
        <w:ind w:left="1170" w:hanging="360"/>
      </w:pPr>
    </w:lvl>
    <w:lvl w:ilvl="1" w:tplc="10000019" w:tentative="1">
      <w:start w:val="1"/>
      <w:numFmt w:val="lowerLetter"/>
      <w:lvlText w:val="%2."/>
      <w:lvlJc w:val="left"/>
      <w:pPr>
        <w:ind w:left="1890" w:hanging="360"/>
      </w:pPr>
    </w:lvl>
    <w:lvl w:ilvl="2" w:tplc="1000001B" w:tentative="1">
      <w:start w:val="1"/>
      <w:numFmt w:val="lowerRoman"/>
      <w:lvlText w:val="%3."/>
      <w:lvlJc w:val="right"/>
      <w:pPr>
        <w:ind w:left="2610" w:hanging="180"/>
      </w:pPr>
    </w:lvl>
    <w:lvl w:ilvl="3" w:tplc="1000000F" w:tentative="1">
      <w:start w:val="1"/>
      <w:numFmt w:val="decimal"/>
      <w:lvlText w:val="%4."/>
      <w:lvlJc w:val="left"/>
      <w:pPr>
        <w:ind w:left="3330" w:hanging="360"/>
      </w:pPr>
    </w:lvl>
    <w:lvl w:ilvl="4" w:tplc="10000019" w:tentative="1">
      <w:start w:val="1"/>
      <w:numFmt w:val="lowerLetter"/>
      <w:lvlText w:val="%5."/>
      <w:lvlJc w:val="left"/>
      <w:pPr>
        <w:ind w:left="4050" w:hanging="360"/>
      </w:pPr>
    </w:lvl>
    <w:lvl w:ilvl="5" w:tplc="1000001B" w:tentative="1">
      <w:start w:val="1"/>
      <w:numFmt w:val="lowerRoman"/>
      <w:lvlText w:val="%6."/>
      <w:lvlJc w:val="right"/>
      <w:pPr>
        <w:ind w:left="4770" w:hanging="180"/>
      </w:pPr>
    </w:lvl>
    <w:lvl w:ilvl="6" w:tplc="1000000F" w:tentative="1">
      <w:start w:val="1"/>
      <w:numFmt w:val="decimal"/>
      <w:lvlText w:val="%7."/>
      <w:lvlJc w:val="left"/>
      <w:pPr>
        <w:ind w:left="5490" w:hanging="360"/>
      </w:pPr>
    </w:lvl>
    <w:lvl w:ilvl="7" w:tplc="10000019" w:tentative="1">
      <w:start w:val="1"/>
      <w:numFmt w:val="lowerLetter"/>
      <w:lvlText w:val="%8."/>
      <w:lvlJc w:val="left"/>
      <w:pPr>
        <w:ind w:left="6210" w:hanging="360"/>
      </w:pPr>
    </w:lvl>
    <w:lvl w:ilvl="8" w:tplc="1000001B" w:tentative="1">
      <w:start w:val="1"/>
      <w:numFmt w:val="lowerRoman"/>
      <w:lvlText w:val="%9."/>
      <w:lvlJc w:val="right"/>
      <w:pPr>
        <w:ind w:left="6930" w:hanging="180"/>
      </w:pPr>
    </w:lvl>
  </w:abstractNum>
  <w:abstractNum w:abstractNumId="5" w15:restartNumberingAfterBreak="0">
    <w:nsid w:val="384B4DB4"/>
    <w:multiLevelType w:val="hybridMultilevel"/>
    <w:tmpl w:val="77F8BFB6"/>
    <w:lvl w:ilvl="0" w:tplc="964EC9E2">
      <w:start w:val="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52DB71E0"/>
    <w:multiLevelType w:val="hybridMultilevel"/>
    <w:tmpl w:val="88629F38"/>
    <w:lvl w:ilvl="0" w:tplc="964EC9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C6E14"/>
    <w:multiLevelType w:val="hybridMultilevel"/>
    <w:tmpl w:val="A69658D2"/>
    <w:lvl w:ilvl="0" w:tplc="D15AFDC8">
      <w:numFmt w:val="bullet"/>
      <w:lvlText w:val="-"/>
      <w:lvlJc w:val="left"/>
      <w:pPr>
        <w:ind w:left="-90" w:hanging="360"/>
      </w:pPr>
      <w:rPr>
        <w:rFonts w:ascii="Times New Roman" w:eastAsia="Times New Roman" w:hAnsi="Times New Roman" w:cs="Times New Roman" w:hint="default"/>
      </w:rPr>
    </w:lvl>
    <w:lvl w:ilvl="1" w:tplc="04080003" w:tentative="1">
      <w:start w:val="1"/>
      <w:numFmt w:val="bullet"/>
      <w:lvlText w:val="o"/>
      <w:lvlJc w:val="left"/>
      <w:pPr>
        <w:ind w:left="630" w:hanging="360"/>
      </w:pPr>
      <w:rPr>
        <w:rFonts w:ascii="Courier New" w:hAnsi="Courier New" w:cs="Courier New" w:hint="default"/>
      </w:rPr>
    </w:lvl>
    <w:lvl w:ilvl="2" w:tplc="04080005" w:tentative="1">
      <w:start w:val="1"/>
      <w:numFmt w:val="bullet"/>
      <w:lvlText w:val=""/>
      <w:lvlJc w:val="left"/>
      <w:pPr>
        <w:ind w:left="1350" w:hanging="360"/>
      </w:pPr>
      <w:rPr>
        <w:rFonts w:ascii="Wingdings" w:hAnsi="Wingdings" w:hint="default"/>
      </w:rPr>
    </w:lvl>
    <w:lvl w:ilvl="3" w:tplc="04080001" w:tentative="1">
      <w:start w:val="1"/>
      <w:numFmt w:val="bullet"/>
      <w:lvlText w:val=""/>
      <w:lvlJc w:val="left"/>
      <w:pPr>
        <w:ind w:left="2070" w:hanging="360"/>
      </w:pPr>
      <w:rPr>
        <w:rFonts w:ascii="Symbol" w:hAnsi="Symbol" w:hint="default"/>
      </w:rPr>
    </w:lvl>
    <w:lvl w:ilvl="4" w:tplc="04080003" w:tentative="1">
      <w:start w:val="1"/>
      <w:numFmt w:val="bullet"/>
      <w:lvlText w:val="o"/>
      <w:lvlJc w:val="left"/>
      <w:pPr>
        <w:ind w:left="2790" w:hanging="360"/>
      </w:pPr>
      <w:rPr>
        <w:rFonts w:ascii="Courier New" w:hAnsi="Courier New" w:cs="Courier New" w:hint="default"/>
      </w:rPr>
    </w:lvl>
    <w:lvl w:ilvl="5" w:tplc="04080005" w:tentative="1">
      <w:start w:val="1"/>
      <w:numFmt w:val="bullet"/>
      <w:lvlText w:val=""/>
      <w:lvlJc w:val="left"/>
      <w:pPr>
        <w:ind w:left="3510" w:hanging="360"/>
      </w:pPr>
      <w:rPr>
        <w:rFonts w:ascii="Wingdings" w:hAnsi="Wingdings" w:hint="default"/>
      </w:rPr>
    </w:lvl>
    <w:lvl w:ilvl="6" w:tplc="04080001" w:tentative="1">
      <w:start w:val="1"/>
      <w:numFmt w:val="bullet"/>
      <w:lvlText w:val=""/>
      <w:lvlJc w:val="left"/>
      <w:pPr>
        <w:ind w:left="4230" w:hanging="360"/>
      </w:pPr>
      <w:rPr>
        <w:rFonts w:ascii="Symbol" w:hAnsi="Symbol" w:hint="default"/>
      </w:rPr>
    </w:lvl>
    <w:lvl w:ilvl="7" w:tplc="04080003" w:tentative="1">
      <w:start w:val="1"/>
      <w:numFmt w:val="bullet"/>
      <w:lvlText w:val="o"/>
      <w:lvlJc w:val="left"/>
      <w:pPr>
        <w:ind w:left="4950" w:hanging="360"/>
      </w:pPr>
      <w:rPr>
        <w:rFonts w:ascii="Courier New" w:hAnsi="Courier New" w:cs="Courier New" w:hint="default"/>
      </w:rPr>
    </w:lvl>
    <w:lvl w:ilvl="8" w:tplc="04080005" w:tentative="1">
      <w:start w:val="1"/>
      <w:numFmt w:val="bullet"/>
      <w:lvlText w:val=""/>
      <w:lvlJc w:val="left"/>
      <w:pPr>
        <w:ind w:left="5670" w:hanging="360"/>
      </w:pPr>
      <w:rPr>
        <w:rFonts w:ascii="Wingdings" w:hAnsi="Wingdings" w:hint="default"/>
      </w:rPr>
    </w:lvl>
  </w:abstractNum>
  <w:abstractNum w:abstractNumId="8" w15:restartNumberingAfterBreak="0">
    <w:nsid w:val="5AE83E00"/>
    <w:multiLevelType w:val="hybridMultilevel"/>
    <w:tmpl w:val="C1F0A4DE"/>
    <w:lvl w:ilvl="0" w:tplc="1000000F">
      <w:start w:val="1"/>
      <w:numFmt w:val="decimal"/>
      <w:lvlText w:val="%1."/>
      <w:lvlJc w:val="left"/>
      <w:pPr>
        <w:ind w:left="450" w:hanging="360"/>
      </w:pPr>
    </w:lvl>
    <w:lvl w:ilvl="1" w:tplc="10000019" w:tentative="1">
      <w:start w:val="1"/>
      <w:numFmt w:val="lowerLetter"/>
      <w:lvlText w:val="%2."/>
      <w:lvlJc w:val="left"/>
      <w:pPr>
        <w:ind w:left="1170" w:hanging="360"/>
      </w:pPr>
    </w:lvl>
    <w:lvl w:ilvl="2" w:tplc="1000001B" w:tentative="1">
      <w:start w:val="1"/>
      <w:numFmt w:val="lowerRoman"/>
      <w:lvlText w:val="%3."/>
      <w:lvlJc w:val="right"/>
      <w:pPr>
        <w:ind w:left="1890" w:hanging="180"/>
      </w:pPr>
    </w:lvl>
    <w:lvl w:ilvl="3" w:tplc="1000000F" w:tentative="1">
      <w:start w:val="1"/>
      <w:numFmt w:val="decimal"/>
      <w:lvlText w:val="%4."/>
      <w:lvlJc w:val="left"/>
      <w:pPr>
        <w:ind w:left="2610" w:hanging="360"/>
      </w:pPr>
    </w:lvl>
    <w:lvl w:ilvl="4" w:tplc="10000019" w:tentative="1">
      <w:start w:val="1"/>
      <w:numFmt w:val="lowerLetter"/>
      <w:lvlText w:val="%5."/>
      <w:lvlJc w:val="left"/>
      <w:pPr>
        <w:ind w:left="3330" w:hanging="360"/>
      </w:pPr>
    </w:lvl>
    <w:lvl w:ilvl="5" w:tplc="1000001B" w:tentative="1">
      <w:start w:val="1"/>
      <w:numFmt w:val="lowerRoman"/>
      <w:lvlText w:val="%6."/>
      <w:lvlJc w:val="right"/>
      <w:pPr>
        <w:ind w:left="4050" w:hanging="180"/>
      </w:pPr>
    </w:lvl>
    <w:lvl w:ilvl="6" w:tplc="1000000F" w:tentative="1">
      <w:start w:val="1"/>
      <w:numFmt w:val="decimal"/>
      <w:lvlText w:val="%7."/>
      <w:lvlJc w:val="left"/>
      <w:pPr>
        <w:ind w:left="4770" w:hanging="360"/>
      </w:pPr>
    </w:lvl>
    <w:lvl w:ilvl="7" w:tplc="10000019" w:tentative="1">
      <w:start w:val="1"/>
      <w:numFmt w:val="lowerLetter"/>
      <w:lvlText w:val="%8."/>
      <w:lvlJc w:val="left"/>
      <w:pPr>
        <w:ind w:left="5490" w:hanging="360"/>
      </w:pPr>
    </w:lvl>
    <w:lvl w:ilvl="8" w:tplc="1000001B" w:tentative="1">
      <w:start w:val="1"/>
      <w:numFmt w:val="lowerRoman"/>
      <w:lvlText w:val="%9."/>
      <w:lvlJc w:val="right"/>
      <w:pPr>
        <w:ind w:left="6210" w:hanging="180"/>
      </w:pPr>
    </w:lvl>
  </w:abstractNum>
  <w:abstractNum w:abstractNumId="9" w15:restartNumberingAfterBreak="0">
    <w:nsid w:val="72311BE1"/>
    <w:multiLevelType w:val="hybridMultilevel"/>
    <w:tmpl w:val="8A8A32EA"/>
    <w:lvl w:ilvl="0" w:tplc="F5AA0BC2">
      <w:numFmt w:val="bullet"/>
      <w:lvlText w:val="-"/>
      <w:lvlJc w:val="left"/>
      <w:pPr>
        <w:ind w:left="9432" w:hanging="360"/>
      </w:pPr>
      <w:rPr>
        <w:rFonts w:ascii="Tahoma" w:eastAsia="Times New Roman" w:hAnsi="Tahoma" w:cs="Tahoma"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3"/>
  </w:num>
  <w:num w:numId="6">
    <w:abstractNumId w:val="1"/>
  </w:num>
  <w:num w:numId="7">
    <w:abstractNumId w:val="0"/>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B5"/>
    <w:rsid w:val="00000ECA"/>
    <w:rsid w:val="00001846"/>
    <w:rsid w:val="000035D4"/>
    <w:rsid w:val="00013015"/>
    <w:rsid w:val="0001427B"/>
    <w:rsid w:val="00021FF6"/>
    <w:rsid w:val="00024C42"/>
    <w:rsid w:val="00025571"/>
    <w:rsid w:val="00025B7A"/>
    <w:rsid w:val="000320FC"/>
    <w:rsid w:val="00035D99"/>
    <w:rsid w:val="00036DAB"/>
    <w:rsid w:val="00043B3D"/>
    <w:rsid w:val="00044ED4"/>
    <w:rsid w:val="000552C5"/>
    <w:rsid w:val="000606CE"/>
    <w:rsid w:val="00063598"/>
    <w:rsid w:val="00065E23"/>
    <w:rsid w:val="00066618"/>
    <w:rsid w:val="00066D52"/>
    <w:rsid w:val="000710DC"/>
    <w:rsid w:val="0007167F"/>
    <w:rsid w:val="0008009B"/>
    <w:rsid w:val="0008166F"/>
    <w:rsid w:val="00081AEA"/>
    <w:rsid w:val="000A4C98"/>
    <w:rsid w:val="000C0230"/>
    <w:rsid w:val="000C2889"/>
    <w:rsid w:val="000C5003"/>
    <w:rsid w:val="000D1CBC"/>
    <w:rsid w:val="000D20CD"/>
    <w:rsid w:val="000E4E07"/>
    <w:rsid w:val="000F5BB9"/>
    <w:rsid w:val="0010169A"/>
    <w:rsid w:val="00102457"/>
    <w:rsid w:val="001047C5"/>
    <w:rsid w:val="00107FA8"/>
    <w:rsid w:val="00111A5E"/>
    <w:rsid w:val="00112775"/>
    <w:rsid w:val="00112E7A"/>
    <w:rsid w:val="00114660"/>
    <w:rsid w:val="00122CCF"/>
    <w:rsid w:val="001235D5"/>
    <w:rsid w:val="00124821"/>
    <w:rsid w:val="00124F19"/>
    <w:rsid w:val="00132852"/>
    <w:rsid w:val="001555B1"/>
    <w:rsid w:val="00155FBD"/>
    <w:rsid w:val="0015762B"/>
    <w:rsid w:val="001622A1"/>
    <w:rsid w:val="0016255B"/>
    <w:rsid w:val="0017510F"/>
    <w:rsid w:val="00177C6B"/>
    <w:rsid w:val="00187A60"/>
    <w:rsid w:val="001A3FED"/>
    <w:rsid w:val="001A6304"/>
    <w:rsid w:val="001B0249"/>
    <w:rsid w:val="001B1274"/>
    <w:rsid w:val="001C224B"/>
    <w:rsid w:val="001C40DC"/>
    <w:rsid w:val="001C4485"/>
    <w:rsid w:val="001C62F5"/>
    <w:rsid w:val="001C7691"/>
    <w:rsid w:val="001E0526"/>
    <w:rsid w:val="001E2C83"/>
    <w:rsid w:val="001E59EC"/>
    <w:rsid w:val="001E71EA"/>
    <w:rsid w:val="001F0628"/>
    <w:rsid w:val="001F17FC"/>
    <w:rsid w:val="0021080B"/>
    <w:rsid w:val="00212867"/>
    <w:rsid w:val="00213CC5"/>
    <w:rsid w:val="00215CF9"/>
    <w:rsid w:val="00222CD1"/>
    <w:rsid w:val="00225763"/>
    <w:rsid w:val="00226F07"/>
    <w:rsid w:val="00237BD5"/>
    <w:rsid w:val="00240D08"/>
    <w:rsid w:val="00245EEC"/>
    <w:rsid w:val="002472C0"/>
    <w:rsid w:val="002520EA"/>
    <w:rsid w:val="0025258E"/>
    <w:rsid w:val="00252BDE"/>
    <w:rsid w:val="00267B3F"/>
    <w:rsid w:val="0027263A"/>
    <w:rsid w:val="00280244"/>
    <w:rsid w:val="002837DE"/>
    <w:rsid w:val="002866DD"/>
    <w:rsid w:val="002918E5"/>
    <w:rsid w:val="00291F08"/>
    <w:rsid w:val="0029393E"/>
    <w:rsid w:val="0029450F"/>
    <w:rsid w:val="002960B0"/>
    <w:rsid w:val="00296625"/>
    <w:rsid w:val="002A434C"/>
    <w:rsid w:val="002B533E"/>
    <w:rsid w:val="002B6622"/>
    <w:rsid w:val="002C17D2"/>
    <w:rsid w:val="002C1EB5"/>
    <w:rsid w:val="002D04D1"/>
    <w:rsid w:val="002D2CEE"/>
    <w:rsid w:val="002D590A"/>
    <w:rsid w:val="002D646A"/>
    <w:rsid w:val="002E14A5"/>
    <w:rsid w:val="002E315A"/>
    <w:rsid w:val="002E3698"/>
    <w:rsid w:val="002E3ACE"/>
    <w:rsid w:val="002E59D9"/>
    <w:rsid w:val="002F57F8"/>
    <w:rsid w:val="002F7277"/>
    <w:rsid w:val="00304C5E"/>
    <w:rsid w:val="0030527D"/>
    <w:rsid w:val="00305BD7"/>
    <w:rsid w:val="00311DB6"/>
    <w:rsid w:val="0032033D"/>
    <w:rsid w:val="003225A2"/>
    <w:rsid w:val="003265E5"/>
    <w:rsid w:val="00326C20"/>
    <w:rsid w:val="00330CEB"/>
    <w:rsid w:val="00331695"/>
    <w:rsid w:val="00333EFE"/>
    <w:rsid w:val="003342A0"/>
    <w:rsid w:val="00336B6F"/>
    <w:rsid w:val="00336FC0"/>
    <w:rsid w:val="00341778"/>
    <w:rsid w:val="003479BE"/>
    <w:rsid w:val="003503C8"/>
    <w:rsid w:val="00351A0D"/>
    <w:rsid w:val="00360A42"/>
    <w:rsid w:val="003612B8"/>
    <w:rsid w:val="003613EF"/>
    <w:rsid w:val="00367BF5"/>
    <w:rsid w:val="003735F7"/>
    <w:rsid w:val="00374BC3"/>
    <w:rsid w:val="00376950"/>
    <w:rsid w:val="00380AEC"/>
    <w:rsid w:val="00381C95"/>
    <w:rsid w:val="00386A26"/>
    <w:rsid w:val="00391422"/>
    <w:rsid w:val="00395682"/>
    <w:rsid w:val="003A66D8"/>
    <w:rsid w:val="003A7574"/>
    <w:rsid w:val="003B12E5"/>
    <w:rsid w:val="003B287B"/>
    <w:rsid w:val="003B4D64"/>
    <w:rsid w:val="003C3C4C"/>
    <w:rsid w:val="003D52F0"/>
    <w:rsid w:val="003D6073"/>
    <w:rsid w:val="003E3391"/>
    <w:rsid w:val="003E5260"/>
    <w:rsid w:val="003F14D0"/>
    <w:rsid w:val="003F4369"/>
    <w:rsid w:val="003F6368"/>
    <w:rsid w:val="00407844"/>
    <w:rsid w:val="00407D22"/>
    <w:rsid w:val="00410489"/>
    <w:rsid w:val="00412BD7"/>
    <w:rsid w:val="004138EF"/>
    <w:rsid w:val="00414268"/>
    <w:rsid w:val="004254EC"/>
    <w:rsid w:val="0042643E"/>
    <w:rsid w:val="0043145C"/>
    <w:rsid w:val="0043364A"/>
    <w:rsid w:val="0044225F"/>
    <w:rsid w:val="00442CB5"/>
    <w:rsid w:val="00453A02"/>
    <w:rsid w:val="0045697A"/>
    <w:rsid w:val="004604C7"/>
    <w:rsid w:val="00472552"/>
    <w:rsid w:val="00474887"/>
    <w:rsid w:val="00481FA0"/>
    <w:rsid w:val="00485575"/>
    <w:rsid w:val="00485E0E"/>
    <w:rsid w:val="004B7B6A"/>
    <w:rsid w:val="004C04A5"/>
    <w:rsid w:val="004C1C69"/>
    <w:rsid w:val="004C22FE"/>
    <w:rsid w:val="004C2A0E"/>
    <w:rsid w:val="004C79C4"/>
    <w:rsid w:val="004C7A29"/>
    <w:rsid w:val="004C7BA5"/>
    <w:rsid w:val="004D05A0"/>
    <w:rsid w:val="004D2BAF"/>
    <w:rsid w:val="004D55AB"/>
    <w:rsid w:val="004F39C2"/>
    <w:rsid w:val="00502F28"/>
    <w:rsid w:val="005042A4"/>
    <w:rsid w:val="005066C4"/>
    <w:rsid w:val="0051163F"/>
    <w:rsid w:val="00512A09"/>
    <w:rsid w:val="00512F97"/>
    <w:rsid w:val="00520DBF"/>
    <w:rsid w:val="005218EA"/>
    <w:rsid w:val="00521E09"/>
    <w:rsid w:val="00525CF7"/>
    <w:rsid w:val="00526EC7"/>
    <w:rsid w:val="00530ADF"/>
    <w:rsid w:val="00535ACD"/>
    <w:rsid w:val="0054189A"/>
    <w:rsid w:val="00541A29"/>
    <w:rsid w:val="005477FB"/>
    <w:rsid w:val="00547F78"/>
    <w:rsid w:val="005512C8"/>
    <w:rsid w:val="00551E1D"/>
    <w:rsid w:val="00556416"/>
    <w:rsid w:val="00556875"/>
    <w:rsid w:val="00562A0D"/>
    <w:rsid w:val="005633E3"/>
    <w:rsid w:val="005658AD"/>
    <w:rsid w:val="005679B5"/>
    <w:rsid w:val="0058389C"/>
    <w:rsid w:val="00590A87"/>
    <w:rsid w:val="005931BF"/>
    <w:rsid w:val="00593BB7"/>
    <w:rsid w:val="00594511"/>
    <w:rsid w:val="005C1A3D"/>
    <w:rsid w:val="005C74E4"/>
    <w:rsid w:val="005D459D"/>
    <w:rsid w:val="005E3B67"/>
    <w:rsid w:val="005E6DC0"/>
    <w:rsid w:val="005F435E"/>
    <w:rsid w:val="005F57BB"/>
    <w:rsid w:val="00604130"/>
    <w:rsid w:val="00605FD5"/>
    <w:rsid w:val="006078B1"/>
    <w:rsid w:val="00614EE7"/>
    <w:rsid w:val="00615459"/>
    <w:rsid w:val="006307F7"/>
    <w:rsid w:val="006312A7"/>
    <w:rsid w:val="00631E21"/>
    <w:rsid w:val="00633A67"/>
    <w:rsid w:val="00633C34"/>
    <w:rsid w:val="0064370F"/>
    <w:rsid w:val="00647C72"/>
    <w:rsid w:val="00653D23"/>
    <w:rsid w:val="006638E3"/>
    <w:rsid w:val="00664667"/>
    <w:rsid w:val="006659F9"/>
    <w:rsid w:val="00670FC6"/>
    <w:rsid w:val="00673B59"/>
    <w:rsid w:val="00674A2B"/>
    <w:rsid w:val="00676792"/>
    <w:rsid w:val="006770FD"/>
    <w:rsid w:val="00683A66"/>
    <w:rsid w:val="00684E37"/>
    <w:rsid w:val="00690D55"/>
    <w:rsid w:val="00692583"/>
    <w:rsid w:val="006939A3"/>
    <w:rsid w:val="00695479"/>
    <w:rsid w:val="00695BD7"/>
    <w:rsid w:val="006A5230"/>
    <w:rsid w:val="006B1DB0"/>
    <w:rsid w:val="006B4200"/>
    <w:rsid w:val="006B6416"/>
    <w:rsid w:val="006B6F31"/>
    <w:rsid w:val="006C056A"/>
    <w:rsid w:val="006C3435"/>
    <w:rsid w:val="006D33BF"/>
    <w:rsid w:val="006E170F"/>
    <w:rsid w:val="006E3B94"/>
    <w:rsid w:val="006E4799"/>
    <w:rsid w:val="006E59CA"/>
    <w:rsid w:val="006F18C0"/>
    <w:rsid w:val="006F21C9"/>
    <w:rsid w:val="006F7883"/>
    <w:rsid w:val="00700802"/>
    <w:rsid w:val="00705652"/>
    <w:rsid w:val="00722155"/>
    <w:rsid w:val="00727F23"/>
    <w:rsid w:val="0073435A"/>
    <w:rsid w:val="00737071"/>
    <w:rsid w:val="007401DC"/>
    <w:rsid w:val="007423A3"/>
    <w:rsid w:val="0074352A"/>
    <w:rsid w:val="00750BFA"/>
    <w:rsid w:val="007510EF"/>
    <w:rsid w:val="00756489"/>
    <w:rsid w:val="0075717B"/>
    <w:rsid w:val="0076253E"/>
    <w:rsid w:val="00762B3E"/>
    <w:rsid w:val="00764A67"/>
    <w:rsid w:val="007735A0"/>
    <w:rsid w:val="007800AB"/>
    <w:rsid w:val="00780BAF"/>
    <w:rsid w:val="0078629E"/>
    <w:rsid w:val="007A0D14"/>
    <w:rsid w:val="007A2680"/>
    <w:rsid w:val="007A4B87"/>
    <w:rsid w:val="007A5225"/>
    <w:rsid w:val="007A5639"/>
    <w:rsid w:val="007B1E9B"/>
    <w:rsid w:val="007B313A"/>
    <w:rsid w:val="007C0F6D"/>
    <w:rsid w:val="007C1FA2"/>
    <w:rsid w:val="007C30B6"/>
    <w:rsid w:val="007C7DFF"/>
    <w:rsid w:val="007D433F"/>
    <w:rsid w:val="007D44BF"/>
    <w:rsid w:val="007E327A"/>
    <w:rsid w:val="007E765C"/>
    <w:rsid w:val="007F1169"/>
    <w:rsid w:val="007F1A08"/>
    <w:rsid w:val="0080009D"/>
    <w:rsid w:val="00810CD8"/>
    <w:rsid w:val="008120B2"/>
    <w:rsid w:val="008152D9"/>
    <w:rsid w:val="00823D68"/>
    <w:rsid w:val="00827EB0"/>
    <w:rsid w:val="00837449"/>
    <w:rsid w:val="00840FD8"/>
    <w:rsid w:val="00850F23"/>
    <w:rsid w:val="00852F12"/>
    <w:rsid w:val="00860799"/>
    <w:rsid w:val="008655E8"/>
    <w:rsid w:val="00867E14"/>
    <w:rsid w:val="00874FC5"/>
    <w:rsid w:val="00875A2D"/>
    <w:rsid w:val="008822E8"/>
    <w:rsid w:val="00883F70"/>
    <w:rsid w:val="00884996"/>
    <w:rsid w:val="00885C59"/>
    <w:rsid w:val="0089162B"/>
    <w:rsid w:val="00892B76"/>
    <w:rsid w:val="008933B0"/>
    <w:rsid w:val="008A0A07"/>
    <w:rsid w:val="008A287E"/>
    <w:rsid w:val="008B0BFB"/>
    <w:rsid w:val="008B62A7"/>
    <w:rsid w:val="008B64FE"/>
    <w:rsid w:val="008C2139"/>
    <w:rsid w:val="008C56A1"/>
    <w:rsid w:val="008C646D"/>
    <w:rsid w:val="008D1786"/>
    <w:rsid w:val="008D60E8"/>
    <w:rsid w:val="008E5CF4"/>
    <w:rsid w:val="008F0A1D"/>
    <w:rsid w:val="008F6BB3"/>
    <w:rsid w:val="008F7956"/>
    <w:rsid w:val="009002E7"/>
    <w:rsid w:val="00900840"/>
    <w:rsid w:val="00910F4A"/>
    <w:rsid w:val="009118B1"/>
    <w:rsid w:val="00920A3C"/>
    <w:rsid w:val="00937D30"/>
    <w:rsid w:val="009439BB"/>
    <w:rsid w:val="00950AF4"/>
    <w:rsid w:val="00953F34"/>
    <w:rsid w:val="00965EE9"/>
    <w:rsid w:val="00981346"/>
    <w:rsid w:val="009879AC"/>
    <w:rsid w:val="00990E59"/>
    <w:rsid w:val="0099160B"/>
    <w:rsid w:val="00994727"/>
    <w:rsid w:val="009B3F87"/>
    <w:rsid w:val="009B46A3"/>
    <w:rsid w:val="009C2888"/>
    <w:rsid w:val="009C7843"/>
    <w:rsid w:val="009D1824"/>
    <w:rsid w:val="009D2D23"/>
    <w:rsid w:val="009D652D"/>
    <w:rsid w:val="009D6C12"/>
    <w:rsid w:val="009E2A04"/>
    <w:rsid w:val="009E3091"/>
    <w:rsid w:val="009E3255"/>
    <w:rsid w:val="009E76D0"/>
    <w:rsid w:val="009E7BAE"/>
    <w:rsid w:val="00A013D1"/>
    <w:rsid w:val="00A0146F"/>
    <w:rsid w:val="00A0410B"/>
    <w:rsid w:val="00A057A4"/>
    <w:rsid w:val="00A05BF5"/>
    <w:rsid w:val="00A05E11"/>
    <w:rsid w:val="00A119D6"/>
    <w:rsid w:val="00A235CC"/>
    <w:rsid w:val="00A23683"/>
    <w:rsid w:val="00A302DC"/>
    <w:rsid w:val="00A34220"/>
    <w:rsid w:val="00A47A8A"/>
    <w:rsid w:val="00A50658"/>
    <w:rsid w:val="00A51BE9"/>
    <w:rsid w:val="00A55755"/>
    <w:rsid w:val="00A658B1"/>
    <w:rsid w:val="00A658F6"/>
    <w:rsid w:val="00A70BF9"/>
    <w:rsid w:val="00A71F5D"/>
    <w:rsid w:val="00A72BFB"/>
    <w:rsid w:val="00A738DD"/>
    <w:rsid w:val="00A7724B"/>
    <w:rsid w:val="00A809FE"/>
    <w:rsid w:val="00A90873"/>
    <w:rsid w:val="00A91E3B"/>
    <w:rsid w:val="00A92748"/>
    <w:rsid w:val="00A954EB"/>
    <w:rsid w:val="00AB316E"/>
    <w:rsid w:val="00AC24B2"/>
    <w:rsid w:val="00AC4913"/>
    <w:rsid w:val="00AD24D1"/>
    <w:rsid w:val="00AD356B"/>
    <w:rsid w:val="00AD5E0A"/>
    <w:rsid w:val="00AE69B9"/>
    <w:rsid w:val="00AF297E"/>
    <w:rsid w:val="00AF479C"/>
    <w:rsid w:val="00B0632E"/>
    <w:rsid w:val="00B12082"/>
    <w:rsid w:val="00B12697"/>
    <w:rsid w:val="00B15C0C"/>
    <w:rsid w:val="00B21933"/>
    <w:rsid w:val="00B227B2"/>
    <w:rsid w:val="00B23128"/>
    <w:rsid w:val="00B246FD"/>
    <w:rsid w:val="00B30DFE"/>
    <w:rsid w:val="00B33F14"/>
    <w:rsid w:val="00B3655D"/>
    <w:rsid w:val="00B371EA"/>
    <w:rsid w:val="00B44DEB"/>
    <w:rsid w:val="00B47F8A"/>
    <w:rsid w:val="00B53BDB"/>
    <w:rsid w:val="00B54B87"/>
    <w:rsid w:val="00B56CE7"/>
    <w:rsid w:val="00B571C3"/>
    <w:rsid w:val="00B62201"/>
    <w:rsid w:val="00B6379B"/>
    <w:rsid w:val="00B671BF"/>
    <w:rsid w:val="00B70F4F"/>
    <w:rsid w:val="00B73831"/>
    <w:rsid w:val="00B75434"/>
    <w:rsid w:val="00B86B53"/>
    <w:rsid w:val="00B920E8"/>
    <w:rsid w:val="00B96EB9"/>
    <w:rsid w:val="00BA46F2"/>
    <w:rsid w:val="00BC4CA8"/>
    <w:rsid w:val="00BD0DB0"/>
    <w:rsid w:val="00BD1C4F"/>
    <w:rsid w:val="00BD1DAC"/>
    <w:rsid w:val="00BD7435"/>
    <w:rsid w:val="00BE1180"/>
    <w:rsid w:val="00BE3DDF"/>
    <w:rsid w:val="00BF0488"/>
    <w:rsid w:val="00C10500"/>
    <w:rsid w:val="00C11EBD"/>
    <w:rsid w:val="00C239CF"/>
    <w:rsid w:val="00C247AF"/>
    <w:rsid w:val="00C24C73"/>
    <w:rsid w:val="00C259DD"/>
    <w:rsid w:val="00C26A68"/>
    <w:rsid w:val="00C546C1"/>
    <w:rsid w:val="00C60136"/>
    <w:rsid w:val="00C63218"/>
    <w:rsid w:val="00C63223"/>
    <w:rsid w:val="00C66BC9"/>
    <w:rsid w:val="00C744B3"/>
    <w:rsid w:val="00C76D64"/>
    <w:rsid w:val="00C9020F"/>
    <w:rsid w:val="00C90B5A"/>
    <w:rsid w:val="00C92E7F"/>
    <w:rsid w:val="00C9758E"/>
    <w:rsid w:val="00C97A2D"/>
    <w:rsid w:val="00CA337E"/>
    <w:rsid w:val="00CA3AF1"/>
    <w:rsid w:val="00CA5437"/>
    <w:rsid w:val="00CB0024"/>
    <w:rsid w:val="00CB0930"/>
    <w:rsid w:val="00CB225C"/>
    <w:rsid w:val="00CB6EE1"/>
    <w:rsid w:val="00CC7C3A"/>
    <w:rsid w:val="00CD1D9F"/>
    <w:rsid w:val="00CD48A2"/>
    <w:rsid w:val="00CD64A1"/>
    <w:rsid w:val="00CF6B8A"/>
    <w:rsid w:val="00D00176"/>
    <w:rsid w:val="00D00371"/>
    <w:rsid w:val="00D0089B"/>
    <w:rsid w:val="00D00ADE"/>
    <w:rsid w:val="00D02254"/>
    <w:rsid w:val="00D051CA"/>
    <w:rsid w:val="00D05FFD"/>
    <w:rsid w:val="00D153BE"/>
    <w:rsid w:val="00D157D2"/>
    <w:rsid w:val="00D16379"/>
    <w:rsid w:val="00D24FBB"/>
    <w:rsid w:val="00D30535"/>
    <w:rsid w:val="00D34341"/>
    <w:rsid w:val="00D3521E"/>
    <w:rsid w:val="00D40F8F"/>
    <w:rsid w:val="00D52241"/>
    <w:rsid w:val="00D54A9B"/>
    <w:rsid w:val="00D55730"/>
    <w:rsid w:val="00D559B5"/>
    <w:rsid w:val="00D57867"/>
    <w:rsid w:val="00D6445F"/>
    <w:rsid w:val="00D64F3E"/>
    <w:rsid w:val="00D653F6"/>
    <w:rsid w:val="00D75E1C"/>
    <w:rsid w:val="00D8385C"/>
    <w:rsid w:val="00DA2186"/>
    <w:rsid w:val="00DB2E64"/>
    <w:rsid w:val="00DB319F"/>
    <w:rsid w:val="00DB4205"/>
    <w:rsid w:val="00DB534C"/>
    <w:rsid w:val="00DB74AD"/>
    <w:rsid w:val="00DC15A8"/>
    <w:rsid w:val="00DC5171"/>
    <w:rsid w:val="00DC7B73"/>
    <w:rsid w:val="00DD2617"/>
    <w:rsid w:val="00DD3AF1"/>
    <w:rsid w:val="00DE0449"/>
    <w:rsid w:val="00DE1A34"/>
    <w:rsid w:val="00DE7C00"/>
    <w:rsid w:val="00DF0848"/>
    <w:rsid w:val="00DF17D7"/>
    <w:rsid w:val="00DF2B72"/>
    <w:rsid w:val="00DF6E2C"/>
    <w:rsid w:val="00E018AE"/>
    <w:rsid w:val="00E035D9"/>
    <w:rsid w:val="00E05662"/>
    <w:rsid w:val="00E15CEF"/>
    <w:rsid w:val="00E17930"/>
    <w:rsid w:val="00E20EB9"/>
    <w:rsid w:val="00E21867"/>
    <w:rsid w:val="00E22194"/>
    <w:rsid w:val="00E25E31"/>
    <w:rsid w:val="00E4052E"/>
    <w:rsid w:val="00E40CD2"/>
    <w:rsid w:val="00E44288"/>
    <w:rsid w:val="00E46E56"/>
    <w:rsid w:val="00E521C2"/>
    <w:rsid w:val="00E57045"/>
    <w:rsid w:val="00E57253"/>
    <w:rsid w:val="00E72347"/>
    <w:rsid w:val="00E72C25"/>
    <w:rsid w:val="00E73364"/>
    <w:rsid w:val="00E765B1"/>
    <w:rsid w:val="00E76986"/>
    <w:rsid w:val="00E77D06"/>
    <w:rsid w:val="00E86D73"/>
    <w:rsid w:val="00E9765D"/>
    <w:rsid w:val="00EA4300"/>
    <w:rsid w:val="00EA4CD7"/>
    <w:rsid w:val="00EB069D"/>
    <w:rsid w:val="00EB4DFD"/>
    <w:rsid w:val="00EB4E7C"/>
    <w:rsid w:val="00EB547A"/>
    <w:rsid w:val="00EC4E0F"/>
    <w:rsid w:val="00EC5466"/>
    <w:rsid w:val="00ED0DE5"/>
    <w:rsid w:val="00ED6349"/>
    <w:rsid w:val="00ED6CAD"/>
    <w:rsid w:val="00ED6F2A"/>
    <w:rsid w:val="00EE44AA"/>
    <w:rsid w:val="00EF2969"/>
    <w:rsid w:val="00EF74A7"/>
    <w:rsid w:val="00F047B4"/>
    <w:rsid w:val="00F11D34"/>
    <w:rsid w:val="00F142EB"/>
    <w:rsid w:val="00F14FE6"/>
    <w:rsid w:val="00F173E7"/>
    <w:rsid w:val="00F17621"/>
    <w:rsid w:val="00F22A52"/>
    <w:rsid w:val="00F24A72"/>
    <w:rsid w:val="00F51C11"/>
    <w:rsid w:val="00F6333A"/>
    <w:rsid w:val="00F67EE2"/>
    <w:rsid w:val="00F74559"/>
    <w:rsid w:val="00F7712D"/>
    <w:rsid w:val="00F8036F"/>
    <w:rsid w:val="00F804EE"/>
    <w:rsid w:val="00F865B7"/>
    <w:rsid w:val="00F86E18"/>
    <w:rsid w:val="00F8748B"/>
    <w:rsid w:val="00F95CE4"/>
    <w:rsid w:val="00F96EFA"/>
    <w:rsid w:val="00FA145F"/>
    <w:rsid w:val="00FA61B9"/>
    <w:rsid w:val="00FA711B"/>
    <w:rsid w:val="00FB00FB"/>
    <w:rsid w:val="00FB3442"/>
    <w:rsid w:val="00FB3AD7"/>
    <w:rsid w:val="00FD0380"/>
    <w:rsid w:val="00FD2F4F"/>
    <w:rsid w:val="00FD43F2"/>
    <w:rsid w:val="00FD66D5"/>
    <w:rsid w:val="00FD6A7A"/>
    <w:rsid w:val="00FE2C17"/>
    <w:rsid w:val="00FE360D"/>
    <w:rsid w:val="00FF1FE9"/>
    <w:rsid w:val="00FF3E34"/>
    <w:rsid w:val="00FF754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A55FBC"/>
  <w15:docId w15:val="{945B1664-6F75-4B7C-8FE5-F73BB3F8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B5"/>
    <w:rPr>
      <w:rFonts w:ascii="Times New Roman" w:eastAsia="Times New Roman" w:hAnsi="Times New Roman"/>
      <w:sz w:val="24"/>
      <w:szCs w:val="24"/>
    </w:rPr>
  </w:style>
  <w:style w:type="paragraph" w:styleId="Heading1">
    <w:name w:val="heading 1"/>
    <w:basedOn w:val="Normal"/>
    <w:link w:val="Heading1Char"/>
    <w:uiPriority w:val="9"/>
    <w:qFormat/>
    <w:rsid w:val="00F67EE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D33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7712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2CB5"/>
    <w:rPr>
      <w:color w:val="0000FF"/>
      <w:u w:val="single"/>
    </w:rPr>
  </w:style>
  <w:style w:type="paragraph" w:styleId="ListParagraph">
    <w:name w:val="List Paragraph"/>
    <w:basedOn w:val="Normal"/>
    <w:uiPriority w:val="34"/>
    <w:qFormat/>
    <w:rsid w:val="00442CB5"/>
    <w:pPr>
      <w:ind w:left="720"/>
      <w:contextualSpacing/>
    </w:pPr>
    <w:rPr>
      <w:sz w:val="20"/>
      <w:szCs w:val="20"/>
      <w:lang w:val="de-DE" w:eastAsia="de-DE"/>
    </w:rPr>
  </w:style>
  <w:style w:type="paragraph" w:styleId="Header">
    <w:name w:val="header"/>
    <w:basedOn w:val="Normal"/>
    <w:link w:val="HeaderChar"/>
    <w:uiPriority w:val="99"/>
    <w:unhideWhenUsed/>
    <w:rsid w:val="00442CB5"/>
    <w:pPr>
      <w:tabs>
        <w:tab w:val="center" w:pos="4536"/>
        <w:tab w:val="right" w:pos="9072"/>
      </w:tabs>
    </w:pPr>
  </w:style>
  <w:style w:type="character" w:customStyle="1" w:styleId="HeaderChar">
    <w:name w:val="Header Char"/>
    <w:basedOn w:val="DefaultParagraphFont"/>
    <w:link w:val="Header"/>
    <w:uiPriority w:val="99"/>
    <w:rsid w:val="00442CB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442CB5"/>
    <w:pPr>
      <w:tabs>
        <w:tab w:val="center" w:pos="4536"/>
        <w:tab w:val="right" w:pos="9072"/>
      </w:tabs>
    </w:pPr>
  </w:style>
  <w:style w:type="character" w:customStyle="1" w:styleId="FooterChar">
    <w:name w:val="Footer Char"/>
    <w:basedOn w:val="DefaultParagraphFont"/>
    <w:link w:val="Footer"/>
    <w:uiPriority w:val="99"/>
    <w:rsid w:val="00442CB5"/>
    <w:rPr>
      <w:rFonts w:ascii="Times New Roman" w:eastAsia="Times New Roman" w:hAnsi="Times New Roman" w:cs="Times New Roman"/>
      <w:sz w:val="24"/>
      <w:szCs w:val="24"/>
      <w:lang w:val="el-GR" w:eastAsia="el-GR"/>
    </w:rPr>
  </w:style>
  <w:style w:type="character" w:styleId="HTMLCite">
    <w:name w:val="HTML Cite"/>
    <w:basedOn w:val="DefaultParagraphFont"/>
    <w:uiPriority w:val="99"/>
    <w:unhideWhenUsed/>
    <w:rsid w:val="00875A2D"/>
    <w:rPr>
      <w:i/>
      <w:iCs/>
    </w:rPr>
  </w:style>
  <w:style w:type="paragraph" w:styleId="EndnoteText">
    <w:name w:val="endnote text"/>
    <w:basedOn w:val="Normal"/>
    <w:link w:val="EndnoteTextChar"/>
    <w:uiPriority w:val="99"/>
    <w:semiHidden/>
    <w:unhideWhenUsed/>
    <w:rsid w:val="00EA4300"/>
    <w:rPr>
      <w:sz w:val="20"/>
      <w:szCs w:val="20"/>
    </w:rPr>
  </w:style>
  <w:style w:type="character" w:customStyle="1" w:styleId="EndnoteTextChar">
    <w:name w:val="Endnote Text Char"/>
    <w:basedOn w:val="DefaultParagraphFont"/>
    <w:link w:val="EndnoteText"/>
    <w:uiPriority w:val="99"/>
    <w:semiHidden/>
    <w:rsid w:val="00EA4300"/>
    <w:rPr>
      <w:rFonts w:ascii="Times New Roman" w:eastAsia="Times New Roman" w:hAnsi="Times New Roman"/>
    </w:rPr>
  </w:style>
  <w:style w:type="character" w:styleId="EndnoteReference">
    <w:name w:val="endnote reference"/>
    <w:basedOn w:val="DefaultParagraphFont"/>
    <w:uiPriority w:val="99"/>
    <w:semiHidden/>
    <w:unhideWhenUsed/>
    <w:rsid w:val="00EA4300"/>
    <w:rPr>
      <w:vertAlign w:val="superscript"/>
    </w:rPr>
  </w:style>
  <w:style w:type="table" w:styleId="TableGrid">
    <w:name w:val="Table Grid"/>
    <w:basedOn w:val="TableNormal"/>
    <w:uiPriority w:val="59"/>
    <w:rsid w:val="00B637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3265E5"/>
    <w:rPr>
      <w:color w:val="800080"/>
      <w:u w:val="single"/>
    </w:rPr>
  </w:style>
  <w:style w:type="paragraph" w:styleId="BalloonText">
    <w:name w:val="Balloon Text"/>
    <w:basedOn w:val="Normal"/>
    <w:link w:val="BalloonTextChar"/>
    <w:uiPriority w:val="99"/>
    <w:semiHidden/>
    <w:unhideWhenUsed/>
    <w:rsid w:val="001B0249"/>
    <w:rPr>
      <w:rFonts w:ascii="Tahoma" w:hAnsi="Tahoma" w:cs="Tahoma"/>
      <w:sz w:val="16"/>
      <w:szCs w:val="16"/>
    </w:rPr>
  </w:style>
  <w:style w:type="character" w:customStyle="1" w:styleId="BalloonTextChar">
    <w:name w:val="Balloon Text Char"/>
    <w:basedOn w:val="DefaultParagraphFont"/>
    <w:link w:val="BalloonText"/>
    <w:uiPriority w:val="99"/>
    <w:semiHidden/>
    <w:rsid w:val="001B0249"/>
    <w:rPr>
      <w:rFonts w:ascii="Tahoma" w:eastAsia="Times New Roman" w:hAnsi="Tahoma" w:cs="Tahoma"/>
      <w:sz w:val="16"/>
      <w:szCs w:val="16"/>
      <w:lang w:val="el-GR" w:eastAsia="el-GR"/>
    </w:rPr>
  </w:style>
  <w:style w:type="paragraph" w:customStyle="1" w:styleId="Default">
    <w:name w:val="Default"/>
    <w:rsid w:val="00850F23"/>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22"/>
    <w:qFormat/>
    <w:rsid w:val="00F6333A"/>
    <w:rPr>
      <w:b/>
      <w:bCs/>
    </w:rPr>
  </w:style>
  <w:style w:type="character" w:customStyle="1" w:styleId="Heading1Char">
    <w:name w:val="Heading 1 Char"/>
    <w:basedOn w:val="DefaultParagraphFont"/>
    <w:link w:val="Heading1"/>
    <w:uiPriority w:val="9"/>
    <w:rsid w:val="00F67EE2"/>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F7712D"/>
    <w:rPr>
      <w:rFonts w:ascii="Cambria" w:eastAsia="Times New Roman" w:hAnsi="Cambria" w:cs="Times New Roman"/>
      <w:b/>
      <w:bCs/>
      <w:sz w:val="26"/>
      <w:szCs w:val="26"/>
      <w:lang w:val="el-GR" w:eastAsia="el-GR"/>
    </w:rPr>
  </w:style>
  <w:style w:type="paragraph" w:styleId="NormalWeb">
    <w:name w:val="Normal (Web)"/>
    <w:basedOn w:val="Normal"/>
    <w:uiPriority w:val="99"/>
    <w:semiHidden/>
    <w:unhideWhenUsed/>
    <w:rsid w:val="0074352A"/>
    <w:pPr>
      <w:spacing w:before="100" w:beforeAutospacing="1" w:after="100" w:afterAutospacing="1"/>
    </w:pPr>
    <w:rPr>
      <w:lang w:val="en-US" w:eastAsia="en-US"/>
    </w:rPr>
  </w:style>
  <w:style w:type="paragraph" w:styleId="Caption">
    <w:name w:val="caption"/>
    <w:basedOn w:val="Normal"/>
    <w:next w:val="Normal"/>
    <w:uiPriority w:val="35"/>
    <w:unhideWhenUsed/>
    <w:qFormat/>
    <w:rsid w:val="00633C34"/>
    <w:pPr>
      <w:spacing w:after="200"/>
    </w:pPr>
    <w:rPr>
      <w:rFonts w:ascii="Calibri" w:hAnsi="Calibri"/>
      <w:b/>
      <w:bCs/>
      <w:color w:val="4F81BD"/>
      <w:sz w:val="18"/>
      <w:szCs w:val="18"/>
    </w:rPr>
  </w:style>
  <w:style w:type="character" w:customStyle="1" w:styleId="zmsearchresult">
    <w:name w:val="zmsearchresult"/>
    <w:basedOn w:val="DefaultParagraphFont"/>
    <w:rsid w:val="006307F7"/>
  </w:style>
  <w:style w:type="character" w:customStyle="1" w:styleId="object">
    <w:name w:val="object"/>
    <w:basedOn w:val="DefaultParagraphFont"/>
    <w:rsid w:val="006307F7"/>
  </w:style>
  <w:style w:type="character" w:customStyle="1" w:styleId="UnresolvedMention1">
    <w:name w:val="Unresolved Mention1"/>
    <w:basedOn w:val="DefaultParagraphFont"/>
    <w:uiPriority w:val="99"/>
    <w:semiHidden/>
    <w:unhideWhenUsed/>
    <w:rsid w:val="00C10500"/>
    <w:rPr>
      <w:color w:val="605E5C"/>
      <w:shd w:val="clear" w:color="auto" w:fill="E1DFDD"/>
    </w:rPr>
  </w:style>
  <w:style w:type="character" w:styleId="UnresolvedMention">
    <w:name w:val="Unresolved Mention"/>
    <w:basedOn w:val="DefaultParagraphFont"/>
    <w:uiPriority w:val="99"/>
    <w:semiHidden/>
    <w:unhideWhenUsed/>
    <w:rsid w:val="006D33BF"/>
    <w:rPr>
      <w:color w:val="605E5C"/>
      <w:shd w:val="clear" w:color="auto" w:fill="E1DFDD"/>
    </w:rPr>
  </w:style>
  <w:style w:type="character" w:customStyle="1" w:styleId="Heading2Char">
    <w:name w:val="Heading 2 Char"/>
    <w:basedOn w:val="DefaultParagraphFont"/>
    <w:link w:val="Heading2"/>
    <w:uiPriority w:val="9"/>
    <w:semiHidden/>
    <w:rsid w:val="006D33B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0506">
      <w:bodyDiv w:val="1"/>
      <w:marLeft w:val="0"/>
      <w:marRight w:val="0"/>
      <w:marTop w:val="0"/>
      <w:marBottom w:val="0"/>
      <w:divBdr>
        <w:top w:val="none" w:sz="0" w:space="0" w:color="auto"/>
        <w:left w:val="none" w:sz="0" w:space="0" w:color="auto"/>
        <w:bottom w:val="none" w:sz="0" w:space="0" w:color="auto"/>
        <w:right w:val="none" w:sz="0" w:space="0" w:color="auto"/>
      </w:divBdr>
    </w:div>
    <w:div w:id="165099796">
      <w:bodyDiv w:val="1"/>
      <w:marLeft w:val="0"/>
      <w:marRight w:val="0"/>
      <w:marTop w:val="0"/>
      <w:marBottom w:val="0"/>
      <w:divBdr>
        <w:top w:val="none" w:sz="0" w:space="0" w:color="auto"/>
        <w:left w:val="none" w:sz="0" w:space="0" w:color="auto"/>
        <w:bottom w:val="none" w:sz="0" w:space="0" w:color="auto"/>
        <w:right w:val="none" w:sz="0" w:space="0" w:color="auto"/>
      </w:divBdr>
    </w:div>
    <w:div w:id="360403566">
      <w:bodyDiv w:val="1"/>
      <w:marLeft w:val="0"/>
      <w:marRight w:val="0"/>
      <w:marTop w:val="0"/>
      <w:marBottom w:val="0"/>
      <w:divBdr>
        <w:top w:val="none" w:sz="0" w:space="0" w:color="auto"/>
        <w:left w:val="none" w:sz="0" w:space="0" w:color="auto"/>
        <w:bottom w:val="none" w:sz="0" w:space="0" w:color="auto"/>
        <w:right w:val="none" w:sz="0" w:space="0" w:color="auto"/>
      </w:divBdr>
    </w:div>
    <w:div w:id="482624214">
      <w:bodyDiv w:val="1"/>
      <w:marLeft w:val="0"/>
      <w:marRight w:val="0"/>
      <w:marTop w:val="0"/>
      <w:marBottom w:val="0"/>
      <w:divBdr>
        <w:top w:val="none" w:sz="0" w:space="0" w:color="auto"/>
        <w:left w:val="none" w:sz="0" w:space="0" w:color="auto"/>
        <w:bottom w:val="none" w:sz="0" w:space="0" w:color="auto"/>
        <w:right w:val="none" w:sz="0" w:space="0" w:color="auto"/>
      </w:divBdr>
    </w:div>
    <w:div w:id="541400050">
      <w:bodyDiv w:val="1"/>
      <w:marLeft w:val="0"/>
      <w:marRight w:val="0"/>
      <w:marTop w:val="0"/>
      <w:marBottom w:val="0"/>
      <w:divBdr>
        <w:top w:val="none" w:sz="0" w:space="0" w:color="auto"/>
        <w:left w:val="none" w:sz="0" w:space="0" w:color="auto"/>
        <w:bottom w:val="none" w:sz="0" w:space="0" w:color="auto"/>
        <w:right w:val="none" w:sz="0" w:space="0" w:color="auto"/>
      </w:divBdr>
    </w:div>
    <w:div w:id="761993609">
      <w:bodyDiv w:val="1"/>
      <w:marLeft w:val="0"/>
      <w:marRight w:val="0"/>
      <w:marTop w:val="0"/>
      <w:marBottom w:val="0"/>
      <w:divBdr>
        <w:top w:val="none" w:sz="0" w:space="0" w:color="auto"/>
        <w:left w:val="none" w:sz="0" w:space="0" w:color="auto"/>
        <w:bottom w:val="none" w:sz="0" w:space="0" w:color="auto"/>
        <w:right w:val="none" w:sz="0" w:space="0" w:color="auto"/>
      </w:divBdr>
    </w:div>
    <w:div w:id="1052119938">
      <w:bodyDiv w:val="1"/>
      <w:marLeft w:val="0"/>
      <w:marRight w:val="0"/>
      <w:marTop w:val="0"/>
      <w:marBottom w:val="0"/>
      <w:divBdr>
        <w:top w:val="none" w:sz="0" w:space="0" w:color="auto"/>
        <w:left w:val="none" w:sz="0" w:space="0" w:color="auto"/>
        <w:bottom w:val="none" w:sz="0" w:space="0" w:color="auto"/>
        <w:right w:val="none" w:sz="0" w:space="0" w:color="auto"/>
      </w:divBdr>
    </w:div>
    <w:div w:id="1162040380">
      <w:bodyDiv w:val="1"/>
      <w:marLeft w:val="0"/>
      <w:marRight w:val="0"/>
      <w:marTop w:val="0"/>
      <w:marBottom w:val="0"/>
      <w:divBdr>
        <w:top w:val="none" w:sz="0" w:space="0" w:color="auto"/>
        <w:left w:val="none" w:sz="0" w:space="0" w:color="auto"/>
        <w:bottom w:val="none" w:sz="0" w:space="0" w:color="auto"/>
        <w:right w:val="none" w:sz="0" w:space="0" w:color="auto"/>
      </w:divBdr>
    </w:div>
    <w:div w:id="1194884129">
      <w:bodyDiv w:val="1"/>
      <w:marLeft w:val="0"/>
      <w:marRight w:val="0"/>
      <w:marTop w:val="0"/>
      <w:marBottom w:val="0"/>
      <w:divBdr>
        <w:top w:val="none" w:sz="0" w:space="0" w:color="auto"/>
        <w:left w:val="none" w:sz="0" w:space="0" w:color="auto"/>
        <w:bottom w:val="none" w:sz="0" w:space="0" w:color="auto"/>
        <w:right w:val="none" w:sz="0" w:space="0" w:color="auto"/>
      </w:divBdr>
    </w:div>
    <w:div w:id="1347058603">
      <w:bodyDiv w:val="1"/>
      <w:marLeft w:val="0"/>
      <w:marRight w:val="0"/>
      <w:marTop w:val="0"/>
      <w:marBottom w:val="0"/>
      <w:divBdr>
        <w:top w:val="none" w:sz="0" w:space="0" w:color="auto"/>
        <w:left w:val="none" w:sz="0" w:space="0" w:color="auto"/>
        <w:bottom w:val="none" w:sz="0" w:space="0" w:color="auto"/>
        <w:right w:val="none" w:sz="0" w:space="0" w:color="auto"/>
      </w:divBdr>
    </w:div>
    <w:div w:id="1474174895">
      <w:bodyDiv w:val="1"/>
      <w:marLeft w:val="0"/>
      <w:marRight w:val="0"/>
      <w:marTop w:val="0"/>
      <w:marBottom w:val="0"/>
      <w:divBdr>
        <w:top w:val="none" w:sz="0" w:space="0" w:color="auto"/>
        <w:left w:val="none" w:sz="0" w:space="0" w:color="auto"/>
        <w:bottom w:val="none" w:sz="0" w:space="0" w:color="auto"/>
        <w:right w:val="none" w:sz="0" w:space="0" w:color="auto"/>
      </w:divBdr>
    </w:div>
    <w:div w:id="1482115812">
      <w:bodyDiv w:val="1"/>
      <w:marLeft w:val="0"/>
      <w:marRight w:val="0"/>
      <w:marTop w:val="0"/>
      <w:marBottom w:val="0"/>
      <w:divBdr>
        <w:top w:val="none" w:sz="0" w:space="0" w:color="auto"/>
        <w:left w:val="none" w:sz="0" w:space="0" w:color="auto"/>
        <w:bottom w:val="none" w:sz="0" w:space="0" w:color="auto"/>
        <w:right w:val="none" w:sz="0" w:space="0" w:color="auto"/>
      </w:divBdr>
    </w:div>
    <w:div w:id="1593465851">
      <w:bodyDiv w:val="1"/>
      <w:marLeft w:val="0"/>
      <w:marRight w:val="0"/>
      <w:marTop w:val="0"/>
      <w:marBottom w:val="0"/>
      <w:divBdr>
        <w:top w:val="none" w:sz="0" w:space="0" w:color="auto"/>
        <w:left w:val="none" w:sz="0" w:space="0" w:color="auto"/>
        <w:bottom w:val="none" w:sz="0" w:space="0" w:color="auto"/>
        <w:right w:val="none" w:sz="0" w:space="0" w:color="auto"/>
      </w:divBdr>
    </w:div>
    <w:div w:id="1626541193">
      <w:bodyDiv w:val="1"/>
      <w:marLeft w:val="0"/>
      <w:marRight w:val="0"/>
      <w:marTop w:val="0"/>
      <w:marBottom w:val="0"/>
      <w:divBdr>
        <w:top w:val="none" w:sz="0" w:space="0" w:color="auto"/>
        <w:left w:val="none" w:sz="0" w:space="0" w:color="auto"/>
        <w:bottom w:val="none" w:sz="0" w:space="0" w:color="auto"/>
        <w:right w:val="none" w:sz="0" w:space="0" w:color="auto"/>
      </w:divBdr>
    </w:div>
    <w:div w:id="1732850794">
      <w:bodyDiv w:val="1"/>
      <w:marLeft w:val="0"/>
      <w:marRight w:val="0"/>
      <w:marTop w:val="0"/>
      <w:marBottom w:val="0"/>
      <w:divBdr>
        <w:top w:val="none" w:sz="0" w:space="0" w:color="auto"/>
        <w:left w:val="none" w:sz="0" w:space="0" w:color="auto"/>
        <w:bottom w:val="none" w:sz="0" w:space="0" w:color="auto"/>
        <w:right w:val="none" w:sz="0" w:space="0" w:color="auto"/>
      </w:divBdr>
    </w:div>
    <w:div w:id="1789424606">
      <w:bodyDiv w:val="1"/>
      <w:marLeft w:val="0"/>
      <w:marRight w:val="0"/>
      <w:marTop w:val="0"/>
      <w:marBottom w:val="0"/>
      <w:divBdr>
        <w:top w:val="none" w:sz="0" w:space="0" w:color="auto"/>
        <w:left w:val="none" w:sz="0" w:space="0" w:color="auto"/>
        <w:bottom w:val="none" w:sz="0" w:space="0" w:color="auto"/>
        <w:right w:val="none" w:sz="0" w:space="0" w:color="auto"/>
      </w:divBdr>
    </w:div>
    <w:div w:id="1814102086">
      <w:bodyDiv w:val="1"/>
      <w:marLeft w:val="0"/>
      <w:marRight w:val="0"/>
      <w:marTop w:val="0"/>
      <w:marBottom w:val="0"/>
      <w:divBdr>
        <w:top w:val="none" w:sz="0" w:space="0" w:color="auto"/>
        <w:left w:val="none" w:sz="0" w:space="0" w:color="auto"/>
        <w:bottom w:val="none" w:sz="0" w:space="0" w:color="auto"/>
        <w:right w:val="none" w:sz="0" w:space="0" w:color="auto"/>
      </w:divBdr>
      <w:divsChild>
        <w:div w:id="1375152944">
          <w:marLeft w:val="0"/>
          <w:marRight w:val="0"/>
          <w:marTop w:val="0"/>
          <w:marBottom w:val="0"/>
          <w:divBdr>
            <w:top w:val="none" w:sz="0" w:space="0" w:color="auto"/>
            <w:left w:val="none" w:sz="0" w:space="0" w:color="auto"/>
            <w:bottom w:val="none" w:sz="0" w:space="0" w:color="auto"/>
            <w:right w:val="none" w:sz="0" w:space="0" w:color="auto"/>
          </w:divBdr>
        </w:div>
        <w:div w:id="1648974657">
          <w:marLeft w:val="0"/>
          <w:marRight w:val="0"/>
          <w:marTop w:val="0"/>
          <w:marBottom w:val="0"/>
          <w:divBdr>
            <w:top w:val="none" w:sz="0" w:space="0" w:color="auto"/>
            <w:left w:val="none" w:sz="0" w:space="0" w:color="auto"/>
            <w:bottom w:val="none" w:sz="0" w:space="0" w:color="auto"/>
            <w:right w:val="none" w:sz="0" w:space="0" w:color="auto"/>
          </w:divBdr>
        </w:div>
        <w:div w:id="1830900148">
          <w:marLeft w:val="0"/>
          <w:marRight w:val="0"/>
          <w:marTop w:val="0"/>
          <w:marBottom w:val="0"/>
          <w:divBdr>
            <w:top w:val="none" w:sz="0" w:space="0" w:color="auto"/>
            <w:left w:val="none" w:sz="0" w:space="0" w:color="auto"/>
            <w:bottom w:val="none" w:sz="0" w:space="0" w:color="auto"/>
            <w:right w:val="none" w:sz="0" w:space="0" w:color="auto"/>
          </w:divBdr>
        </w:div>
        <w:div w:id="172770230">
          <w:marLeft w:val="0"/>
          <w:marRight w:val="0"/>
          <w:marTop w:val="0"/>
          <w:marBottom w:val="0"/>
          <w:divBdr>
            <w:top w:val="none" w:sz="0" w:space="0" w:color="auto"/>
            <w:left w:val="none" w:sz="0" w:space="0" w:color="auto"/>
            <w:bottom w:val="none" w:sz="0" w:space="0" w:color="auto"/>
            <w:right w:val="none" w:sz="0" w:space="0" w:color="auto"/>
          </w:divBdr>
        </w:div>
        <w:div w:id="1073963630">
          <w:marLeft w:val="0"/>
          <w:marRight w:val="0"/>
          <w:marTop w:val="0"/>
          <w:marBottom w:val="0"/>
          <w:divBdr>
            <w:top w:val="none" w:sz="0" w:space="0" w:color="auto"/>
            <w:left w:val="none" w:sz="0" w:space="0" w:color="auto"/>
            <w:bottom w:val="none" w:sz="0" w:space="0" w:color="auto"/>
            <w:right w:val="none" w:sz="0" w:space="0" w:color="auto"/>
          </w:divBdr>
        </w:div>
        <w:div w:id="1241480892">
          <w:marLeft w:val="0"/>
          <w:marRight w:val="0"/>
          <w:marTop w:val="0"/>
          <w:marBottom w:val="0"/>
          <w:divBdr>
            <w:top w:val="none" w:sz="0" w:space="0" w:color="auto"/>
            <w:left w:val="none" w:sz="0" w:space="0" w:color="auto"/>
            <w:bottom w:val="none" w:sz="0" w:space="0" w:color="auto"/>
            <w:right w:val="none" w:sz="0" w:space="0" w:color="auto"/>
          </w:divBdr>
        </w:div>
        <w:div w:id="767769420">
          <w:marLeft w:val="0"/>
          <w:marRight w:val="0"/>
          <w:marTop w:val="0"/>
          <w:marBottom w:val="0"/>
          <w:divBdr>
            <w:top w:val="none" w:sz="0" w:space="0" w:color="auto"/>
            <w:left w:val="none" w:sz="0" w:space="0" w:color="auto"/>
            <w:bottom w:val="none" w:sz="0" w:space="0" w:color="auto"/>
            <w:right w:val="none" w:sz="0" w:space="0" w:color="auto"/>
          </w:divBdr>
        </w:div>
        <w:div w:id="1779175902">
          <w:marLeft w:val="0"/>
          <w:marRight w:val="0"/>
          <w:marTop w:val="0"/>
          <w:marBottom w:val="0"/>
          <w:divBdr>
            <w:top w:val="none" w:sz="0" w:space="0" w:color="auto"/>
            <w:left w:val="none" w:sz="0" w:space="0" w:color="auto"/>
            <w:bottom w:val="none" w:sz="0" w:space="0" w:color="auto"/>
            <w:right w:val="none" w:sz="0" w:space="0" w:color="auto"/>
          </w:divBdr>
        </w:div>
        <w:div w:id="28574625">
          <w:marLeft w:val="0"/>
          <w:marRight w:val="0"/>
          <w:marTop w:val="0"/>
          <w:marBottom w:val="0"/>
          <w:divBdr>
            <w:top w:val="none" w:sz="0" w:space="0" w:color="auto"/>
            <w:left w:val="none" w:sz="0" w:space="0" w:color="auto"/>
            <w:bottom w:val="none" w:sz="0" w:space="0" w:color="auto"/>
            <w:right w:val="none" w:sz="0" w:space="0" w:color="auto"/>
          </w:divBdr>
        </w:div>
        <w:div w:id="1125006841">
          <w:marLeft w:val="0"/>
          <w:marRight w:val="0"/>
          <w:marTop w:val="0"/>
          <w:marBottom w:val="0"/>
          <w:divBdr>
            <w:top w:val="none" w:sz="0" w:space="0" w:color="auto"/>
            <w:left w:val="none" w:sz="0" w:space="0" w:color="auto"/>
            <w:bottom w:val="none" w:sz="0" w:space="0" w:color="auto"/>
            <w:right w:val="none" w:sz="0" w:space="0" w:color="auto"/>
          </w:divBdr>
        </w:div>
        <w:div w:id="431586815">
          <w:marLeft w:val="0"/>
          <w:marRight w:val="0"/>
          <w:marTop w:val="0"/>
          <w:marBottom w:val="0"/>
          <w:divBdr>
            <w:top w:val="none" w:sz="0" w:space="0" w:color="auto"/>
            <w:left w:val="none" w:sz="0" w:space="0" w:color="auto"/>
            <w:bottom w:val="none" w:sz="0" w:space="0" w:color="auto"/>
            <w:right w:val="none" w:sz="0" w:space="0" w:color="auto"/>
          </w:divBdr>
        </w:div>
        <w:div w:id="1451820118">
          <w:marLeft w:val="0"/>
          <w:marRight w:val="0"/>
          <w:marTop w:val="0"/>
          <w:marBottom w:val="0"/>
          <w:divBdr>
            <w:top w:val="none" w:sz="0" w:space="0" w:color="auto"/>
            <w:left w:val="none" w:sz="0" w:space="0" w:color="auto"/>
            <w:bottom w:val="none" w:sz="0" w:space="0" w:color="auto"/>
            <w:right w:val="none" w:sz="0" w:space="0" w:color="auto"/>
          </w:divBdr>
        </w:div>
        <w:div w:id="1527911068">
          <w:marLeft w:val="0"/>
          <w:marRight w:val="0"/>
          <w:marTop w:val="0"/>
          <w:marBottom w:val="0"/>
          <w:divBdr>
            <w:top w:val="none" w:sz="0" w:space="0" w:color="auto"/>
            <w:left w:val="none" w:sz="0" w:space="0" w:color="auto"/>
            <w:bottom w:val="none" w:sz="0" w:space="0" w:color="auto"/>
            <w:right w:val="none" w:sz="0" w:space="0" w:color="auto"/>
          </w:divBdr>
        </w:div>
        <w:div w:id="1824927964">
          <w:marLeft w:val="0"/>
          <w:marRight w:val="0"/>
          <w:marTop w:val="0"/>
          <w:marBottom w:val="0"/>
          <w:divBdr>
            <w:top w:val="none" w:sz="0" w:space="0" w:color="auto"/>
            <w:left w:val="none" w:sz="0" w:space="0" w:color="auto"/>
            <w:bottom w:val="none" w:sz="0" w:space="0" w:color="auto"/>
            <w:right w:val="none" w:sz="0" w:space="0" w:color="auto"/>
          </w:divBdr>
        </w:div>
        <w:div w:id="278873568">
          <w:marLeft w:val="0"/>
          <w:marRight w:val="0"/>
          <w:marTop w:val="0"/>
          <w:marBottom w:val="0"/>
          <w:divBdr>
            <w:top w:val="none" w:sz="0" w:space="0" w:color="auto"/>
            <w:left w:val="none" w:sz="0" w:space="0" w:color="auto"/>
            <w:bottom w:val="none" w:sz="0" w:space="0" w:color="auto"/>
            <w:right w:val="none" w:sz="0" w:space="0" w:color="auto"/>
          </w:divBdr>
        </w:div>
        <w:div w:id="1138300791">
          <w:marLeft w:val="0"/>
          <w:marRight w:val="0"/>
          <w:marTop w:val="0"/>
          <w:marBottom w:val="0"/>
          <w:divBdr>
            <w:top w:val="none" w:sz="0" w:space="0" w:color="auto"/>
            <w:left w:val="none" w:sz="0" w:space="0" w:color="auto"/>
            <w:bottom w:val="none" w:sz="0" w:space="0" w:color="auto"/>
            <w:right w:val="none" w:sz="0" w:space="0" w:color="auto"/>
          </w:divBdr>
        </w:div>
        <w:div w:id="1263488111">
          <w:marLeft w:val="0"/>
          <w:marRight w:val="0"/>
          <w:marTop w:val="0"/>
          <w:marBottom w:val="0"/>
          <w:divBdr>
            <w:top w:val="none" w:sz="0" w:space="0" w:color="auto"/>
            <w:left w:val="none" w:sz="0" w:space="0" w:color="auto"/>
            <w:bottom w:val="none" w:sz="0" w:space="0" w:color="auto"/>
            <w:right w:val="none" w:sz="0" w:space="0" w:color="auto"/>
          </w:divBdr>
          <w:divsChild>
            <w:div w:id="1173302007">
              <w:marLeft w:val="0"/>
              <w:marRight w:val="0"/>
              <w:marTop w:val="0"/>
              <w:marBottom w:val="0"/>
              <w:divBdr>
                <w:top w:val="none" w:sz="0" w:space="0" w:color="auto"/>
                <w:left w:val="none" w:sz="0" w:space="0" w:color="auto"/>
                <w:bottom w:val="none" w:sz="0" w:space="0" w:color="auto"/>
                <w:right w:val="none" w:sz="0" w:space="0" w:color="auto"/>
              </w:divBdr>
            </w:div>
            <w:div w:id="1254823718">
              <w:marLeft w:val="0"/>
              <w:marRight w:val="0"/>
              <w:marTop w:val="0"/>
              <w:marBottom w:val="0"/>
              <w:divBdr>
                <w:top w:val="none" w:sz="0" w:space="0" w:color="auto"/>
                <w:left w:val="none" w:sz="0" w:space="0" w:color="auto"/>
                <w:bottom w:val="none" w:sz="0" w:space="0" w:color="auto"/>
                <w:right w:val="none" w:sz="0" w:space="0" w:color="auto"/>
              </w:divBdr>
            </w:div>
            <w:div w:id="607616991">
              <w:marLeft w:val="0"/>
              <w:marRight w:val="0"/>
              <w:marTop w:val="0"/>
              <w:marBottom w:val="0"/>
              <w:divBdr>
                <w:top w:val="none" w:sz="0" w:space="0" w:color="auto"/>
                <w:left w:val="none" w:sz="0" w:space="0" w:color="auto"/>
                <w:bottom w:val="none" w:sz="0" w:space="0" w:color="auto"/>
                <w:right w:val="none" w:sz="0" w:space="0" w:color="auto"/>
              </w:divBdr>
            </w:div>
          </w:divsChild>
        </w:div>
        <w:div w:id="1381444130">
          <w:marLeft w:val="0"/>
          <w:marRight w:val="0"/>
          <w:marTop w:val="0"/>
          <w:marBottom w:val="0"/>
          <w:divBdr>
            <w:top w:val="none" w:sz="0" w:space="0" w:color="auto"/>
            <w:left w:val="none" w:sz="0" w:space="0" w:color="auto"/>
            <w:bottom w:val="none" w:sz="0" w:space="0" w:color="auto"/>
            <w:right w:val="none" w:sz="0" w:space="0" w:color="auto"/>
          </w:divBdr>
        </w:div>
        <w:div w:id="1859927749">
          <w:marLeft w:val="0"/>
          <w:marRight w:val="0"/>
          <w:marTop w:val="0"/>
          <w:marBottom w:val="0"/>
          <w:divBdr>
            <w:top w:val="none" w:sz="0" w:space="0" w:color="auto"/>
            <w:left w:val="none" w:sz="0" w:space="0" w:color="auto"/>
            <w:bottom w:val="none" w:sz="0" w:space="0" w:color="auto"/>
            <w:right w:val="none" w:sz="0" w:space="0" w:color="auto"/>
          </w:divBdr>
        </w:div>
        <w:div w:id="879319866">
          <w:marLeft w:val="0"/>
          <w:marRight w:val="0"/>
          <w:marTop w:val="0"/>
          <w:marBottom w:val="0"/>
          <w:divBdr>
            <w:top w:val="none" w:sz="0" w:space="0" w:color="auto"/>
            <w:left w:val="none" w:sz="0" w:space="0" w:color="auto"/>
            <w:bottom w:val="none" w:sz="0" w:space="0" w:color="auto"/>
            <w:right w:val="none" w:sz="0" w:space="0" w:color="auto"/>
          </w:divBdr>
        </w:div>
        <w:div w:id="1806923397">
          <w:marLeft w:val="0"/>
          <w:marRight w:val="0"/>
          <w:marTop w:val="0"/>
          <w:marBottom w:val="0"/>
          <w:divBdr>
            <w:top w:val="none" w:sz="0" w:space="0" w:color="auto"/>
            <w:left w:val="none" w:sz="0" w:space="0" w:color="auto"/>
            <w:bottom w:val="none" w:sz="0" w:space="0" w:color="auto"/>
            <w:right w:val="none" w:sz="0" w:space="0" w:color="auto"/>
          </w:divBdr>
        </w:div>
      </w:divsChild>
    </w:div>
    <w:div w:id="1817407699">
      <w:bodyDiv w:val="1"/>
      <w:marLeft w:val="0"/>
      <w:marRight w:val="0"/>
      <w:marTop w:val="0"/>
      <w:marBottom w:val="0"/>
      <w:divBdr>
        <w:top w:val="none" w:sz="0" w:space="0" w:color="auto"/>
        <w:left w:val="none" w:sz="0" w:space="0" w:color="auto"/>
        <w:bottom w:val="none" w:sz="0" w:space="0" w:color="auto"/>
        <w:right w:val="none" w:sz="0" w:space="0" w:color="auto"/>
      </w:divBdr>
    </w:div>
    <w:div w:id="1932884039">
      <w:bodyDiv w:val="1"/>
      <w:marLeft w:val="0"/>
      <w:marRight w:val="0"/>
      <w:marTop w:val="0"/>
      <w:marBottom w:val="0"/>
      <w:divBdr>
        <w:top w:val="none" w:sz="0" w:space="0" w:color="auto"/>
        <w:left w:val="none" w:sz="0" w:space="0" w:color="auto"/>
        <w:bottom w:val="none" w:sz="0" w:space="0" w:color="auto"/>
        <w:right w:val="none" w:sz="0" w:space="0" w:color="auto"/>
      </w:divBdr>
    </w:div>
    <w:div w:id="2110468386">
      <w:bodyDiv w:val="1"/>
      <w:marLeft w:val="0"/>
      <w:marRight w:val="0"/>
      <w:marTop w:val="0"/>
      <w:marBottom w:val="0"/>
      <w:divBdr>
        <w:top w:val="none" w:sz="0" w:space="0" w:color="auto"/>
        <w:left w:val="none" w:sz="0" w:space="0" w:color="auto"/>
        <w:bottom w:val="none" w:sz="0" w:space="0" w:color="auto"/>
        <w:right w:val="none" w:sz="0" w:space="0" w:color="auto"/>
      </w:divBdr>
    </w:div>
    <w:div w:id="21363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hyperlink" Target="http://www.vivaness.de" TargetMode="External"/><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hyperlink" Target="https://www.deutsche-lebensmittelbuch-kommission.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29" Type="http://schemas.openxmlformats.org/officeDocument/2006/relationships/hyperlink" Target="https://www.bmel.de/DE/themen/ernaehrung/lebensmittel-kennzeichnung/lebensmittel-kennzeichnung_node.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ora.mfa.gr/infofiles-menu/infofile/73642" TargetMode="External"/><Relationship Id="rId24" Type="http://schemas.openxmlformats.org/officeDocument/2006/relationships/hyperlink" Target="http://www.anuga.de" TargetMode="External"/><Relationship Id="rId32" Type="http://schemas.openxmlformats.org/officeDocument/2006/relationships/hyperlink" Target="https://www.gesetze-im-internet.de/verpackg/" TargetMode="External"/><Relationship Id="rId37" Type="http://schemas.openxmlformats.org/officeDocument/2006/relationships/hyperlink" Target="http://www.agora.mfa.gr/ta-grafeia-oikonomikon-emporikon-upotheseon/grafeia-ana-xora/office/82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el.de/SharedDocs/Downloads/DE/Broschueren/ernaehrungsreport-2023.html" TargetMode="External"/><Relationship Id="rId23" Type="http://schemas.openxmlformats.org/officeDocument/2006/relationships/hyperlink" Target="http://www.gruenewoche.de" TargetMode="External"/><Relationship Id="rId28" Type="http://schemas.openxmlformats.org/officeDocument/2006/relationships/hyperlink" Target="https://www.bmel.de/DE/themen/ernaehrung/lebensmittel-kennzeichnung/freiwillige-angaben-und-label/freiwillige-angaben-und-label_node.html" TargetMode="External"/><Relationship Id="rId36" Type="http://schemas.openxmlformats.org/officeDocument/2006/relationships/hyperlink" Target="https://www.gtai-exportguide.de/de?ix=1" TargetMode="External"/><Relationship Id="rId10" Type="http://schemas.openxmlformats.org/officeDocument/2006/relationships/image" Target="media/image2.png"/><Relationship Id="rId19" Type="http://schemas.openxmlformats.org/officeDocument/2006/relationships/hyperlink" Target="https://www.publikationen-bundesregierung.de/pp-de/publikationssuche/ernaehrungsreport-2024-2311238" TargetMode="External"/><Relationship Id="rId31" Type="http://schemas.openxmlformats.org/officeDocument/2006/relationships/hyperlink" Target="https://www.bmuv.de/gesetz/gesetz-ueber-das-inverkehrbringen-die-ruecknahme-und-die-hochwertige-verwertung-von-verpackung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hyperlink" Target="https://einzelhandel.de/images/attachments/article/2876/HDE_Online_Monitor_2023.pdf" TargetMode="External"/><Relationship Id="rId27" Type="http://schemas.openxmlformats.org/officeDocument/2006/relationships/hyperlink" Target="https://www.bmel.de/DE/themen/ernaehrung/lebensmittel-kennzeichnung/pflichtangaben/lebensmittelkennzeichnung-wichtigsten-vorgaben-lmiv.html" TargetMode="External"/><Relationship Id="rId30" Type="http://schemas.openxmlformats.org/officeDocument/2006/relationships/hyperlink" Target="https://eur-lex.europa.eu/legal-content/EL/TXT/?uri=CELEX:52018XC0608(01)" TargetMode="External"/><Relationship Id="rId35" Type="http://schemas.openxmlformats.org/officeDocument/2006/relationships/hyperlink" Target="https://www.deutsche-lebensmittelbuch-kommission.de/fileadmin/Dokumente/neufassung_leitsaetze_fuer_speisefette_und_speiseoele_bekanntmachung_vom_02-07-2020_ev_26-08-2020.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bmel.de/SharedDocs/Downloads/DE/Broschueren/ernaehrungsreport-2023.html" TargetMode="External"/><Relationship Id="rId25" Type="http://schemas.openxmlformats.org/officeDocument/2006/relationships/hyperlink" Target="http://www.biofach.de" TargetMode="External"/><Relationship Id="rId33" Type="http://schemas.openxmlformats.org/officeDocument/2006/relationships/hyperlink" Target="https://eur-lex.europa.eu/LexUriServ/LexUriServ.do?uri=OJ:L:2012:012:0014:0021:EL:PDF" TargetMode="External"/><Relationship Id="rId38" Type="http://schemas.openxmlformats.org/officeDocument/2006/relationships/hyperlink" Target="https://agora.mfa.gr/ta-grafeia-oikonomikon-emporikon-upotheseon/infofile/817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cocom-berlin@mfa.g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Σημαντικότητα πληροφοριών που αναγράφονται στη συσκευασία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Διατροφικές πληροφορίες</c:v>
                </c:pt>
                <c:pt idx="1">
                  <c:v>Πληροφορίες για αλλεργίες / δυσανεξίες</c:v>
                </c:pt>
                <c:pt idx="2">
                  <c:v>Ένδειξη μη γενετικά τροποιημένου</c:v>
                </c:pt>
                <c:pt idx="3">
                  <c:v>Μέθοδοι παραγωγής φιλικές στο περιβάλλον</c:v>
                </c:pt>
                <c:pt idx="4">
                  <c:v>Δίκαιοι όροι παραγωγής</c:v>
                </c:pt>
                <c:pt idx="5">
                  <c:v>Προέλευση</c:v>
                </c:pt>
                <c:pt idx="6">
                  <c:v>Ημερομηνία λήξης</c:v>
                </c:pt>
                <c:pt idx="7">
                  <c:v>Συστατικά</c:v>
                </c:pt>
                <c:pt idx="8">
                  <c:v>Ενδεδειγμένη κτηνοτροφία</c:v>
                </c:pt>
              </c:strCache>
            </c:strRef>
          </c:cat>
          <c:val>
            <c:numRef>
              <c:f>Sheet1!$B$2:$B$10</c:f>
              <c:numCache>
                <c:formatCode>0%</c:formatCode>
                <c:ptCount val="9"/>
                <c:pt idx="0">
                  <c:v>0.54</c:v>
                </c:pt>
                <c:pt idx="1">
                  <c:v>0.6</c:v>
                </c:pt>
                <c:pt idx="2">
                  <c:v>0.64</c:v>
                </c:pt>
                <c:pt idx="3">
                  <c:v>0.66</c:v>
                </c:pt>
                <c:pt idx="4">
                  <c:v>0.8</c:v>
                </c:pt>
                <c:pt idx="5">
                  <c:v>0.81</c:v>
                </c:pt>
                <c:pt idx="6">
                  <c:v>0.78</c:v>
                </c:pt>
                <c:pt idx="7">
                  <c:v>0.82</c:v>
                </c:pt>
                <c:pt idx="8">
                  <c:v>0.84</c:v>
                </c:pt>
              </c:numCache>
            </c:numRef>
          </c:val>
          <c:extLst>
            <c:ext xmlns:c16="http://schemas.microsoft.com/office/drawing/2014/chart" uri="{C3380CC4-5D6E-409C-BE32-E72D297353CC}">
              <c16:uniqueId val="{00000000-7AFF-4540-9183-787FA28A75A6}"/>
            </c:ext>
          </c:extLst>
        </c:ser>
        <c:dLbls>
          <c:showLegendKey val="0"/>
          <c:showVal val="1"/>
          <c:showCatName val="0"/>
          <c:showSerName val="0"/>
          <c:showPercent val="0"/>
          <c:showBubbleSize val="0"/>
        </c:dLbls>
        <c:gapWidth val="150"/>
        <c:overlap val="-25"/>
        <c:axId val="47085568"/>
        <c:axId val="47015040"/>
      </c:barChart>
      <c:catAx>
        <c:axId val="47085568"/>
        <c:scaling>
          <c:orientation val="minMax"/>
        </c:scaling>
        <c:delete val="0"/>
        <c:axPos val="l"/>
        <c:numFmt formatCode="General" sourceLinked="1"/>
        <c:majorTickMark val="none"/>
        <c:minorTickMark val="none"/>
        <c:tickLblPos val="nextTo"/>
        <c:txPr>
          <a:bodyPr/>
          <a:lstStyle/>
          <a:p>
            <a:pPr>
              <a:defRPr lang="el-GR"/>
            </a:pPr>
            <a:endParaRPr lang="LID4096"/>
          </a:p>
        </c:txPr>
        <c:crossAx val="47015040"/>
        <c:crosses val="autoZero"/>
        <c:auto val="1"/>
        <c:lblAlgn val="ctr"/>
        <c:lblOffset val="100"/>
        <c:noMultiLvlLbl val="0"/>
      </c:catAx>
      <c:valAx>
        <c:axId val="47015040"/>
        <c:scaling>
          <c:orientation val="minMax"/>
        </c:scaling>
        <c:delete val="1"/>
        <c:axPos val="b"/>
        <c:numFmt formatCode="0%" sourceLinked="1"/>
        <c:majorTickMark val="out"/>
        <c:minorTickMark val="none"/>
        <c:tickLblPos val="nextTo"/>
        <c:crossAx val="470855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Κύκλος εργασιών (σε εκατ.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Rossmann</c:v>
                </c:pt>
                <c:pt idx="1">
                  <c:v>dm</c:v>
                </c:pt>
                <c:pt idx="2">
                  <c:v>Aldi
(Aldi Süd, Aldi Nord)</c:v>
                </c:pt>
                <c:pt idx="3">
                  <c:v>Rewe Group
(Rewe, Penny, Nahkauf)</c:v>
                </c:pt>
                <c:pt idx="4">
                  <c:v>Schwarz Gruppe
(Lidl, Kaufland)</c:v>
                </c:pt>
                <c:pt idx="5">
                  <c:v>EDEKA
(Edeka, Netto, Spar, Budni)</c:v>
                </c:pt>
              </c:strCache>
            </c:strRef>
          </c:cat>
          <c:val>
            <c:numRef>
              <c:f>Sheet1!$B$2:$B$7</c:f>
              <c:numCache>
                <c:formatCode>General</c:formatCode>
                <c:ptCount val="6"/>
                <c:pt idx="0">
                  <c:v>7300</c:v>
                </c:pt>
                <c:pt idx="1">
                  <c:v>8620</c:v>
                </c:pt>
                <c:pt idx="2">
                  <c:v>31710</c:v>
                </c:pt>
                <c:pt idx="3">
                  <c:v>37350</c:v>
                </c:pt>
                <c:pt idx="4">
                  <c:v>46700</c:v>
                </c:pt>
                <c:pt idx="5">
                  <c:v>61630</c:v>
                </c:pt>
              </c:numCache>
            </c:numRef>
          </c:val>
          <c:extLst>
            <c:ext xmlns:c16="http://schemas.microsoft.com/office/drawing/2014/chart" uri="{C3380CC4-5D6E-409C-BE32-E72D297353CC}">
              <c16:uniqueId val="{00000000-F976-4A6A-BAC1-A55E56C4C1DF}"/>
            </c:ext>
          </c:extLst>
        </c:ser>
        <c:ser>
          <c:idx val="1"/>
          <c:order val="1"/>
          <c:tx>
            <c:strRef>
              <c:f>Sheet1!$C$1</c:f>
              <c:strCache>
                <c:ptCount val="1"/>
                <c:pt idx="0">
                  <c:v>Σημεία πώλησης</c:v>
                </c:pt>
              </c:strCache>
            </c:strRef>
          </c:tx>
          <c:invertIfNegative val="0"/>
          <c:dLbls>
            <c:dLbl>
              <c:idx val="1"/>
              <c:layout>
                <c:manualLayout>
                  <c:x val="2.3148148148147722E-3"/>
                  <c:y val="-1.58730158730159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76-4A6A-BAC1-A55E56C4C1DF}"/>
                </c:ext>
              </c:extLst>
            </c:dLbl>
            <c:dLbl>
              <c:idx val="2"/>
              <c:layout>
                <c:manualLayout>
                  <c:x val="6.94444444444449E-3"/>
                  <c:y val="-1.984126984126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76-4A6A-BAC1-A55E56C4C1DF}"/>
                </c:ext>
              </c:extLst>
            </c:dLbl>
            <c:dLbl>
              <c:idx val="3"/>
              <c:layout>
                <c:manualLayout>
                  <c:x val="0"/>
                  <c:y val="-2.380952380952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76-4A6A-BAC1-A55E56C4C1DF}"/>
                </c:ext>
              </c:extLst>
            </c:dLbl>
            <c:dLbl>
              <c:idx val="4"/>
              <c:layout>
                <c:manualLayout>
                  <c:x val="1.1574074074074037E-2"/>
                  <c:y val="-1.1904761904761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76-4A6A-BAC1-A55E56C4C1DF}"/>
                </c:ext>
              </c:extLst>
            </c:dLbl>
            <c:dLbl>
              <c:idx val="5"/>
              <c:layout>
                <c:manualLayout>
                  <c:x val="0"/>
                  <c:y val="-2.3809523809523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76-4A6A-BAC1-A55E56C4C1DF}"/>
                </c:ext>
              </c:extLst>
            </c:dLbl>
            <c:spPr>
              <a:noFill/>
              <a:ln>
                <a:noFill/>
              </a:ln>
              <a:effectLst/>
            </c:spPr>
            <c:txPr>
              <a:bodyPr/>
              <a:lstStyle/>
              <a:p>
                <a:pPr>
                  <a:defRPr lang="el-G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Rossmann</c:v>
                </c:pt>
                <c:pt idx="1">
                  <c:v>dm</c:v>
                </c:pt>
                <c:pt idx="2">
                  <c:v>Aldi
(Aldi Süd, Aldi Nord)</c:v>
                </c:pt>
                <c:pt idx="3">
                  <c:v>Rewe Group
(Rewe, Penny, Nahkauf)</c:v>
                </c:pt>
                <c:pt idx="4">
                  <c:v>Schwarz Gruppe
(Lidl, Kaufland)</c:v>
                </c:pt>
                <c:pt idx="5">
                  <c:v>EDEKA
(Edeka, Netto, Spar, Budni)</c:v>
                </c:pt>
              </c:strCache>
            </c:strRef>
          </c:cat>
          <c:val>
            <c:numRef>
              <c:f>Sheet1!$C$2:$C$7</c:f>
              <c:numCache>
                <c:formatCode>General</c:formatCode>
                <c:ptCount val="6"/>
                <c:pt idx="0">
                  <c:v>2263</c:v>
                </c:pt>
                <c:pt idx="1">
                  <c:v>2097</c:v>
                </c:pt>
                <c:pt idx="2">
                  <c:v>4216</c:v>
                </c:pt>
                <c:pt idx="3">
                  <c:v>7161</c:v>
                </c:pt>
                <c:pt idx="4">
                  <c:v>4015</c:v>
                </c:pt>
                <c:pt idx="5">
                  <c:v>11622</c:v>
                </c:pt>
              </c:numCache>
            </c:numRef>
          </c:val>
          <c:extLst>
            <c:ext xmlns:c16="http://schemas.microsoft.com/office/drawing/2014/chart" uri="{C3380CC4-5D6E-409C-BE32-E72D297353CC}">
              <c16:uniqueId val="{00000006-F976-4A6A-BAC1-A55E56C4C1DF}"/>
            </c:ext>
          </c:extLst>
        </c:ser>
        <c:dLbls>
          <c:showLegendKey val="0"/>
          <c:showVal val="1"/>
          <c:showCatName val="0"/>
          <c:showSerName val="0"/>
          <c:showPercent val="0"/>
          <c:showBubbleSize val="0"/>
        </c:dLbls>
        <c:gapWidth val="150"/>
        <c:shape val="box"/>
        <c:axId val="41690624"/>
        <c:axId val="155729920"/>
        <c:axId val="0"/>
      </c:bar3DChart>
      <c:catAx>
        <c:axId val="41690624"/>
        <c:scaling>
          <c:orientation val="minMax"/>
        </c:scaling>
        <c:delete val="0"/>
        <c:axPos val="l"/>
        <c:numFmt formatCode="General" sourceLinked="0"/>
        <c:majorTickMark val="out"/>
        <c:minorTickMark val="none"/>
        <c:tickLblPos val="nextTo"/>
        <c:txPr>
          <a:bodyPr/>
          <a:lstStyle/>
          <a:p>
            <a:pPr>
              <a:defRPr lang="el-GR"/>
            </a:pPr>
            <a:endParaRPr lang="LID4096"/>
          </a:p>
        </c:txPr>
        <c:crossAx val="155729920"/>
        <c:crosses val="autoZero"/>
        <c:auto val="1"/>
        <c:lblAlgn val="ctr"/>
        <c:lblOffset val="100"/>
        <c:noMultiLvlLbl val="0"/>
      </c:catAx>
      <c:valAx>
        <c:axId val="155729920"/>
        <c:scaling>
          <c:orientation val="minMax"/>
        </c:scaling>
        <c:delete val="0"/>
        <c:axPos val="b"/>
        <c:majorGridlines/>
        <c:numFmt formatCode="General" sourceLinked="1"/>
        <c:majorTickMark val="out"/>
        <c:minorTickMark val="none"/>
        <c:tickLblPos val="nextTo"/>
        <c:txPr>
          <a:bodyPr/>
          <a:lstStyle/>
          <a:p>
            <a:pPr>
              <a:defRPr lang="el-GR"/>
            </a:pPr>
            <a:endParaRPr lang="LID4096"/>
          </a:p>
        </c:txPr>
        <c:crossAx val="41690624"/>
        <c:crosses val="autoZero"/>
        <c:crossBetween val="between"/>
      </c:valAx>
    </c:plotArea>
    <c:legend>
      <c:legendPos val="b"/>
      <c:overlay val="0"/>
      <c:txPr>
        <a:bodyPr/>
        <a:lstStyle/>
        <a:p>
          <a:pPr>
            <a:defRPr lang="el-GR"/>
          </a:pPr>
          <a:endParaRPr lang="LID4096"/>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69E7-259E-4390-95B3-CB65AC49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12317</Characters>
  <Application>Microsoft Office Word</Application>
  <DocSecurity>0</DocSecurity>
  <Lines>102</Lines>
  <Paragraphs>28</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14449</CharactersWithSpaces>
  <SharedDoc>false</SharedDoc>
  <HLinks>
    <vt:vector size="102" baseType="variant">
      <vt:variant>
        <vt:i4>3276843</vt:i4>
      </vt:variant>
      <vt:variant>
        <vt:i4>57</vt:i4>
      </vt:variant>
      <vt:variant>
        <vt:i4>0</vt:i4>
      </vt:variant>
      <vt:variant>
        <vt:i4>5</vt:i4>
      </vt:variant>
      <vt:variant>
        <vt:lpwstr>https://agora.mfa.gr/ta-grafeia-oikonomikon-emporikon-upotheseon/infofile/81711</vt:lpwstr>
      </vt:variant>
      <vt:variant>
        <vt:lpwstr/>
      </vt:variant>
      <vt:variant>
        <vt:i4>2621484</vt:i4>
      </vt:variant>
      <vt:variant>
        <vt:i4>54</vt:i4>
      </vt:variant>
      <vt:variant>
        <vt:i4>0</vt:i4>
      </vt:variant>
      <vt:variant>
        <vt:i4>5</vt:i4>
      </vt:variant>
      <vt:variant>
        <vt:lpwstr>http://www.agora.mfa.gr/ta-grafeia-oikonomikon-emporikon-upotheseon/grafeia-ana-xora/office/823</vt:lpwstr>
      </vt:variant>
      <vt:variant>
        <vt:lpwstr/>
      </vt:variant>
      <vt:variant>
        <vt:i4>4522079</vt:i4>
      </vt:variant>
      <vt:variant>
        <vt:i4>51</vt:i4>
      </vt:variant>
      <vt:variant>
        <vt:i4>0</vt:i4>
      </vt:variant>
      <vt:variant>
        <vt:i4>5</vt:i4>
      </vt:variant>
      <vt:variant>
        <vt:lpwstr>http://www.ixpos.de/IXPOS/Navigation/EN/Community/business-inquiries.html</vt:lpwstr>
      </vt:variant>
      <vt:variant>
        <vt:lpwstr/>
      </vt:variant>
      <vt:variant>
        <vt:i4>655372</vt:i4>
      </vt:variant>
      <vt:variant>
        <vt:i4>48</vt:i4>
      </vt:variant>
      <vt:variant>
        <vt:i4>0</vt:i4>
      </vt:variant>
      <vt:variant>
        <vt:i4>5</vt:i4>
      </vt:variant>
      <vt:variant>
        <vt:lpwstr>http://www.ixpos.de/</vt:lpwstr>
      </vt:variant>
      <vt:variant>
        <vt:lpwstr/>
      </vt:variant>
      <vt:variant>
        <vt:i4>3014706</vt:i4>
      </vt:variant>
      <vt:variant>
        <vt:i4>42</vt:i4>
      </vt:variant>
      <vt:variant>
        <vt:i4>0</vt:i4>
      </vt:variant>
      <vt:variant>
        <vt:i4>5</vt:i4>
      </vt:variant>
      <vt:variant>
        <vt:lpwstr>https://www.bmel.de/DE/themen/ernaehrung/ernaehrungsreport2021.html</vt:lpwstr>
      </vt:variant>
      <vt:variant>
        <vt:lpwstr/>
      </vt:variant>
      <vt:variant>
        <vt:i4>3014706</vt:i4>
      </vt:variant>
      <vt:variant>
        <vt:i4>39</vt:i4>
      </vt:variant>
      <vt:variant>
        <vt:i4>0</vt:i4>
      </vt:variant>
      <vt:variant>
        <vt:i4>5</vt:i4>
      </vt:variant>
      <vt:variant>
        <vt:lpwstr>https://www.bmel.de/DE/themen/ernaehrung/ernaehrungsreport2021.html</vt:lpwstr>
      </vt:variant>
      <vt:variant>
        <vt:lpwstr/>
      </vt:variant>
      <vt:variant>
        <vt:i4>1114133</vt:i4>
      </vt:variant>
      <vt:variant>
        <vt:i4>33</vt:i4>
      </vt:variant>
      <vt:variant>
        <vt:i4>0</vt:i4>
      </vt:variant>
      <vt:variant>
        <vt:i4>5</vt:i4>
      </vt:variant>
      <vt:variant>
        <vt:lpwstr>https://www.absatzwirtschaft.de/</vt:lpwstr>
      </vt:variant>
      <vt:variant>
        <vt:lpwstr/>
      </vt:variant>
      <vt:variant>
        <vt:i4>3014706</vt:i4>
      </vt:variant>
      <vt:variant>
        <vt:i4>27</vt:i4>
      </vt:variant>
      <vt:variant>
        <vt:i4>0</vt:i4>
      </vt:variant>
      <vt:variant>
        <vt:i4>5</vt:i4>
      </vt:variant>
      <vt:variant>
        <vt:lpwstr>https://www.bmel.de/DE/themen/ernaehrung/ernaehrungsreport2021.html</vt:lpwstr>
      </vt:variant>
      <vt:variant>
        <vt:lpwstr/>
      </vt:variant>
      <vt:variant>
        <vt:i4>3014706</vt:i4>
      </vt:variant>
      <vt:variant>
        <vt:i4>24</vt:i4>
      </vt:variant>
      <vt:variant>
        <vt:i4>0</vt:i4>
      </vt:variant>
      <vt:variant>
        <vt:i4>5</vt:i4>
      </vt:variant>
      <vt:variant>
        <vt:lpwstr>https://www.bmel.de/DE/themen/ernaehrung/ernaehrungsreport2021.html</vt:lpwstr>
      </vt:variant>
      <vt:variant>
        <vt:lpwstr/>
      </vt:variant>
      <vt:variant>
        <vt:i4>5308433</vt:i4>
      </vt:variant>
      <vt:variant>
        <vt:i4>21</vt:i4>
      </vt:variant>
      <vt:variant>
        <vt:i4>0</vt:i4>
      </vt:variant>
      <vt:variant>
        <vt:i4>5</vt:i4>
      </vt:variant>
      <vt:variant>
        <vt:lpwstr>https://www.agora.mfa.gr/ta-grafeia-oikonomikon-emporikon-upotheseon/grafeia-ana-xora/infofile/76994</vt:lpwstr>
      </vt:variant>
      <vt:variant>
        <vt:lpwstr/>
      </vt:variant>
      <vt:variant>
        <vt:i4>7602294</vt:i4>
      </vt:variant>
      <vt:variant>
        <vt:i4>18</vt:i4>
      </vt:variant>
      <vt:variant>
        <vt:i4>0</vt:i4>
      </vt:variant>
      <vt:variant>
        <vt:i4>5</vt:i4>
      </vt:variant>
      <vt:variant>
        <vt:lpwstr>https://agora.mfa.gr/infofiles-menu/infofile/73642</vt:lpwstr>
      </vt:variant>
      <vt:variant>
        <vt:lpwstr/>
      </vt:variant>
      <vt:variant>
        <vt:i4>6357037</vt:i4>
      </vt:variant>
      <vt:variant>
        <vt:i4>15</vt:i4>
      </vt:variant>
      <vt:variant>
        <vt:i4>0</vt:i4>
      </vt:variant>
      <vt:variant>
        <vt:i4>5</vt:i4>
      </vt:variant>
      <vt:variant>
        <vt:lpwstr>http://www.handelsvertreter.de/</vt:lpwstr>
      </vt:variant>
      <vt:variant>
        <vt:lpwstr/>
      </vt:variant>
      <vt:variant>
        <vt:i4>7929923</vt:i4>
      </vt:variant>
      <vt:variant>
        <vt:i4>12</vt:i4>
      </vt:variant>
      <vt:variant>
        <vt:i4>0</vt:i4>
      </vt:variant>
      <vt:variant>
        <vt:i4>5</vt:i4>
      </vt:variant>
      <vt:variant>
        <vt:lpwstr>mailto:centralvereinigung@cdh.de</vt:lpwstr>
      </vt:variant>
      <vt:variant>
        <vt:lpwstr/>
      </vt:variant>
      <vt:variant>
        <vt:i4>7012479</vt:i4>
      </vt:variant>
      <vt:variant>
        <vt:i4>9</vt:i4>
      </vt:variant>
      <vt:variant>
        <vt:i4>0</vt:i4>
      </vt:variant>
      <vt:variant>
        <vt:i4>5</vt:i4>
      </vt:variant>
      <vt:variant>
        <vt:lpwstr>http://www.cdh.de/</vt:lpwstr>
      </vt:variant>
      <vt:variant>
        <vt:lpwstr/>
      </vt:variant>
      <vt:variant>
        <vt:i4>3080288</vt:i4>
      </vt:variant>
      <vt:variant>
        <vt:i4>6</vt:i4>
      </vt:variant>
      <vt:variant>
        <vt:i4>0</vt:i4>
      </vt:variant>
      <vt:variant>
        <vt:i4>5</vt:i4>
      </vt:variant>
      <vt:variant>
        <vt:lpwstr>https://www.wlw.de/en/home</vt:lpwstr>
      </vt:variant>
      <vt:variant>
        <vt:lpwstr/>
      </vt:variant>
      <vt:variant>
        <vt:i4>6357074</vt:i4>
      </vt:variant>
      <vt:variant>
        <vt:i4>3</vt:i4>
      </vt:variant>
      <vt:variant>
        <vt:i4>0</vt:i4>
      </vt:variant>
      <vt:variant>
        <vt:i4>5</vt:i4>
      </vt:variant>
      <vt:variant>
        <vt:lpwstr>mailto:tdtogias@gmail.com</vt:lpwstr>
      </vt:variant>
      <vt:variant>
        <vt:lpwstr/>
      </vt:variant>
      <vt:variant>
        <vt:i4>2490454</vt:i4>
      </vt:variant>
      <vt:variant>
        <vt:i4>0</vt:i4>
      </vt:variant>
      <vt:variant>
        <vt:i4>0</vt:i4>
      </vt:variant>
      <vt:variant>
        <vt:i4>5</vt:i4>
      </vt:variant>
      <vt:variant>
        <vt:lpwstr>mailto:ecocom-berlin@mfa.gr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Dionyssios Protopapas</dc:creator>
  <cp:lastModifiedBy>PC-User</cp:lastModifiedBy>
  <cp:revision>5</cp:revision>
  <cp:lastPrinted>2024-09-26T09:02:00Z</cp:lastPrinted>
  <dcterms:created xsi:type="dcterms:W3CDTF">2025-02-18T15:07:00Z</dcterms:created>
  <dcterms:modified xsi:type="dcterms:W3CDTF">2025-02-19T09:36:00Z</dcterms:modified>
</cp:coreProperties>
</file>