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DA8AD" w14:textId="77777777" w:rsidR="009257AC" w:rsidRDefault="009257AC" w:rsidP="00DA5C08">
      <w:pPr>
        <w:rPr>
          <w:b/>
          <w:bCs/>
        </w:rPr>
      </w:pPr>
    </w:p>
    <w:p w14:paraId="2C7D2E0F" w14:textId="2B2D60BA" w:rsidR="00DA5C08" w:rsidRPr="00B30CC9" w:rsidRDefault="00B30CC9" w:rsidP="00DA5C08">
      <w:pPr>
        <w:rPr>
          <w:b/>
          <w:bCs/>
          <w:lang w:val="en-US"/>
        </w:rPr>
      </w:pPr>
      <w:r>
        <w:rPr>
          <w:b/>
          <w:bCs/>
          <w:lang w:val="el-GR"/>
        </w:rPr>
        <w:t>ΔΕΛΤΙΟ</w:t>
      </w:r>
      <w:r w:rsidRPr="00B30CC9">
        <w:rPr>
          <w:b/>
          <w:bCs/>
          <w:lang w:val="en-US"/>
        </w:rPr>
        <w:t xml:space="preserve"> </w:t>
      </w:r>
      <w:r>
        <w:rPr>
          <w:b/>
          <w:bCs/>
          <w:lang w:val="el-GR"/>
        </w:rPr>
        <w:t>ΤΥΠΟΥ</w:t>
      </w:r>
    </w:p>
    <w:p w14:paraId="475558C1" w14:textId="7757E5E5" w:rsidR="00B30CC9" w:rsidRPr="00B30CC9" w:rsidRDefault="00B30CC9" w:rsidP="00B30CC9">
      <w:pPr>
        <w:jc w:val="both"/>
        <w:rPr>
          <w:b/>
          <w:lang w:val="el-GR"/>
        </w:rPr>
      </w:pPr>
      <w:r w:rsidRPr="00B30CC9">
        <w:rPr>
          <w:b/>
          <w:lang w:val="el-GR"/>
        </w:rPr>
        <w:t xml:space="preserve">Το ACCEND </w:t>
      </w:r>
      <w:r>
        <w:rPr>
          <w:b/>
          <w:lang w:val="el-GR"/>
        </w:rPr>
        <w:t>άνοιξε</w:t>
      </w:r>
      <w:r w:rsidRPr="00B30CC9">
        <w:rPr>
          <w:b/>
          <w:lang w:val="el-GR"/>
        </w:rPr>
        <w:t xml:space="preserve"> </w:t>
      </w:r>
      <w:r>
        <w:rPr>
          <w:b/>
          <w:lang w:val="el-GR"/>
        </w:rPr>
        <w:t>για υποβολή</w:t>
      </w:r>
      <w:r w:rsidRPr="00B30CC9">
        <w:rPr>
          <w:b/>
          <w:lang w:val="el-GR"/>
        </w:rPr>
        <w:t xml:space="preserve"> αιτήσε</w:t>
      </w:r>
      <w:r>
        <w:rPr>
          <w:b/>
          <w:lang w:val="el-GR"/>
        </w:rPr>
        <w:t>ων</w:t>
      </w:r>
      <w:r w:rsidRPr="00B30CC9">
        <w:rPr>
          <w:b/>
          <w:lang w:val="el-GR"/>
        </w:rPr>
        <w:t xml:space="preserve"> για την 2</w:t>
      </w:r>
      <w:r w:rsidRPr="00B30CC9">
        <w:rPr>
          <w:b/>
          <w:vertAlign w:val="superscript"/>
          <w:lang w:val="el-GR"/>
        </w:rPr>
        <w:t>η</w:t>
      </w:r>
      <w:r w:rsidRPr="00B30CC9">
        <w:rPr>
          <w:b/>
          <w:lang w:val="el-GR"/>
        </w:rPr>
        <w:t xml:space="preserve"> Ομάδα, καθώς το πρόγραμμα για τις πρώτες 28 εταιρείες </w:t>
      </w:r>
      <w:proofErr w:type="spellStart"/>
      <w:r w:rsidRPr="00B30CC9">
        <w:rPr>
          <w:b/>
          <w:lang w:val="el-GR"/>
        </w:rPr>
        <w:t>deep</w:t>
      </w:r>
      <w:proofErr w:type="spellEnd"/>
      <w:r w:rsidRPr="00B30CC9">
        <w:rPr>
          <w:b/>
          <w:lang w:val="el-GR"/>
        </w:rPr>
        <w:t xml:space="preserve"> </w:t>
      </w:r>
      <w:proofErr w:type="spellStart"/>
      <w:r w:rsidRPr="00B30CC9">
        <w:rPr>
          <w:b/>
          <w:lang w:val="el-GR"/>
        </w:rPr>
        <w:t>tech</w:t>
      </w:r>
      <w:proofErr w:type="spellEnd"/>
      <w:r w:rsidRPr="00B30CC9">
        <w:rPr>
          <w:b/>
          <w:lang w:val="el-GR"/>
        </w:rPr>
        <w:t xml:space="preserve"> στην φάση της ανάπτυξης ξεκινά. </w:t>
      </w:r>
    </w:p>
    <w:p w14:paraId="70DD34DB" w14:textId="75FC7996" w:rsidR="00B30CC9" w:rsidRPr="00B30CC9" w:rsidRDefault="00B30CC9" w:rsidP="00B30CC9">
      <w:pPr>
        <w:jc w:val="both"/>
        <w:rPr>
          <w:lang w:val="el-GR"/>
        </w:rPr>
      </w:pPr>
      <w:r>
        <w:rPr>
          <w:lang w:val="el-GR"/>
        </w:rPr>
        <w:t>Το πρόγραμμα</w:t>
      </w:r>
      <w:r w:rsidRPr="00B30CC9">
        <w:rPr>
          <w:lang w:val="el-GR"/>
        </w:rPr>
        <w:t xml:space="preserve"> επιτ</w:t>
      </w:r>
      <w:r>
        <w:rPr>
          <w:lang w:val="el-GR"/>
        </w:rPr>
        <w:t>άχυνσης</w:t>
      </w:r>
      <w:r w:rsidRPr="00B30CC9">
        <w:rPr>
          <w:lang w:val="el-GR"/>
        </w:rPr>
        <w:t xml:space="preserve"> </w:t>
      </w:r>
      <w:r>
        <w:rPr>
          <w:lang w:val="el-GR"/>
        </w:rPr>
        <w:t>για εταιρείες υψηλής τεχνολογίας (</w:t>
      </w:r>
      <w:proofErr w:type="spellStart"/>
      <w:r w:rsidRPr="00B30CC9">
        <w:rPr>
          <w:lang w:val="el-GR"/>
        </w:rPr>
        <w:t>deep</w:t>
      </w:r>
      <w:proofErr w:type="spellEnd"/>
      <w:r w:rsidRPr="00B30CC9">
        <w:rPr>
          <w:lang w:val="el-GR"/>
        </w:rPr>
        <w:t xml:space="preserve"> </w:t>
      </w:r>
      <w:proofErr w:type="spellStart"/>
      <w:r w:rsidRPr="00B30CC9">
        <w:rPr>
          <w:lang w:val="el-GR"/>
        </w:rPr>
        <w:t>tech</w:t>
      </w:r>
      <w:proofErr w:type="spellEnd"/>
      <w:r>
        <w:rPr>
          <w:lang w:val="el-GR"/>
        </w:rPr>
        <w:t>)</w:t>
      </w:r>
      <w:r w:rsidRPr="00B30CC9">
        <w:rPr>
          <w:lang w:val="el-GR"/>
        </w:rPr>
        <w:t xml:space="preserve"> ACCEND άνοιξε </w:t>
      </w:r>
      <w:r>
        <w:rPr>
          <w:lang w:val="el-GR"/>
        </w:rPr>
        <w:t>για την υποβολή</w:t>
      </w:r>
      <w:r w:rsidRPr="00B30CC9">
        <w:rPr>
          <w:lang w:val="el-GR"/>
        </w:rPr>
        <w:t xml:space="preserve"> αιτήσε</w:t>
      </w:r>
      <w:r>
        <w:rPr>
          <w:lang w:val="el-GR"/>
        </w:rPr>
        <w:t>ων</w:t>
      </w:r>
      <w:r w:rsidRPr="00B30CC9">
        <w:rPr>
          <w:lang w:val="el-GR"/>
        </w:rPr>
        <w:t xml:space="preserve"> για τη</w:t>
      </w:r>
      <w:r>
        <w:rPr>
          <w:lang w:val="el-GR"/>
        </w:rPr>
        <w:t>ν</w:t>
      </w:r>
      <w:r w:rsidRPr="00B30CC9">
        <w:rPr>
          <w:lang w:val="el-GR"/>
        </w:rPr>
        <w:t xml:space="preserve"> </w:t>
      </w:r>
      <w:r>
        <w:rPr>
          <w:lang w:val="el-GR"/>
        </w:rPr>
        <w:t>2</w:t>
      </w:r>
      <w:r w:rsidRPr="00B30CC9"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 w:rsidRPr="00B30CC9">
        <w:rPr>
          <w:lang w:val="el-GR"/>
        </w:rPr>
        <w:t xml:space="preserve">ομάδα του, καθώς 28 εταιρείες </w:t>
      </w:r>
      <w:proofErr w:type="spellStart"/>
      <w:r w:rsidRPr="00B30CC9">
        <w:rPr>
          <w:lang w:val="el-GR"/>
        </w:rPr>
        <w:t>deep</w:t>
      </w:r>
      <w:proofErr w:type="spellEnd"/>
      <w:r w:rsidRPr="00B30CC9">
        <w:rPr>
          <w:lang w:val="el-GR"/>
        </w:rPr>
        <w:t xml:space="preserve"> </w:t>
      </w:r>
      <w:proofErr w:type="spellStart"/>
      <w:r w:rsidRPr="00B30CC9">
        <w:rPr>
          <w:lang w:val="el-GR"/>
        </w:rPr>
        <w:t>tech</w:t>
      </w:r>
      <w:proofErr w:type="spellEnd"/>
      <w:r w:rsidRPr="00B30CC9">
        <w:rPr>
          <w:lang w:val="el-GR"/>
        </w:rPr>
        <w:t xml:space="preserve"> από όλη την Ευρώπη ξεκινούν το πρόγραμμα στο πλαίσιο της </w:t>
      </w:r>
      <w:r>
        <w:rPr>
          <w:lang w:val="el-GR"/>
        </w:rPr>
        <w:t>1</w:t>
      </w:r>
      <w:r w:rsidRPr="00B30CC9">
        <w:rPr>
          <w:vertAlign w:val="superscript"/>
          <w:lang w:val="el-GR"/>
        </w:rPr>
        <w:t>ης</w:t>
      </w:r>
      <w:r>
        <w:rPr>
          <w:lang w:val="el-GR"/>
        </w:rPr>
        <w:t xml:space="preserve"> ομάδας</w:t>
      </w:r>
      <w:r w:rsidRPr="00B30CC9">
        <w:rPr>
          <w:lang w:val="el-GR"/>
        </w:rPr>
        <w:t>.</w:t>
      </w:r>
    </w:p>
    <w:p w14:paraId="76DC00AA" w14:textId="426367FE" w:rsidR="00B30CC9" w:rsidRPr="00B30CC9" w:rsidRDefault="00B30CC9" w:rsidP="00B30CC9">
      <w:pPr>
        <w:jc w:val="both"/>
        <w:rPr>
          <w:lang w:val="el-GR"/>
        </w:rPr>
      </w:pPr>
      <w:r w:rsidRPr="00B30CC9">
        <w:rPr>
          <w:lang w:val="el-GR"/>
        </w:rPr>
        <w:t xml:space="preserve">Σχεδιασμένο για εταιρείες που αναπτύσσουν λύσεις </w:t>
      </w:r>
      <w:r>
        <w:rPr>
          <w:lang w:val="el-GR"/>
        </w:rPr>
        <w:t>για</w:t>
      </w:r>
      <w:r w:rsidRPr="00B30CC9">
        <w:rPr>
          <w:lang w:val="el-GR"/>
        </w:rPr>
        <w:t xml:space="preserve"> Έξυπνες Πόλεις, Πόλεις </w:t>
      </w:r>
      <w:r>
        <w:rPr>
          <w:lang w:val="el-GR"/>
        </w:rPr>
        <w:t xml:space="preserve">Καθαρών </w:t>
      </w:r>
      <w:r w:rsidRPr="00B30CC9">
        <w:rPr>
          <w:lang w:val="el-GR"/>
        </w:rPr>
        <w:t>Μηδενικ</w:t>
      </w:r>
      <w:r>
        <w:rPr>
          <w:lang w:val="el-GR"/>
        </w:rPr>
        <w:t>ών</w:t>
      </w:r>
      <w:r w:rsidRPr="00B30CC9">
        <w:rPr>
          <w:lang w:val="el-GR"/>
        </w:rPr>
        <w:t xml:space="preserve"> </w:t>
      </w:r>
      <w:r>
        <w:rPr>
          <w:lang w:val="el-GR"/>
        </w:rPr>
        <w:t>Εκπομπών</w:t>
      </w:r>
      <w:r w:rsidRPr="00B30CC9">
        <w:rPr>
          <w:lang w:val="el-GR"/>
        </w:rPr>
        <w:t xml:space="preserve"> και Αναγεννητικές Πόλεις, το ACCEND υποστηρίζει </w:t>
      </w:r>
      <w:r>
        <w:rPr>
          <w:lang w:val="el-GR"/>
        </w:rPr>
        <w:t>εταιρείες που δραστηριοποιούνται σε τομείς υψηλής τεχνολογίας (</w:t>
      </w:r>
      <w:r>
        <w:rPr>
          <w:lang w:val="en-US"/>
        </w:rPr>
        <w:t>Deep</w:t>
      </w:r>
      <w:r w:rsidRPr="00B30CC9">
        <w:rPr>
          <w:lang w:val="el-GR"/>
        </w:rPr>
        <w:t xml:space="preserve"> </w:t>
      </w:r>
      <w:r>
        <w:rPr>
          <w:lang w:val="en-US"/>
        </w:rPr>
        <w:t>Tech</w:t>
      </w:r>
      <w:r w:rsidRPr="00B30CC9">
        <w:rPr>
          <w:lang w:val="el-GR"/>
        </w:rPr>
        <w:t xml:space="preserve">) </w:t>
      </w:r>
      <w:r>
        <w:rPr>
          <w:lang w:val="el-GR"/>
        </w:rPr>
        <w:t>και ευρίσκονται στην φάση της ανάπτυξης</w:t>
      </w:r>
      <w:r w:rsidR="00D87191">
        <w:rPr>
          <w:lang w:val="el-GR"/>
        </w:rPr>
        <w:t xml:space="preserve"> να </w:t>
      </w:r>
      <w:r w:rsidRPr="00B30CC9">
        <w:rPr>
          <w:lang w:val="el-GR"/>
        </w:rPr>
        <w:t>επ</w:t>
      </w:r>
      <w:r w:rsidR="00D87191">
        <w:rPr>
          <w:lang w:val="el-GR"/>
        </w:rPr>
        <w:t>ε</w:t>
      </w:r>
      <w:r w:rsidRPr="00B30CC9">
        <w:rPr>
          <w:lang w:val="el-GR"/>
        </w:rPr>
        <w:t>κτα</w:t>
      </w:r>
      <w:r w:rsidR="00D87191">
        <w:rPr>
          <w:lang w:val="el-GR"/>
        </w:rPr>
        <w:t>θούν</w:t>
      </w:r>
      <w:r w:rsidRPr="00B30CC9">
        <w:rPr>
          <w:lang w:val="el-GR"/>
        </w:rPr>
        <w:t xml:space="preserve"> πέρα ​​από τα σύνορα, </w:t>
      </w:r>
      <w:r w:rsidR="00D87191">
        <w:rPr>
          <w:lang w:val="el-GR"/>
        </w:rPr>
        <w:t xml:space="preserve">να αποκτήσουν </w:t>
      </w:r>
      <w:r w:rsidRPr="00B30CC9">
        <w:rPr>
          <w:lang w:val="el-GR"/>
        </w:rPr>
        <w:t xml:space="preserve">πρόσβαση σε επενδύσεις και </w:t>
      </w:r>
      <w:r w:rsidR="00D87191">
        <w:rPr>
          <w:lang w:val="el-GR"/>
        </w:rPr>
        <w:t>να διεισδύσουν</w:t>
      </w:r>
      <w:r w:rsidRPr="00B30CC9">
        <w:rPr>
          <w:lang w:val="el-GR"/>
        </w:rPr>
        <w:t xml:space="preserve"> σε πολύπλοκες ευρωπαϊκές αγορές.</w:t>
      </w:r>
    </w:p>
    <w:p w14:paraId="08BD32E7" w14:textId="3BD1E450" w:rsidR="00D87191" w:rsidRPr="00D87191" w:rsidRDefault="00D87191" w:rsidP="00D87191">
      <w:pPr>
        <w:jc w:val="both"/>
        <w:rPr>
          <w:lang w:val="el-GR"/>
        </w:rPr>
      </w:pPr>
      <w:r w:rsidRPr="00D87191">
        <w:rPr>
          <w:lang w:val="el-GR"/>
        </w:rPr>
        <w:t xml:space="preserve">Η </w:t>
      </w:r>
      <w:r>
        <w:rPr>
          <w:lang w:val="el-GR"/>
        </w:rPr>
        <w:t>1</w:t>
      </w:r>
      <w:r w:rsidRPr="00D87191"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 w:rsidRPr="00D87191">
        <w:rPr>
          <w:lang w:val="el-GR"/>
        </w:rPr>
        <w:t xml:space="preserve">Ομάδα συγκεντρώνει 28 εταιρείες που δραστηριοποιούνται σε τομείς όπως η αστική βιωσιμότητα, οι ψηφιακές υποδομές, τα συστήματα καθαρής ενέργειας, οι τεχνολογίες κυκλικής οικονομίας, οι λύσεις βιοποικιλότητας και η καινοτομία στην ανθεκτικότητα στην κλιματική αλλαγή. Αυτές οι εταιρείες συμμετέχουν </w:t>
      </w:r>
      <w:r>
        <w:rPr>
          <w:lang w:val="el-GR"/>
        </w:rPr>
        <w:t>ήδη</w:t>
      </w:r>
      <w:r w:rsidRPr="00D87191">
        <w:rPr>
          <w:lang w:val="el-GR"/>
        </w:rPr>
        <w:t xml:space="preserve"> σε εξατομικευμένες διαγνωστικές μεθόδους, σε οδούς </w:t>
      </w:r>
      <w:r>
        <w:rPr>
          <w:lang w:val="el-GR"/>
        </w:rPr>
        <w:t xml:space="preserve">τεχνικές διείσδυσης στην </w:t>
      </w:r>
      <w:r w:rsidRPr="00D87191">
        <w:rPr>
          <w:lang w:val="el-GR"/>
        </w:rPr>
        <w:t xml:space="preserve">αγορά, σε πιλοτικές εφαρμογές και σε δραστηριότητες ετοιμότητας </w:t>
      </w:r>
      <w:r>
        <w:rPr>
          <w:lang w:val="el-GR"/>
        </w:rPr>
        <w:t xml:space="preserve">για </w:t>
      </w:r>
      <w:r w:rsidRPr="00D87191">
        <w:rPr>
          <w:lang w:val="el-GR"/>
        </w:rPr>
        <w:t>επενδυτ</w:t>
      </w:r>
      <w:r>
        <w:rPr>
          <w:lang w:val="el-GR"/>
        </w:rPr>
        <w:t>ές</w:t>
      </w:r>
      <w:r w:rsidRPr="00D87191">
        <w:rPr>
          <w:lang w:val="el-GR"/>
        </w:rPr>
        <w:t xml:space="preserve">, στο πλαίσιο του </w:t>
      </w:r>
      <w:r>
        <w:rPr>
          <w:lang w:val="el-GR"/>
        </w:rPr>
        <w:t>εν εξελίξει</w:t>
      </w:r>
      <w:r w:rsidRPr="00D87191">
        <w:rPr>
          <w:lang w:val="el-GR"/>
        </w:rPr>
        <w:t xml:space="preserve"> προγράμματος.</w:t>
      </w:r>
    </w:p>
    <w:p w14:paraId="038F4D94" w14:textId="02A170B4" w:rsidR="00D87191" w:rsidRPr="00D87191" w:rsidRDefault="00D87191" w:rsidP="00D87191">
      <w:pPr>
        <w:jc w:val="both"/>
        <w:rPr>
          <w:lang w:val="el-GR"/>
        </w:rPr>
      </w:pPr>
      <w:r w:rsidRPr="00D87191">
        <w:rPr>
          <w:lang w:val="el-GR"/>
        </w:rPr>
        <w:t>Βασιζόμενο σε αυτή τη</w:t>
      </w:r>
      <w:r>
        <w:rPr>
          <w:lang w:val="el-GR"/>
        </w:rPr>
        <w:t>ν</w:t>
      </w:r>
      <w:r w:rsidRPr="00D87191">
        <w:rPr>
          <w:lang w:val="el-GR"/>
        </w:rPr>
        <w:t xml:space="preserve"> δυναμική, το ACCEND </w:t>
      </w:r>
      <w:r>
        <w:rPr>
          <w:lang w:val="el-GR"/>
        </w:rPr>
        <w:t>δημιουργεί</w:t>
      </w:r>
      <w:r w:rsidRPr="00D87191">
        <w:rPr>
          <w:lang w:val="el-GR"/>
        </w:rPr>
        <w:t xml:space="preserve"> τη</w:t>
      </w:r>
      <w:r>
        <w:rPr>
          <w:lang w:val="el-GR"/>
        </w:rPr>
        <w:t>ν 2η</w:t>
      </w:r>
      <w:r w:rsidRPr="00D87191">
        <w:rPr>
          <w:lang w:val="el-GR"/>
        </w:rPr>
        <w:t xml:space="preserve"> ομάδα </w:t>
      </w:r>
      <w:r>
        <w:rPr>
          <w:lang w:val="el-GR"/>
        </w:rPr>
        <w:t xml:space="preserve">από εταιρείες </w:t>
      </w:r>
      <w:proofErr w:type="spellStart"/>
      <w:r w:rsidRPr="00D87191">
        <w:rPr>
          <w:lang w:val="el-GR"/>
        </w:rPr>
        <w:t>scaleups</w:t>
      </w:r>
      <w:proofErr w:type="spellEnd"/>
      <w:r w:rsidRPr="00D87191">
        <w:rPr>
          <w:lang w:val="el-GR"/>
        </w:rPr>
        <w:t xml:space="preserve"> υψηλού δυναμικού</w:t>
      </w:r>
      <w:r>
        <w:rPr>
          <w:lang w:val="el-GR"/>
        </w:rPr>
        <w:t xml:space="preserve"> που είναι</w:t>
      </w:r>
      <w:r w:rsidRPr="00D87191">
        <w:rPr>
          <w:lang w:val="el-GR"/>
        </w:rPr>
        <w:t xml:space="preserve"> έτοιμ</w:t>
      </w:r>
      <w:r>
        <w:rPr>
          <w:lang w:val="el-GR"/>
        </w:rPr>
        <w:t>ες για διεθνή επέκταση</w:t>
      </w:r>
      <w:r w:rsidRPr="00D87191">
        <w:rPr>
          <w:lang w:val="el-GR"/>
        </w:rPr>
        <w:t>.</w:t>
      </w:r>
    </w:p>
    <w:p w14:paraId="2BF4EBAF" w14:textId="766D2C35" w:rsidR="00D87191" w:rsidRPr="00D87191" w:rsidRDefault="00D87191" w:rsidP="00D87191">
      <w:pPr>
        <w:jc w:val="both"/>
        <w:rPr>
          <w:b/>
          <w:lang w:val="el-GR"/>
        </w:rPr>
      </w:pPr>
      <w:r w:rsidRPr="00D87191">
        <w:rPr>
          <w:b/>
          <w:lang w:val="el-GR"/>
        </w:rPr>
        <w:t>Μια συντονισμένη ευρωπαϊκή πλατφόρμα για κλ</w:t>
      </w:r>
      <w:r>
        <w:rPr>
          <w:b/>
          <w:lang w:val="el-GR"/>
        </w:rPr>
        <w:t>ιμάκωση</w:t>
      </w:r>
    </w:p>
    <w:p w14:paraId="6E025E7B" w14:textId="1C382A42" w:rsidR="00D87191" w:rsidRPr="00D87191" w:rsidRDefault="00D87191" w:rsidP="00D87191">
      <w:pPr>
        <w:jc w:val="both"/>
        <w:rPr>
          <w:lang w:val="el-GR"/>
        </w:rPr>
      </w:pPr>
      <w:r w:rsidRPr="00D87191">
        <w:rPr>
          <w:lang w:val="el-GR"/>
        </w:rPr>
        <w:t xml:space="preserve">Το ACCEND συγκεντρώνει 10 ιδρύματα </w:t>
      </w:r>
      <w:r w:rsidRPr="00D87191">
        <w:rPr>
          <w:lang w:val="el-GR"/>
        </w:rPr>
        <w:t>από όλη την Ευρώπη</w:t>
      </w:r>
      <w:r>
        <w:rPr>
          <w:lang w:val="el-GR"/>
        </w:rPr>
        <w:t>,</w:t>
      </w:r>
      <w:r w:rsidRPr="00D87191">
        <w:rPr>
          <w:lang w:val="el-GR"/>
        </w:rPr>
        <w:t xml:space="preserve"> </w:t>
      </w:r>
      <w:r w:rsidRPr="00D87191">
        <w:rPr>
          <w:lang w:val="el-GR"/>
        </w:rPr>
        <w:t xml:space="preserve">κορυφαία </w:t>
      </w:r>
      <w:r>
        <w:rPr>
          <w:lang w:val="el-GR"/>
        </w:rPr>
        <w:t xml:space="preserve">σε θέματα </w:t>
      </w:r>
      <w:r w:rsidRPr="00D87191">
        <w:rPr>
          <w:lang w:val="el-GR"/>
        </w:rPr>
        <w:t xml:space="preserve">καινοτομίας, σχηματίζοντας ένα από τα πιο συντονισμένα δίκτυα υποστήριξης </w:t>
      </w:r>
      <w:r>
        <w:rPr>
          <w:lang w:val="el-GR"/>
        </w:rPr>
        <w:t>υψηλής</w:t>
      </w:r>
      <w:r w:rsidRPr="00D87191">
        <w:rPr>
          <w:lang w:val="el-GR"/>
        </w:rPr>
        <w:t xml:space="preserve"> τεχνολογικής </w:t>
      </w:r>
      <w:r w:rsidRPr="00D87191">
        <w:rPr>
          <w:lang w:val="el-GR"/>
        </w:rPr>
        <w:t xml:space="preserve">της ηπείρου. Το πρόγραμμα αντιμετωπίζει άμεσα διαρθρωτικές προκλήσεις που αντιμετωπίζουν οι </w:t>
      </w:r>
      <w:proofErr w:type="spellStart"/>
      <w:r w:rsidRPr="00D87191">
        <w:rPr>
          <w:lang w:val="el-GR"/>
        </w:rPr>
        <w:t>scaleups</w:t>
      </w:r>
      <w:proofErr w:type="spellEnd"/>
      <w:r w:rsidRPr="00D87191">
        <w:rPr>
          <w:lang w:val="el-GR"/>
        </w:rPr>
        <w:t>, όπως:</w:t>
      </w:r>
    </w:p>
    <w:p w14:paraId="759A6E75" w14:textId="2BA5FE23" w:rsidR="000467E2" w:rsidRPr="000467E2" w:rsidRDefault="000467E2" w:rsidP="000467E2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0467E2">
        <w:rPr>
          <w:lang w:val="el-GR"/>
        </w:rPr>
        <w:t xml:space="preserve">Κατακερματισμένες </w:t>
      </w:r>
      <w:r>
        <w:rPr>
          <w:lang w:val="el-GR"/>
        </w:rPr>
        <w:t>Ε</w:t>
      </w:r>
      <w:r w:rsidRPr="000467E2">
        <w:rPr>
          <w:lang w:val="el-GR"/>
        </w:rPr>
        <w:t>υρωπαϊκές αγορές</w:t>
      </w:r>
    </w:p>
    <w:p w14:paraId="408C665B" w14:textId="6CA0170E" w:rsidR="000467E2" w:rsidRPr="000467E2" w:rsidRDefault="000467E2" w:rsidP="000467E2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0467E2">
        <w:rPr>
          <w:lang w:val="el-GR"/>
        </w:rPr>
        <w:t xml:space="preserve">Αργά και πολύπλοκα συστήματα </w:t>
      </w:r>
      <w:r>
        <w:rPr>
          <w:lang w:val="el-GR"/>
        </w:rPr>
        <w:t xml:space="preserve">προμηθειών του </w:t>
      </w:r>
      <w:r w:rsidRPr="000467E2">
        <w:rPr>
          <w:lang w:val="el-GR"/>
        </w:rPr>
        <w:t>δημοσί</w:t>
      </w:r>
      <w:r>
        <w:rPr>
          <w:lang w:val="el-GR"/>
        </w:rPr>
        <w:t>ου</w:t>
      </w:r>
    </w:p>
    <w:p w14:paraId="653F819B" w14:textId="77777777" w:rsidR="000467E2" w:rsidRPr="000467E2" w:rsidRDefault="000467E2" w:rsidP="000467E2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0467E2">
        <w:rPr>
          <w:lang w:val="el-GR"/>
        </w:rPr>
        <w:t>Πρόσβαση σε αναπτυξιακό κεφάλαιο</w:t>
      </w:r>
    </w:p>
    <w:p w14:paraId="505BFB43" w14:textId="5EAD2002" w:rsidR="000467E2" w:rsidRPr="000467E2" w:rsidRDefault="000467E2" w:rsidP="000467E2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0467E2">
        <w:rPr>
          <w:lang w:val="el-GR"/>
        </w:rPr>
        <w:t xml:space="preserve">Εξασφάλιση πιλοτικών ευκαιριών και </w:t>
      </w:r>
      <w:r>
        <w:rPr>
          <w:lang w:val="el-GR"/>
        </w:rPr>
        <w:t>δυνατοτήτων</w:t>
      </w:r>
      <w:r w:rsidRPr="000467E2">
        <w:rPr>
          <w:lang w:val="el-GR"/>
        </w:rPr>
        <w:t xml:space="preserve"> επικύρωσης</w:t>
      </w:r>
      <w:r>
        <w:rPr>
          <w:lang w:val="el-GR"/>
        </w:rPr>
        <w:t xml:space="preserve"> της τεχνολογίας τους</w:t>
      </w:r>
    </w:p>
    <w:p w14:paraId="06DDE3B6" w14:textId="423BA9C0" w:rsidR="000467E2" w:rsidRPr="000467E2" w:rsidRDefault="000467E2" w:rsidP="000467E2">
      <w:pPr>
        <w:jc w:val="both"/>
        <w:rPr>
          <w:lang w:val="el-GR"/>
        </w:rPr>
      </w:pPr>
      <w:r w:rsidRPr="000467E2">
        <w:rPr>
          <w:lang w:val="el-GR"/>
        </w:rPr>
        <w:t xml:space="preserve">Οι συμμετέχοντες </w:t>
      </w:r>
      <w:r>
        <w:rPr>
          <w:lang w:val="el-GR"/>
        </w:rPr>
        <w:t>απο</w:t>
      </w:r>
      <w:r w:rsidRPr="000467E2">
        <w:rPr>
          <w:lang w:val="el-GR"/>
        </w:rPr>
        <w:t>λαμβάνουν ένα ολοκληρωμένο πακέτο ανάπτυξης που περιλαμβάνει:</w:t>
      </w:r>
    </w:p>
    <w:p w14:paraId="097562F6" w14:textId="66392373" w:rsidR="000467E2" w:rsidRPr="000467E2" w:rsidRDefault="000467E2" w:rsidP="000467E2">
      <w:pPr>
        <w:pStyle w:val="ListParagraph"/>
        <w:numPr>
          <w:ilvl w:val="0"/>
          <w:numId w:val="4"/>
        </w:numPr>
        <w:jc w:val="both"/>
        <w:rPr>
          <w:lang w:val="el-GR"/>
        </w:rPr>
      </w:pPr>
      <w:r w:rsidRPr="000467E2">
        <w:rPr>
          <w:lang w:val="el-GR"/>
        </w:rPr>
        <w:t>Ατομική διάγνωση και προσαρμοσμένα σχέδια κλ</w:t>
      </w:r>
      <w:r>
        <w:rPr>
          <w:lang w:val="el-GR"/>
        </w:rPr>
        <w:t>ιμάκωσης</w:t>
      </w:r>
    </w:p>
    <w:p w14:paraId="7762206D" w14:textId="77777777" w:rsidR="000467E2" w:rsidRPr="000467E2" w:rsidRDefault="000467E2" w:rsidP="000467E2">
      <w:pPr>
        <w:pStyle w:val="ListParagraph"/>
        <w:numPr>
          <w:ilvl w:val="0"/>
          <w:numId w:val="4"/>
        </w:numPr>
        <w:jc w:val="both"/>
        <w:rPr>
          <w:lang w:val="el-GR"/>
        </w:rPr>
      </w:pPr>
      <w:r w:rsidRPr="000467E2">
        <w:rPr>
          <w:lang w:val="el-GR"/>
        </w:rPr>
        <w:t>Ατομική καθοδήγηση από ειδικούς οδηγούς ACCEND</w:t>
      </w:r>
    </w:p>
    <w:p w14:paraId="0A82E41F" w14:textId="6DD2C9E7" w:rsidR="000467E2" w:rsidRPr="000467E2" w:rsidRDefault="000467E2" w:rsidP="000467E2">
      <w:pPr>
        <w:pStyle w:val="ListParagraph"/>
        <w:numPr>
          <w:ilvl w:val="0"/>
          <w:numId w:val="4"/>
        </w:numPr>
        <w:jc w:val="both"/>
        <w:rPr>
          <w:lang w:val="el-GR"/>
        </w:rPr>
      </w:pPr>
      <w:r w:rsidRPr="000467E2">
        <w:rPr>
          <w:lang w:val="el-GR"/>
        </w:rPr>
        <w:t xml:space="preserve">Στρατηγική καθοδήγηση για </w:t>
      </w:r>
      <w:r w:rsidRPr="000467E2">
        <w:rPr>
          <w:lang w:val="el-GR"/>
        </w:rPr>
        <w:t>επέκταση</w:t>
      </w:r>
      <w:r w:rsidRPr="000467E2">
        <w:rPr>
          <w:lang w:val="el-GR"/>
        </w:rPr>
        <w:t xml:space="preserve"> </w:t>
      </w:r>
      <w:r>
        <w:rPr>
          <w:lang w:val="el-GR"/>
        </w:rPr>
        <w:t>στην Ε</w:t>
      </w:r>
      <w:r w:rsidRPr="000467E2">
        <w:rPr>
          <w:lang w:val="el-GR"/>
        </w:rPr>
        <w:t xml:space="preserve">υρωπαϊκή και παγκόσμια </w:t>
      </w:r>
      <w:r>
        <w:rPr>
          <w:lang w:val="el-GR"/>
        </w:rPr>
        <w:t>αγορά</w:t>
      </w:r>
    </w:p>
    <w:p w14:paraId="5A7629BD" w14:textId="12A87D8D" w:rsidR="000467E2" w:rsidRPr="000467E2" w:rsidRDefault="000467E2" w:rsidP="000467E2">
      <w:pPr>
        <w:pStyle w:val="ListParagraph"/>
        <w:numPr>
          <w:ilvl w:val="0"/>
          <w:numId w:val="4"/>
        </w:numPr>
        <w:jc w:val="both"/>
        <w:rPr>
          <w:lang w:val="el-GR"/>
        </w:rPr>
      </w:pPr>
      <w:r w:rsidRPr="000467E2">
        <w:rPr>
          <w:lang w:val="el-GR"/>
        </w:rPr>
        <w:t xml:space="preserve">Επιμελημένες </w:t>
      </w:r>
      <w:r>
        <w:rPr>
          <w:lang w:val="el-GR"/>
        </w:rPr>
        <w:t>παρουσιάσεις</w:t>
      </w:r>
      <w:r w:rsidRPr="000467E2">
        <w:rPr>
          <w:lang w:val="el-GR"/>
        </w:rPr>
        <w:t xml:space="preserve"> σε επενδυτές, πόλεις και αγοραστές καινοτομίας</w:t>
      </w:r>
    </w:p>
    <w:p w14:paraId="022C2582" w14:textId="77777777" w:rsidR="000467E2" w:rsidRPr="000467E2" w:rsidRDefault="000467E2" w:rsidP="000467E2">
      <w:pPr>
        <w:pStyle w:val="ListParagraph"/>
        <w:numPr>
          <w:ilvl w:val="0"/>
          <w:numId w:val="4"/>
        </w:numPr>
        <w:jc w:val="both"/>
        <w:rPr>
          <w:lang w:val="el-GR"/>
        </w:rPr>
      </w:pPr>
      <w:r w:rsidRPr="000467E2">
        <w:rPr>
          <w:lang w:val="el-GR"/>
        </w:rPr>
        <w:t>Πρόσβαση σε πραγματικές πλατφόρμες δοκιμών και πιλοτικές ευκαιρίες</w:t>
      </w:r>
    </w:p>
    <w:p w14:paraId="72A7AAA4" w14:textId="75CE9A06" w:rsidR="000467E2" w:rsidRPr="000467E2" w:rsidRDefault="000467E2" w:rsidP="000467E2">
      <w:pPr>
        <w:pStyle w:val="ListParagraph"/>
        <w:numPr>
          <w:ilvl w:val="0"/>
          <w:numId w:val="4"/>
        </w:numPr>
        <w:jc w:val="both"/>
        <w:rPr>
          <w:lang w:val="el-GR"/>
        </w:rPr>
      </w:pPr>
      <w:r w:rsidRPr="000467E2">
        <w:rPr>
          <w:lang w:val="el-GR"/>
        </w:rPr>
        <w:t xml:space="preserve">Υποστήριξη </w:t>
      </w:r>
      <w:r>
        <w:rPr>
          <w:lang w:val="el-GR"/>
        </w:rPr>
        <w:t>στην πρόσβαση</w:t>
      </w:r>
      <w:r w:rsidRPr="000467E2">
        <w:rPr>
          <w:lang w:val="el-GR"/>
        </w:rPr>
        <w:t xml:space="preserve"> σε προμήθειες σε όλες τις αγορές της ΕΕ</w:t>
      </w:r>
    </w:p>
    <w:p w14:paraId="2693DA2E" w14:textId="77777777" w:rsidR="000467E2" w:rsidRPr="000467E2" w:rsidRDefault="000467E2" w:rsidP="000467E2">
      <w:pPr>
        <w:jc w:val="both"/>
        <w:rPr>
          <w:lang w:val="el-GR"/>
        </w:rPr>
      </w:pPr>
      <w:r w:rsidRPr="000467E2">
        <w:rPr>
          <w:lang w:val="el-GR"/>
        </w:rPr>
        <w:t xml:space="preserve">Το πρόγραμμα παρέχει επίσης </w:t>
      </w:r>
      <w:proofErr w:type="spellStart"/>
      <w:r w:rsidRPr="000467E2">
        <w:rPr>
          <w:lang w:val="el-GR"/>
        </w:rPr>
        <w:t>στοχευμένες</w:t>
      </w:r>
      <w:proofErr w:type="spellEnd"/>
      <w:r w:rsidRPr="000467E2">
        <w:rPr>
          <w:lang w:val="el-GR"/>
        </w:rPr>
        <w:t xml:space="preserve"> οδούς εισόδου στην αγορά σε διεθνείς αγορές προτεραιότητας, όπως οι ΗΠΑ και η Κίνα, παράλληλα με εξειδικευμένη υποστήριξη για εταιρείες </w:t>
      </w:r>
      <w:proofErr w:type="spellStart"/>
      <w:r w:rsidRPr="000467E2">
        <w:rPr>
          <w:lang w:val="el-GR"/>
        </w:rPr>
        <w:t>deep</w:t>
      </w:r>
      <w:proofErr w:type="spellEnd"/>
      <w:r w:rsidRPr="000467E2">
        <w:rPr>
          <w:lang w:val="el-GR"/>
        </w:rPr>
        <w:t xml:space="preserve"> </w:t>
      </w:r>
      <w:proofErr w:type="spellStart"/>
      <w:r w:rsidRPr="000467E2">
        <w:rPr>
          <w:lang w:val="el-GR"/>
        </w:rPr>
        <w:t>tech</w:t>
      </w:r>
      <w:proofErr w:type="spellEnd"/>
      <w:r w:rsidRPr="000467E2">
        <w:rPr>
          <w:lang w:val="el-GR"/>
        </w:rPr>
        <w:t xml:space="preserve"> με επικεφαλής γυναίκες.</w:t>
      </w:r>
    </w:p>
    <w:p w14:paraId="1125E9CF" w14:textId="631194DE" w:rsidR="000467E2" w:rsidRPr="000467E2" w:rsidRDefault="000467E2" w:rsidP="000467E2">
      <w:pPr>
        <w:jc w:val="both"/>
        <w:rPr>
          <w:lang w:val="el-GR"/>
        </w:rPr>
      </w:pPr>
      <w:r w:rsidRPr="00D237A3">
        <w:rPr>
          <w:lang w:val="el-GR"/>
        </w:rPr>
        <w:t>«Το ACCEND εξοπλ</w:t>
      </w:r>
      <w:r w:rsidR="009B170E" w:rsidRPr="00D237A3">
        <w:rPr>
          <w:lang w:val="el-GR"/>
        </w:rPr>
        <w:t>ίζει</w:t>
      </w:r>
      <w:r w:rsidRPr="00D237A3">
        <w:rPr>
          <w:lang w:val="el-GR"/>
        </w:rPr>
        <w:t xml:space="preserve"> </w:t>
      </w:r>
      <w:proofErr w:type="spellStart"/>
      <w:r w:rsidRPr="00D237A3">
        <w:rPr>
          <w:lang w:val="el-GR"/>
        </w:rPr>
        <w:t>deep</w:t>
      </w:r>
      <w:proofErr w:type="spellEnd"/>
      <w:r w:rsidRPr="00D237A3">
        <w:rPr>
          <w:lang w:val="el-GR"/>
        </w:rPr>
        <w:t xml:space="preserve"> </w:t>
      </w:r>
      <w:proofErr w:type="spellStart"/>
      <w:r w:rsidRPr="00D237A3">
        <w:rPr>
          <w:lang w:val="el-GR"/>
        </w:rPr>
        <w:t>tech</w:t>
      </w:r>
      <w:proofErr w:type="spellEnd"/>
      <w:r w:rsidRPr="00D237A3">
        <w:rPr>
          <w:lang w:val="el-GR"/>
        </w:rPr>
        <w:t xml:space="preserve"> </w:t>
      </w:r>
      <w:proofErr w:type="spellStart"/>
      <w:r w:rsidRPr="00D237A3">
        <w:rPr>
          <w:lang w:val="el-GR"/>
        </w:rPr>
        <w:t>scaleups</w:t>
      </w:r>
      <w:proofErr w:type="spellEnd"/>
      <w:r w:rsidRPr="000467E2">
        <w:rPr>
          <w:lang w:val="el-GR"/>
        </w:rPr>
        <w:t xml:space="preserve"> με τ</w:t>
      </w:r>
      <w:r w:rsidR="00D237A3">
        <w:rPr>
          <w:lang w:val="el-GR"/>
        </w:rPr>
        <w:t xml:space="preserve">ην </w:t>
      </w:r>
      <w:r w:rsidRPr="000467E2">
        <w:rPr>
          <w:lang w:val="el-GR"/>
        </w:rPr>
        <w:t>δ</w:t>
      </w:r>
      <w:r w:rsidR="00D237A3">
        <w:rPr>
          <w:lang w:val="el-GR"/>
        </w:rPr>
        <w:t>ικτύωση</w:t>
      </w:r>
      <w:r w:rsidRPr="000467E2">
        <w:rPr>
          <w:lang w:val="el-GR"/>
        </w:rPr>
        <w:t xml:space="preserve">, τα περιβάλλοντα επικύρωσης και την πληροφόρηση για την αγορά που χρειάζονται για να αναπτυχθούν σε όλη την Ευρώπη και πέρα ​​από αυτήν», δήλωσε η Δρ. </w:t>
      </w:r>
      <w:proofErr w:type="spellStart"/>
      <w:r w:rsidRPr="000467E2">
        <w:rPr>
          <w:lang w:val="el-GR"/>
        </w:rPr>
        <w:t>Gemma</w:t>
      </w:r>
      <w:proofErr w:type="spellEnd"/>
      <w:r w:rsidRPr="000467E2">
        <w:rPr>
          <w:lang w:val="el-GR"/>
        </w:rPr>
        <w:t xml:space="preserve"> </w:t>
      </w:r>
      <w:proofErr w:type="spellStart"/>
      <w:r w:rsidRPr="000467E2">
        <w:rPr>
          <w:lang w:val="el-GR"/>
        </w:rPr>
        <w:t>Cassells</w:t>
      </w:r>
      <w:proofErr w:type="spellEnd"/>
      <w:r w:rsidRPr="000467E2">
        <w:rPr>
          <w:lang w:val="el-GR"/>
        </w:rPr>
        <w:t xml:space="preserve">, συντονίστρια του έργου και επικεφαλής στρατηγικής για το πρόγραμμα </w:t>
      </w:r>
      <w:proofErr w:type="spellStart"/>
      <w:r w:rsidRPr="000467E2">
        <w:rPr>
          <w:lang w:val="el-GR"/>
        </w:rPr>
        <w:t>Data-Driven</w:t>
      </w:r>
      <w:proofErr w:type="spellEnd"/>
      <w:r w:rsidRPr="000467E2">
        <w:rPr>
          <w:lang w:val="el-GR"/>
        </w:rPr>
        <w:t xml:space="preserve"> </w:t>
      </w:r>
      <w:proofErr w:type="spellStart"/>
      <w:r w:rsidRPr="000467E2">
        <w:rPr>
          <w:lang w:val="el-GR"/>
        </w:rPr>
        <w:t>Innovation</w:t>
      </w:r>
      <w:proofErr w:type="spellEnd"/>
      <w:r w:rsidRPr="000467E2">
        <w:rPr>
          <w:lang w:val="el-GR"/>
        </w:rPr>
        <w:t xml:space="preserve"> στο Πανεπιστήμιο του Εδιμβούργου. «Με 28 εταιρείες να βρίσκονται ήδη στην </w:t>
      </w:r>
      <w:r w:rsidR="00D237A3">
        <w:rPr>
          <w:lang w:val="el-GR"/>
        </w:rPr>
        <w:t>1</w:t>
      </w:r>
      <w:r w:rsidR="00D237A3" w:rsidRPr="00D237A3">
        <w:rPr>
          <w:vertAlign w:val="superscript"/>
          <w:lang w:val="el-GR"/>
        </w:rPr>
        <w:t>η</w:t>
      </w:r>
      <w:r w:rsidR="00D237A3">
        <w:rPr>
          <w:lang w:val="el-GR"/>
        </w:rPr>
        <w:t xml:space="preserve"> ομάδα</w:t>
      </w:r>
      <w:r w:rsidRPr="000467E2">
        <w:rPr>
          <w:lang w:val="el-GR"/>
        </w:rPr>
        <w:t>, βλέπουμε ισχυρή δυναμική και διασυνοριακή συνεργασία στην πράξη».</w:t>
      </w:r>
    </w:p>
    <w:p w14:paraId="61CFB602" w14:textId="7E235E40" w:rsidR="00D237A3" w:rsidRPr="00D237A3" w:rsidRDefault="00D237A3" w:rsidP="00D237A3">
      <w:pPr>
        <w:jc w:val="both"/>
        <w:rPr>
          <w:lang w:val="el-GR"/>
        </w:rPr>
      </w:pPr>
      <w:r w:rsidRPr="00D237A3">
        <w:rPr>
          <w:b/>
          <w:lang w:val="el-GR"/>
        </w:rPr>
        <w:t>Ενημερωτική Εκδήλωση – 10 Μαρτίου</w:t>
      </w:r>
      <w:r w:rsidRPr="00D237A3">
        <w:rPr>
          <w:lang w:val="el-GR"/>
        </w:rPr>
        <w:t xml:space="preserve">: Οι υποψήφιοι προσκαλούνται να παρακολουθήσουν μια διαδικτυακή ενημερωτική συνεδρία στις 10 Μαρτίου, όπου </w:t>
      </w:r>
      <w:r>
        <w:rPr>
          <w:lang w:val="el-GR"/>
        </w:rPr>
        <w:t>εκπρόσωποι της σύμπραξης</w:t>
      </w:r>
      <w:r w:rsidRPr="00D237A3">
        <w:rPr>
          <w:lang w:val="el-GR"/>
        </w:rPr>
        <w:t xml:space="preserve"> θα περιγράψ</w:t>
      </w:r>
      <w:r>
        <w:rPr>
          <w:lang w:val="el-GR"/>
        </w:rPr>
        <w:t>ουν</w:t>
      </w:r>
      <w:r w:rsidRPr="00D237A3">
        <w:rPr>
          <w:lang w:val="el-GR"/>
        </w:rPr>
        <w:t xml:space="preserve"> τα κριτήρια </w:t>
      </w:r>
      <w:proofErr w:type="spellStart"/>
      <w:r w:rsidRPr="00D237A3">
        <w:rPr>
          <w:lang w:val="el-GR"/>
        </w:rPr>
        <w:t>επιλεξιμότητας</w:t>
      </w:r>
      <w:proofErr w:type="spellEnd"/>
      <w:r w:rsidRPr="00D237A3">
        <w:rPr>
          <w:lang w:val="el-GR"/>
        </w:rPr>
        <w:t>, τη</w:t>
      </w:r>
      <w:r>
        <w:rPr>
          <w:lang w:val="el-GR"/>
        </w:rPr>
        <w:t>ν</w:t>
      </w:r>
      <w:r w:rsidRPr="00D237A3">
        <w:rPr>
          <w:lang w:val="el-GR"/>
        </w:rPr>
        <w:t xml:space="preserve"> δομή του προγράμματος και τη</w:t>
      </w:r>
      <w:r>
        <w:rPr>
          <w:lang w:val="el-GR"/>
        </w:rPr>
        <w:t>ν</w:t>
      </w:r>
      <w:r w:rsidRPr="00D237A3">
        <w:rPr>
          <w:lang w:val="el-GR"/>
        </w:rPr>
        <w:t xml:space="preserve"> διαδικασία υποβολής αιτήσεων, ακολουθούμενη από συζήτηση</w:t>
      </w:r>
      <w:r>
        <w:rPr>
          <w:lang w:val="el-GR"/>
        </w:rPr>
        <w:t>,</w:t>
      </w:r>
      <w:r w:rsidRPr="00D237A3">
        <w:rPr>
          <w:lang w:val="el-GR"/>
        </w:rPr>
        <w:t xml:space="preserve"> ερωτήσε</w:t>
      </w:r>
      <w:r>
        <w:rPr>
          <w:lang w:val="el-GR"/>
        </w:rPr>
        <w:t>ις</w:t>
      </w:r>
      <w:r w:rsidRPr="00D237A3">
        <w:rPr>
          <w:lang w:val="el-GR"/>
        </w:rPr>
        <w:t xml:space="preserve"> και απαντήσε</w:t>
      </w:r>
      <w:r>
        <w:rPr>
          <w:lang w:val="el-GR"/>
        </w:rPr>
        <w:t>ις</w:t>
      </w:r>
      <w:r w:rsidRPr="00D237A3">
        <w:rPr>
          <w:lang w:val="el-GR"/>
        </w:rPr>
        <w:t>.</w:t>
      </w:r>
    </w:p>
    <w:p w14:paraId="78866575" w14:textId="77777777" w:rsidR="00D237A3" w:rsidRPr="00D237A3" w:rsidRDefault="00D237A3" w:rsidP="00D237A3">
      <w:pPr>
        <w:jc w:val="both"/>
        <w:rPr>
          <w:lang w:val="el-GR"/>
        </w:rPr>
      </w:pPr>
    </w:p>
    <w:p w14:paraId="56EF2793" w14:textId="3C5FF481" w:rsidR="00D237A3" w:rsidRPr="00D237A3" w:rsidRDefault="00D237A3" w:rsidP="00D237A3">
      <w:pPr>
        <w:jc w:val="both"/>
        <w:rPr>
          <w:lang w:val="el-GR"/>
        </w:rPr>
      </w:pPr>
      <w:r w:rsidRPr="00D237A3">
        <w:rPr>
          <w:b/>
          <w:lang w:val="el-GR"/>
        </w:rPr>
        <w:t>Αιτήσεις μπορούν να υποβληθούν έως τις 8 Απριλίου</w:t>
      </w:r>
      <w:r w:rsidRPr="00D237A3">
        <w:rPr>
          <w:lang w:val="el-GR"/>
        </w:rPr>
        <w:t xml:space="preserve">: Οι αιτήσεις για την </w:t>
      </w:r>
      <w:r>
        <w:rPr>
          <w:lang w:val="el-GR"/>
        </w:rPr>
        <w:t>2</w:t>
      </w:r>
      <w:r w:rsidRPr="00D237A3"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r w:rsidRPr="00D237A3">
        <w:rPr>
          <w:lang w:val="el-GR"/>
        </w:rPr>
        <w:t xml:space="preserve">Ομάδα </w:t>
      </w:r>
      <w:r w:rsidR="00E92C3F">
        <w:rPr>
          <w:lang w:val="el-GR"/>
        </w:rPr>
        <w:t xml:space="preserve">μπορούν να υποβάλλονται έως </w:t>
      </w:r>
      <w:r w:rsidRPr="00D237A3">
        <w:rPr>
          <w:lang w:val="el-GR"/>
        </w:rPr>
        <w:t xml:space="preserve">τις 8 Απριλίου. Οι εταιρείες που δραστηριοποιούνται σε </w:t>
      </w:r>
      <w:r w:rsidR="00E92C3F">
        <w:rPr>
          <w:lang w:val="el-GR"/>
        </w:rPr>
        <w:t xml:space="preserve">εφαρμογές για </w:t>
      </w:r>
      <w:r w:rsidRPr="00D237A3">
        <w:rPr>
          <w:lang w:val="el-GR"/>
        </w:rPr>
        <w:t xml:space="preserve">έξυπνες πόλεις, πόλεις </w:t>
      </w:r>
      <w:r w:rsidR="00E92C3F">
        <w:rPr>
          <w:lang w:val="el-GR"/>
        </w:rPr>
        <w:t xml:space="preserve">καθαρών </w:t>
      </w:r>
      <w:r w:rsidRPr="00D237A3">
        <w:rPr>
          <w:lang w:val="el-GR"/>
        </w:rPr>
        <w:t>μηδενικ</w:t>
      </w:r>
      <w:r w:rsidR="00E92C3F">
        <w:rPr>
          <w:lang w:val="el-GR"/>
        </w:rPr>
        <w:t>ών</w:t>
      </w:r>
      <w:r w:rsidRPr="00D237A3">
        <w:rPr>
          <w:lang w:val="el-GR"/>
        </w:rPr>
        <w:t xml:space="preserve"> </w:t>
      </w:r>
      <w:r w:rsidR="00E92C3F">
        <w:rPr>
          <w:lang w:val="el-GR"/>
        </w:rPr>
        <w:t>εκπομπών</w:t>
      </w:r>
      <w:r w:rsidRPr="00D237A3">
        <w:rPr>
          <w:lang w:val="el-GR"/>
        </w:rPr>
        <w:t xml:space="preserve"> και αναγεννητικές πόλεις ενθαρρύνονται να υποβάλουν αίτηση.</w:t>
      </w:r>
    </w:p>
    <w:p w14:paraId="0DC14352" w14:textId="65C297A4" w:rsidR="00D237A3" w:rsidRPr="00D237A3" w:rsidRDefault="00D237A3" w:rsidP="00D237A3">
      <w:pPr>
        <w:jc w:val="both"/>
        <w:rPr>
          <w:lang w:val="el-GR"/>
        </w:rPr>
      </w:pPr>
      <w:r w:rsidRPr="00D237A3">
        <w:rPr>
          <w:lang w:val="el-GR"/>
        </w:rPr>
        <w:t xml:space="preserve">Εγγραφείτε στην ενημερωτική συνεδρία, μάθετε περισσότερα και υποβάλετε αίτηση: </w:t>
      </w:r>
      <w:hyperlink r:id="rId10" w:history="1">
        <w:r w:rsidR="00E92C3F" w:rsidRPr="00C50E43">
          <w:rPr>
            <w:rStyle w:val="Hyperlink"/>
            <w:lang w:val="el-GR"/>
          </w:rPr>
          <w:t>www.accendhorizon.eu</w:t>
        </w:r>
      </w:hyperlink>
      <w:r w:rsidR="00E92C3F">
        <w:rPr>
          <w:lang w:val="el-GR"/>
        </w:rPr>
        <w:t xml:space="preserve"> </w:t>
      </w:r>
    </w:p>
    <w:p w14:paraId="23CD99D3" w14:textId="46DC9CA8" w:rsidR="30020AB7" w:rsidRDefault="30020AB7" w:rsidP="30020AB7">
      <w:pPr>
        <w:jc w:val="both"/>
      </w:pPr>
    </w:p>
    <w:p w14:paraId="40F17E64" w14:textId="30BCE5FE" w:rsidR="65C0ED29" w:rsidRDefault="00E92C3F" w:rsidP="5E9BD45A">
      <w:pPr>
        <w:jc w:val="both"/>
        <w:rPr>
          <w:b/>
          <w:bCs/>
        </w:rPr>
      </w:pPr>
      <w:r>
        <w:rPr>
          <w:b/>
          <w:bCs/>
          <w:lang w:val="el-GR"/>
        </w:rPr>
        <w:t xml:space="preserve">Εταίροι του έργου </w:t>
      </w:r>
      <w:r w:rsidR="65C0ED29" w:rsidRPr="10FE38C4">
        <w:rPr>
          <w:b/>
          <w:bCs/>
        </w:rPr>
        <w:t>ACCEND</w:t>
      </w:r>
      <w:r w:rsidR="65C0ED29" w:rsidRPr="5E9BD45A">
        <w:rPr>
          <w:b/>
          <w:bCs/>
        </w:rPr>
        <w:t>:</w:t>
      </w:r>
    </w:p>
    <w:p w14:paraId="0DF25814" w14:textId="6B2016A8" w:rsidR="65C0ED29" w:rsidRDefault="65C0ED29" w:rsidP="536219A9">
      <w:pPr>
        <w:jc w:val="both"/>
        <w:rPr>
          <w:rFonts w:ascii="Calibri" w:eastAsia="Calibri" w:hAnsi="Calibri" w:cs="Calibri"/>
        </w:rPr>
      </w:pPr>
      <w:r w:rsidRPr="4430E31C">
        <w:rPr>
          <w:rFonts w:ascii="Calibri" w:eastAsia="Calibri" w:hAnsi="Calibri" w:cs="Calibri"/>
          <w:b/>
          <w:bCs/>
          <w:color w:val="0563C1"/>
          <w:u w:val="single"/>
        </w:rPr>
        <w:t>28DIGITAL</w:t>
      </w:r>
      <w:r w:rsidRPr="34BA17C9">
        <w:rPr>
          <w:rFonts w:ascii="Calibri" w:eastAsia="Calibri" w:hAnsi="Calibri" w:cs="Calibri"/>
        </w:rPr>
        <w:t xml:space="preserve"> | </w:t>
      </w:r>
      <w:proofErr w:type="spellStart"/>
      <w:r w:rsidRPr="78B67340">
        <w:rPr>
          <w:rFonts w:ascii="Calibri" w:eastAsia="Calibri" w:hAnsi="Calibri" w:cs="Calibri"/>
          <w:b/>
          <w:bCs/>
          <w:color w:val="0563C1"/>
          <w:u w:val="single"/>
        </w:rPr>
        <w:t>CodeBase</w:t>
      </w:r>
      <w:proofErr w:type="spellEnd"/>
      <w:r w:rsidRPr="34BA17C9">
        <w:rPr>
          <w:rFonts w:ascii="Calibri" w:eastAsia="Calibri" w:hAnsi="Calibri" w:cs="Calibri"/>
        </w:rPr>
        <w:t xml:space="preserve"> | </w:t>
      </w:r>
      <w:proofErr w:type="spellStart"/>
      <w:r w:rsidRPr="39903D63">
        <w:rPr>
          <w:rFonts w:ascii="Calibri" w:eastAsia="Calibri" w:hAnsi="Calibri" w:cs="Calibri"/>
          <w:b/>
          <w:bCs/>
          <w:color w:val="0563C1"/>
          <w:u w:val="single"/>
        </w:rPr>
        <w:t>EdTechHub</w:t>
      </w:r>
      <w:proofErr w:type="spellEnd"/>
      <w:r w:rsidRPr="39903D63">
        <w:rPr>
          <w:rFonts w:ascii="Calibri" w:eastAsia="Calibri" w:hAnsi="Calibri" w:cs="Calibri"/>
          <w:b/>
          <w:bCs/>
          <w:color w:val="0563C1"/>
          <w:u w:val="single"/>
        </w:rPr>
        <w:t xml:space="preserve"> Ventures</w:t>
      </w:r>
      <w:r w:rsidRPr="34BA17C9">
        <w:rPr>
          <w:rFonts w:ascii="Calibri" w:eastAsia="Calibri" w:hAnsi="Calibri" w:cs="Calibri"/>
        </w:rPr>
        <w:t xml:space="preserve"> | </w:t>
      </w:r>
      <w:r w:rsidRPr="78A9940B">
        <w:rPr>
          <w:rFonts w:ascii="Calibri" w:eastAsia="Calibri" w:hAnsi="Calibri" w:cs="Calibri"/>
          <w:b/>
          <w:bCs/>
          <w:color w:val="0563C1"/>
          <w:u w:val="single"/>
        </w:rPr>
        <w:t>Spanish Chamber of Commerce</w:t>
      </w:r>
      <w:r w:rsidRPr="34BA17C9">
        <w:rPr>
          <w:rFonts w:ascii="Calibri" w:eastAsia="Calibri" w:hAnsi="Calibri" w:cs="Calibri"/>
        </w:rPr>
        <w:t xml:space="preserve"> | </w:t>
      </w:r>
      <w:proofErr w:type="spellStart"/>
      <w:r w:rsidRPr="562873F0">
        <w:rPr>
          <w:rFonts w:ascii="Calibri" w:eastAsia="Calibri" w:hAnsi="Calibri" w:cs="Calibri"/>
          <w:b/>
          <w:bCs/>
          <w:color w:val="0563C1"/>
          <w:u w:val="single"/>
        </w:rPr>
        <w:t>Startup</w:t>
      </w:r>
      <w:proofErr w:type="spellEnd"/>
      <w:r w:rsidRPr="562873F0">
        <w:rPr>
          <w:rFonts w:ascii="Calibri" w:eastAsia="Calibri" w:hAnsi="Calibri" w:cs="Calibri"/>
          <w:b/>
          <w:bCs/>
          <w:color w:val="0563C1"/>
          <w:u w:val="single"/>
        </w:rPr>
        <w:t xml:space="preserve"> Poland</w:t>
      </w:r>
      <w:r w:rsidRPr="34BA17C9">
        <w:rPr>
          <w:rFonts w:ascii="Calibri" w:eastAsia="Calibri" w:hAnsi="Calibri" w:cs="Calibri"/>
        </w:rPr>
        <w:t xml:space="preserve"> | </w:t>
      </w:r>
      <w:r w:rsidRPr="547676E5">
        <w:rPr>
          <w:rFonts w:ascii="Calibri" w:eastAsia="Calibri" w:hAnsi="Calibri" w:cs="Calibri"/>
          <w:b/>
          <w:bCs/>
          <w:color w:val="0563C1"/>
          <w:u w:val="single"/>
        </w:rPr>
        <w:t>Regional Development Fund of RWG</w:t>
      </w:r>
      <w:r w:rsidRPr="34BA17C9">
        <w:rPr>
          <w:rFonts w:ascii="Calibri" w:eastAsia="Calibri" w:hAnsi="Calibri" w:cs="Calibri"/>
        </w:rPr>
        <w:t xml:space="preserve"> | </w:t>
      </w:r>
      <w:r w:rsidRPr="7A84340C">
        <w:rPr>
          <w:rFonts w:ascii="Calibri" w:eastAsia="Calibri" w:hAnsi="Calibri" w:cs="Calibri"/>
          <w:b/>
          <w:bCs/>
          <w:color w:val="0563C1"/>
          <w:u w:val="single"/>
        </w:rPr>
        <w:t xml:space="preserve">NCSR "DEMOKRITOS" </w:t>
      </w:r>
      <w:r w:rsidRPr="7A84340C">
        <w:rPr>
          <w:rFonts w:ascii="Calibri" w:eastAsia="Calibri" w:hAnsi="Calibri" w:cs="Calibri"/>
        </w:rPr>
        <w:t>|</w:t>
      </w:r>
      <w:r w:rsidRPr="34BA17C9">
        <w:rPr>
          <w:rFonts w:ascii="Calibri" w:eastAsia="Calibri" w:hAnsi="Calibri" w:cs="Calibri"/>
        </w:rPr>
        <w:t xml:space="preserve"> </w:t>
      </w:r>
      <w:r w:rsidRPr="3EF37160">
        <w:rPr>
          <w:rFonts w:ascii="Calibri" w:eastAsia="Calibri" w:hAnsi="Calibri" w:cs="Calibri"/>
          <w:b/>
          <w:bCs/>
          <w:color w:val="0563C1"/>
          <w:u w:val="single"/>
        </w:rPr>
        <w:t>VUB Business Development Academy</w:t>
      </w:r>
      <w:r w:rsidRPr="34BA17C9">
        <w:rPr>
          <w:rFonts w:ascii="Calibri" w:eastAsia="Calibri" w:hAnsi="Calibri" w:cs="Calibri"/>
        </w:rPr>
        <w:t xml:space="preserve"> | </w:t>
      </w:r>
      <w:hyperlink r:id="rId11">
        <w:r w:rsidRPr="34BA17C9">
          <w:rPr>
            <w:rStyle w:val="Hyperlink"/>
            <w:rFonts w:ascii="Calibri" w:eastAsia="Calibri" w:hAnsi="Calibri" w:cs="Calibri"/>
            <w:b/>
            <w:bCs/>
            <w:color w:val="0563C1"/>
          </w:rPr>
          <w:t>Open &amp; Agile Smart Cities &amp; Communities (OASC)</w:t>
        </w:r>
      </w:hyperlink>
      <w:r w:rsidRPr="34BA17C9">
        <w:rPr>
          <w:rFonts w:ascii="Calibri" w:eastAsia="Calibri" w:hAnsi="Calibri" w:cs="Calibri"/>
        </w:rPr>
        <w:t xml:space="preserve">| </w:t>
      </w:r>
      <w:r w:rsidRPr="22E9092E">
        <w:rPr>
          <w:rFonts w:ascii="Calibri" w:eastAsia="Calibri" w:hAnsi="Calibri" w:cs="Calibri"/>
          <w:b/>
          <w:bCs/>
          <w:color w:val="0563C1"/>
          <w:u w:val="single"/>
        </w:rPr>
        <w:t>University of Edinburgh</w:t>
      </w:r>
      <w:r w:rsidRPr="34BA17C9">
        <w:rPr>
          <w:rFonts w:ascii="Calibri" w:eastAsia="Calibri" w:hAnsi="Calibri" w:cs="Calibri"/>
          <w:b/>
          <w:bCs/>
        </w:rPr>
        <w:t xml:space="preserve"> </w:t>
      </w:r>
    </w:p>
    <w:p w14:paraId="49122756" w14:textId="77777777" w:rsidR="00E92C3F" w:rsidRDefault="00E92C3F" w:rsidP="536219A9">
      <w:pPr>
        <w:jc w:val="both"/>
        <w:rPr>
          <w:b/>
          <w:bCs/>
        </w:rPr>
      </w:pPr>
      <w:bookmarkStart w:id="0" w:name="_GoBack"/>
      <w:bookmarkEnd w:id="0"/>
    </w:p>
    <w:sectPr w:rsidR="00E92C3F" w:rsidSect="00C91F9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69B89" w14:textId="77777777" w:rsidR="00902014" w:rsidRDefault="00902014" w:rsidP="009257AC">
      <w:pPr>
        <w:spacing w:after="0" w:line="240" w:lineRule="auto"/>
      </w:pPr>
      <w:r>
        <w:separator/>
      </w:r>
    </w:p>
  </w:endnote>
  <w:endnote w:type="continuationSeparator" w:id="0">
    <w:p w14:paraId="5248CD39" w14:textId="77777777" w:rsidR="00902014" w:rsidRDefault="00902014" w:rsidP="0092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ADD7B" w14:textId="77777777" w:rsidR="00902014" w:rsidRDefault="00902014" w:rsidP="009257AC">
      <w:pPr>
        <w:spacing w:after="0" w:line="240" w:lineRule="auto"/>
      </w:pPr>
      <w:r>
        <w:separator/>
      </w:r>
    </w:p>
  </w:footnote>
  <w:footnote w:type="continuationSeparator" w:id="0">
    <w:p w14:paraId="19F46E0D" w14:textId="77777777" w:rsidR="00902014" w:rsidRDefault="00902014" w:rsidP="0092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4029" w14:textId="7D8225C5" w:rsidR="009257AC" w:rsidRDefault="009257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EFF247" wp14:editId="0F7FE272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3851910" cy="811529"/>
          <wp:effectExtent l="0" t="0" r="0" b="8255"/>
          <wp:wrapNone/>
          <wp:docPr id="763244975" name="Picture 1">
            <a:extLst xmlns:a="http://schemas.openxmlformats.org/drawingml/2006/main">
              <a:ext uri="{FF2B5EF4-FFF2-40B4-BE49-F238E27FC236}">
                <a16:creationId xmlns:a16="http://schemas.microsoft.com/office/drawing/2014/main" id="{4CA233CB-BF43-4F97-B0AF-DD31689AB8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44975" name="Picture 763244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10" cy="811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ugQAwCYIqyMxP4" int2:id="ETxW1CQo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16B"/>
    <w:multiLevelType w:val="hybridMultilevel"/>
    <w:tmpl w:val="1E588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66A21"/>
    <w:multiLevelType w:val="multilevel"/>
    <w:tmpl w:val="741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8315D"/>
    <w:multiLevelType w:val="hybridMultilevel"/>
    <w:tmpl w:val="E49CC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2FAF"/>
    <w:multiLevelType w:val="multilevel"/>
    <w:tmpl w:val="127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08"/>
    <w:rsid w:val="00030077"/>
    <w:rsid w:val="000438C9"/>
    <w:rsid w:val="000467E2"/>
    <w:rsid w:val="00051887"/>
    <w:rsid w:val="00074756"/>
    <w:rsid w:val="000A4C3D"/>
    <w:rsid w:val="000C1D69"/>
    <w:rsid w:val="000D0BA5"/>
    <w:rsid w:val="000E0956"/>
    <w:rsid w:val="000F32C0"/>
    <w:rsid w:val="00107D52"/>
    <w:rsid w:val="00117F32"/>
    <w:rsid w:val="0013672F"/>
    <w:rsid w:val="0016425A"/>
    <w:rsid w:val="0016743D"/>
    <w:rsid w:val="001E4569"/>
    <w:rsid w:val="00232C46"/>
    <w:rsid w:val="00257AB6"/>
    <w:rsid w:val="00266584"/>
    <w:rsid w:val="002964F7"/>
    <w:rsid w:val="002C024A"/>
    <w:rsid w:val="002F0C0E"/>
    <w:rsid w:val="00307290"/>
    <w:rsid w:val="003104A4"/>
    <w:rsid w:val="00322413"/>
    <w:rsid w:val="00325DF2"/>
    <w:rsid w:val="00352CC1"/>
    <w:rsid w:val="003B5F5D"/>
    <w:rsid w:val="003C6612"/>
    <w:rsid w:val="003E7985"/>
    <w:rsid w:val="00434FF7"/>
    <w:rsid w:val="00481E9D"/>
    <w:rsid w:val="00482483"/>
    <w:rsid w:val="004841D6"/>
    <w:rsid w:val="004D2011"/>
    <w:rsid w:val="004E7CF7"/>
    <w:rsid w:val="004F2DA2"/>
    <w:rsid w:val="00572B3D"/>
    <w:rsid w:val="005F08EA"/>
    <w:rsid w:val="005F510C"/>
    <w:rsid w:val="00605689"/>
    <w:rsid w:val="0067706E"/>
    <w:rsid w:val="00692C01"/>
    <w:rsid w:val="006B0367"/>
    <w:rsid w:val="006F1C5F"/>
    <w:rsid w:val="0073197E"/>
    <w:rsid w:val="00760535"/>
    <w:rsid w:val="00777E60"/>
    <w:rsid w:val="00787A12"/>
    <w:rsid w:val="007A2730"/>
    <w:rsid w:val="007C5881"/>
    <w:rsid w:val="007E69D2"/>
    <w:rsid w:val="0080306D"/>
    <w:rsid w:val="00803C0D"/>
    <w:rsid w:val="00831200"/>
    <w:rsid w:val="00855B5C"/>
    <w:rsid w:val="008A4DCB"/>
    <w:rsid w:val="008B3233"/>
    <w:rsid w:val="008C7218"/>
    <w:rsid w:val="00902014"/>
    <w:rsid w:val="0091511C"/>
    <w:rsid w:val="009257AC"/>
    <w:rsid w:val="009400AB"/>
    <w:rsid w:val="009A5E52"/>
    <w:rsid w:val="009B170E"/>
    <w:rsid w:val="009D16DB"/>
    <w:rsid w:val="00A07FC8"/>
    <w:rsid w:val="00A246F4"/>
    <w:rsid w:val="00A27B6D"/>
    <w:rsid w:val="00A50108"/>
    <w:rsid w:val="00A653F2"/>
    <w:rsid w:val="00B040A5"/>
    <w:rsid w:val="00B15227"/>
    <w:rsid w:val="00B25AFD"/>
    <w:rsid w:val="00B30CC9"/>
    <w:rsid w:val="00B72E8E"/>
    <w:rsid w:val="00B83A85"/>
    <w:rsid w:val="00B959D0"/>
    <w:rsid w:val="00BB6D34"/>
    <w:rsid w:val="00BF552B"/>
    <w:rsid w:val="00C75867"/>
    <w:rsid w:val="00C91B26"/>
    <w:rsid w:val="00C91F97"/>
    <w:rsid w:val="00C92F7B"/>
    <w:rsid w:val="00CA17E8"/>
    <w:rsid w:val="00CE17F0"/>
    <w:rsid w:val="00D01D5B"/>
    <w:rsid w:val="00D237A3"/>
    <w:rsid w:val="00D361BC"/>
    <w:rsid w:val="00D40CC8"/>
    <w:rsid w:val="00D55C3D"/>
    <w:rsid w:val="00D62076"/>
    <w:rsid w:val="00D7748E"/>
    <w:rsid w:val="00D87191"/>
    <w:rsid w:val="00D87FDB"/>
    <w:rsid w:val="00DA5C08"/>
    <w:rsid w:val="00DB7A8C"/>
    <w:rsid w:val="00DD234B"/>
    <w:rsid w:val="00E20324"/>
    <w:rsid w:val="00E33CC4"/>
    <w:rsid w:val="00E75A84"/>
    <w:rsid w:val="00E92C3F"/>
    <w:rsid w:val="00EA19E3"/>
    <w:rsid w:val="00ED0F67"/>
    <w:rsid w:val="00F24D23"/>
    <w:rsid w:val="00F40AF9"/>
    <w:rsid w:val="00F470A7"/>
    <w:rsid w:val="00F626FA"/>
    <w:rsid w:val="00F91B15"/>
    <w:rsid w:val="00FA5660"/>
    <w:rsid w:val="00FC6C3F"/>
    <w:rsid w:val="00FF73EE"/>
    <w:rsid w:val="02F68FFB"/>
    <w:rsid w:val="074D2250"/>
    <w:rsid w:val="099F9A81"/>
    <w:rsid w:val="0B2B5D0A"/>
    <w:rsid w:val="0BBD5903"/>
    <w:rsid w:val="0EB30D22"/>
    <w:rsid w:val="100FB36D"/>
    <w:rsid w:val="10FE38C4"/>
    <w:rsid w:val="11D0D389"/>
    <w:rsid w:val="14B8BC40"/>
    <w:rsid w:val="2191F5C5"/>
    <w:rsid w:val="22E9092E"/>
    <w:rsid w:val="24CD5F93"/>
    <w:rsid w:val="26ABDB41"/>
    <w:rsid w:val="2CE502D8"/>
    <w:rsid w:val="2FB2A2B7"/>
    <w:rsid w:val="30020AB7"/>
    <w:rsid w:val="34BA17C9"/>
    <w:rsid w:val="39903D63"/>
    <w:rsid w:val="3EF37160"/>
    <w:rsid w:val="3FB93C3F"/>
    <w:rsid w:val="409914B2"/>
    <w:rsid w:val="40B34169"/>
    <w:rsid w:val="414A410A"/>
    <w:rsid w:val="4430E31C"/>
    <w:rsid w:val="4522668C"/>
    <w:rsid w:val="472F4DB9"/>
    <w:rsid w:val="4FB62955"/>
    <w:rsid w:val="5129A2CD"/>
    <w:rsid w:val="536219A9"/>
    <w:rsid w:val="547676E5"/>
    <w:rsid w:val="54A7D283"/>
    <w:rsid w:val="54FFFFD4"/>
    <w:rsid w:val="562873F0"/>
    <w:rsid w:val="5B92D899"/>
    <w:rsid w:val="5DABDED9"/>
    <w:rsid w:val="5E9BD45A"/>
    <w:rsid w:val="62EC01FB"/>
    <w:rsid w:val="6472C470"/>
    <w:rsid w:val="65C0ED29"/>
    <w:rsid w:val="663209D2"/>
    <w:rsid w:val="67F77B09"/>
    <w:rsid w:val="6A927ABD"/>
    <w:rsid w:val="6D923EEF"/>
    <w:rsid w:val="6DEFF209"/>
    <w:rsid w:val="6FB45E39"/>
    <w:rsid w:val="70931D48"/>
    <w:rsid w:val="72C3CAE5"/>
    <w:rsid w:val="78A9940B"/>
    <w:rsid w:val="78B67340"/>
    <w:rsid w:val="7A84340C"/>
    <w:rsid w:val="7AB266CF"/>
    <w:rsid w:val="7AB31F1C"/>
    <w:rsid w:val="7EF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08D2"/>
  <w15:chartTrackingRefBased/>
  <w15:docId w15:val="{A556DDB7-459D-43D7-9B4A-79F96A73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C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C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C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C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C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C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2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4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AC"/>
  </w:style>
  <w:style w:type="paragraph" w:styleId="Footer">
    <w:name w:val="footer"/>
    <w:basedOn w:val="Normal"/>
    <w:link w:val="FooterChar"/>
    <w:uiPriority w:val="99"/>
    <w:unhideWhenUsed/>
    <w:rsid w:val="0092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266c3d9d53284d30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open-&amp;-agile-smart-cities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ccendhorizon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4fb46-e227-4134-9b58-4bf698c6fa65">
      <Terms xmlns="http://schemas.microsoft.com/office/infopath/2007/PartnerControls"/>
    </lcf76f155ced4ddcb4097134ff3c332f>
    <TaxCatchAll xmlns="55c19760-5518-40f3-ba1f-61c2757f58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0C115D3ADB64095F7249B1CAE4022" ma:contentTypeVersion="14" ma:contentTypeDescription="Create a new document." ma:contentTypeScope="" ma:versionID="e9c21d6a0d84b4e74c8d863391a29329">
  <xsd:schema xmlns:xsd="http://www.w3.org/2001/XMLSchema" xmlns:xs="http://www.w3.org/2001/XMLSchema" xmlns:p="http://schemas.microsoft.com/office/2006/metadata/properties" xmlns:ns2="2024fb46-e227-4134-9b58-4bf698c6fa65" xmlns:ns3="55c19760-5518-40f3-ba1f-61c2757f582c" targetNamespace="http://schemas.microsoft.com/office/2006/metadata/properties" ma:root="true" ma:fieldsID="5c40025b20c723cebe6f3626eeba1d45" ns2:_="" ns3:_="">
    <xsd:import namespace="2024fb46-e227-4134-9b58-4bf698c6fa65"/>
    <xsd:import namespace="55c19760-5518-40f3-ba1f-61c2757f5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fb46-e227-4134-9b58-4bf698c6f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9760-5518-40f3-ba1f-61c2757f5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0ac65b-2a0d-4e92-ac6a-0c7647bf5750}" ma:internalName="TaxCatchAll" ma:showField="CatchAllData" ma:web="55c19760-5518-40f3-ba1f-61c2757f5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DA886-97EB-4E10-824E-26768DE2B870}">
  <ds:schemaRefs>
    <ds:schemaRef ds:uri="http://schemas.microsoft.com/office/2006/metadata/properties"/>
    <ds:schemaRef ds:uri="http://schemas.microsoft.com/office/infopath/2007/PartnerControls"/>
    <ds:schemaRef ds:uri="2024fb46-e227-4134-9b58-4bf698c6fa65"/>
    <ds:schemaRef ds:uri="55c19760-5518-40f3-ba1f-61c2757f582c"/>
  </ds:schemaRefs>
</ds:datastoreItem>
</file>

<file path=customXml/itemProps2.xml><?xml version="1.0" encoding="utf-8"?>
<ds:datastoreItem xmlns:ds="http://schemas.openxmlformats.org/officeDocument/2006/customXml" ds:itemID="{F9071AD3-B5D4-45C2-9BA5-247D8F206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5FC1A-D144-49EB-8D78-82B5B1FBA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4fb46-e227-4134-9b58-4bf698c6fa65"/>
    <ds:schemaRef ds:uri="55c19760-5518-40f3-ba1f-61c2757f5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Gillam</dc:creator>
  <cp:keywords/>
  <dc:description/>
  <cp:lastModifiedBy>pkonst</cp:lastModifiedBy>
  <cp:revision>17</cp:revision>
  <dcterms:created xsi:type="dcterms:W3CDTF">2026-02-19T00:42:00Z</dcterms:created>
  <dcterms:modified xsi:type="dcterms:W3CDTF">2026-02-28T22:19:00Z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0x010100BAA0C115D3ADB64095F7249B1CAE4022</vt:lpwstr>
  </property>
  <property fmtid="{D5CDD505-2E9C-101B-9397-08002B2CF9AE}" pid="3" name="MediaServiceImageTags">
    <vt:lpwstr/>
  </property>
</Properties>
</file>