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16814" w14:textId="32433CD9" w:rsidR="00085D89" w:rsidRPr="00164531" w:rsidRDefault="00085D89" w:rsidP="00587D86">
      <w:pPr>
        <w:spacing w:line="276" w:lineRule="auto"/>
        <w:jc w:val="both"/>
        <w:rPr>
          <w:rFonts w:asciiTheme="minorHAnsi" w:hAnsiTheme="minorHAnsi" w:cstheme="minorHAnsi"/>
          <w:sz w:val="22"/>
          <w:szCs w:val="22"/>
        </w:rPr>
      </w:pPr>
    </w:p>
    <w:p w14:paraId="6F5502A4" w14:textId="31FB22F9" w:rsidR="003D65CA" w:rsidRPr="00164531" w:rsidRDefault="003D65CA" w:rsidP="003D65CA">
      <w:pPr>
        <w:ind w:right="-108"/>
        <w:jc w:val="right"/>
        <w:rPr>
          <w:rFonts w:asciiTheme="minorHAnsi" w:hAnsiTheme="minorHAnsi" w:cstheme="minorHAnsi"/>
          <w:b/>
          <w:sz w:val="22"/>
          <w:szCs w:val="22"/>
        </w:rPr>
      </w:pPr>
      <w:r w:rsidRPr="00164531">
        <w:rPr>
          <w:rFonts w:asciiTheme="minorHAnsi" w:hAnsiTheme="minorHAnsi" w:cstheme="minorHAnsi"/>
          <w:b/>
          <w:noProof/>
          <w:sz w:val="22"/>
          <w:szCs w:val="22"/>
        </w:rPr>
        <w:drawing>
          <wp:anchor distT="0" distB="0" distL="114300" distR="114300" simplePos="0" relativeHeight="251659264" behindDoc="1" locked="0" layoutInCell="1" allowOverlap="1" wp14:anchorId="555857BA" wp14:editId="1117577B">
            <wp:simplePos x="0" y="0"/>
            <wp:positionH relativeFrom="column">
              <wp:posOffset>923925</wp:posOffset>
            </wp:positionH>
            <wp:positionV relativeFrom="paragraph">
              <wp:posOffset>11430</wp:posOffset>
            </wp:positionV>
            <wp:extent cx="571500" cy="581025"/>
            <wp:effectExtent l="0" t="0" r="0" b="9525"/>
            <wp:wrapTight wrapText="bothSides">
              <wp:wrapPolygon edited="0">
                <wp:start x="0" y="0"/>
                <wp:lineTo x="0" y="21246"/>
                <wp:lineTo x="20880" y="21246"/>
                <wp:lineTo x="20880" y="0"/>
                <wp:lineTo x="0" y="0"/>
              </wp:wrapPolygon>
            </wp:wrapTight>
            <wp:docPr id="2" name="Picture 2"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B53531A" w14:textId="77777777" w:rsidR="003D65CA" w:rsidRPr="00164531" w:rsidRDefault="003D65CA" w:rsidP="003D65CA">
      <w:pPr>
        <w:ind w:right="-108"/>
        <w:jc w:val="right"/>
        <w:rPr>
          <w:rFonts w:asciiTheme="minorHAnsi" w:hAnsiTheme="minorHAnsi" w:cstheme="minorHAnsi"/>
          <w:b/>
          <w:sz w:val="22"/>
          <w:szCs w:val="22"/>
        </w:rPr>
      </w:pPr>
    </w:p>
    <w:p w14:paraId="36A7DA4C" w14:textId="77777777" w:rsidR="003D65CA" w:rsidRPr="00164531" w:rsidRDefault="003D65CA" w:rsidP="003D65CA">
      <w:pPr>
        <w:tabs>
          <w:tab w:val="center" w:pos="5760"/>
        </w:tabs>
        <w:jc w:val="right"/>
        <w:rPr>
          <w:rFonts w:asciiTheme="minorHAnsi" w:hAnsiTheme="minorHAnsi" w:cstheme="minorHAnsi"/>
          <w:sz w:val="22"/>
          <w:szCs w:val="22"/>
        </w:rPr>
      </w:pPr>
    </w:p>
    <w:p w14:paraId="062112B0" w14:textId="5E9B94B0" w:rsidR="003D65CA" w:rsidRPr="00164531" w:rsidRDefault="003D65CA" w:rsidP="003F335A">
      <w:pPr>
        <w:tabs>
          <w:tab w:val="center" w:pos="1890"/>
        </w:tabs>
        <w:spacing w:after="0"/>
        <w:ind w:left="-18"/>
        <w:rPr>
          <w:rFonts w:asciiTheme="minorHAnsi" w:hAnsiTheme="minorHAnsi" w:cstheme="minorHAnsi"/>
          <w:b/>
          <w:color w:val="003DCC"/>
          <w:sz w:val="22"/>
          <w:szCs w:val="22"/>
        </w:rPr>
      </w:pPr>
      <w:r w:rsidRPr="00164531">
        <w:rPr>
          <w:rFonts w:asciiTheme="minorHAnsi" w:hAnsiTheme="minorHAnsi" w:cstheme="minorHAnsi"/>
          <w:b/>
          <w:color w:val="003DCC"/>
          <w:sz w:val="22"/>
          <w:szCs w:val="22"/>
        </w:rPr>
        <w:tab/>
        <w:t xml:space="preserve">   ΕΛΛΗΝΙΚΗ ΔΗΜΟΚΡΑΤΙΑ</w:t>
      </w:r>
    </w:p>
    <w:p w14:paraId="3DD6A295" w14:textId="77777777" w:rsidR="003D65CA" w:rsidRPr="00164531" w:rsidRDefault="003D65CA" w:rsidP="003F335A">
      <w:pPr>
        <w:tabs>
          <w:tab w:val="center" w:pos="1890"/>
        </w:tabs>
        <w:spacing w:after="0"/>
        <w:ind w:left="-18"/>
        <w:rPr>
          <w:rFonts w:asciiTheme="minorHAnsi" w:hAnsiTheme="minorHAnsi" w:cstheme="minorHAnsi"/>
          <w:color w:val="003DCC"/>
          <w:sz w:val="22"/>
          <w:szCs w:val="22"/>
        </w:rPr>
      </w:pPr>
      <w:r w:rsidRPr="00164531">
        <w:rPr>
          <w:rFonts w:asciiTheme="minorHAnsi" w:hAnsiTheme="minorHAnsi" w:cstheme="minorHAnsi"/>
          <w:color w:val="003DCC"/>
          <w:sz w:val="22"/>
          <w:szCs w:val="22"/>
        </w:rPr>
        <w:tab/>
        <w:t>Πρεσβεία της Ελλάδος</w:t>
      </w:r>
    </w:p>
    <w:p w14:paraId="6E281441" w14:textId="77777777" w:rsidR="003D65CA" w:rsidRPr="00164531" w:rsidRDefault="003D65CA" w:rsidP="003F335A">
      <w:pPr>
        <w:tabs>
          <w:tab w:val="center" w:pos="1890"/>
          <w:tab w:val="center" w:pos="5760"/>
        </w:tabs>
        <w:spacing w:after="0"/>
        <w:rPr>
          <w:rFonts w:asciiTheme="minorHAnsi" w:hAnsiTheme="minorHAnsi" w:cstheme="minorHAnsi"/>
          <w:color w:val="003DCC"/>
          <w:sz w:val="22"/>
          <w:szCs w:val="22"/>
        </w:rPr>
      </w:pPr>
      <w:r w:rsidRPr="00164531">
        <w:rPr>
          <w:rFonts w:asciiTheme="minorHAnsi" w:hAnsiTheme="minorHAnsi" w:cstheme="minorHAnsi"/>
          <w:color w:val="003DCC"/>
          <w:sz w:val="22"/>
          <w:szCs w:val="22"/>
        </w:rPr>
        <w:tab/>
        <w:t>Ουάσιγκτων</w:t>
      </w:r>
    </w:p>
    <w:p w14:paraId="5048BCCF" w14:textId="4783D25D" w:rsidR="003D65CA" w:rsidRPr="00C808DA" w:rsidRDefault="003D65CA" w:rsidP="003F335A">
      <w:pPr>
        <w:tabs>
          <w:tab w:val="center" w:pos="1890"/>
        </w:tabs>
        <w:spacing w:after="0"/>
        <w:ind w:left="-18"/>
        <w:rPr>
          <w:rFonts w:ascii="Arial" w:hAnsi="Arial" w:cs="Arial"/>
          <w:sz w:val="20"/>
          <w:szCs w:val="20"/>
        </w:rPr>
      </w:pPr>
      <w:r w:rsidRPr="00164531">
        <w:rPr>
          <w:rFonts w:asciiTheme="minorHAnsi" w:hAnsiTheme="minorHAnsi" w:cstheme="minorHAnsi"/>
          <w:color w:val="003DCC"/>
          <w:sz w:val="22"/>
          <w:szCs w:val="22"/>
        </w:rPr>
        <w:tab/>
        <w:t>Γραφείο Οικονομικών &amp; Εμπορικών Υποθέσεων</w:t>
      </w:r>
      <w:r w:rsidRPr="00164531">
        <w:rPr>
          <w:rFonts w:asciiTheme="minorHAnsi" w:hAnsiTheme="minorHAnsi" w:cstheme="minorHAnsi"/>
          <w:sz w:val="22"/>
          <w:szCs w:val="22"/>
        </w:rPr>
        <w:tab/>
      </w:r>
    </w:p>
    <w:p w14:paraId="11804471" w14:textId="42B93E03" w:rsidR="003D65CA" w:rsidRPr="00164531" w:rsidRDefault="003D65CA" w:rsidP="00504A7E">
      <w:pPr>
        <w:tabs>
          <w:tab w:val="center" w:pos="5760"/>
        </w:tabs>
        <w:spacing w:after="0"/>
        <w:jc w:val="right"/>
        <w:rPr>
          <w:rFonts w:asciiTheme="minorHAnsi" w:hAnsiTheme="minorHAnsi" w:cstheme="minorHAnsi"/>
          <w:sz w:val="22"/>
          <w:szCs w:val="22"/>
        </w:rPr>
      </w:pPr>
      <w:r w:rsidRPr="00164531">
        <w:rPr>
          <w:rFonts w:asciiTheme="minorHAnsi" w:hAnsiTheme="minorHAnsi" w:cstheme="minorHAnsi"/>
          <w:sz w:val="22"/>
          <w:szCs w:val="22"/>
        </w:rPr>
        <w:t xml:space="preserve">Ουάσιγκτων, </w:t>
      </w:r>
      <w:r w:rsidR="00E64824" w:rsidRPr="00164531">
        <w:rPr>
          <w:rFonts w:asciiTheme="minorHAnsi" w:hAnsiTheme="minorHAnsi" w:cstheme="minorHAnsi"/>
          <w:sz w:val="22"/>
          <w:szCs w:val="22"/>
        </w:rPr>
        <w:t>2</w:t>
      </w:r>
      <w:r w:rsidRPr="00164531">
        <w:rPr>
          <w:rFonts w:asciiTheme="minorHAnsi" w:hAnsiTheme="minorHAnsi" w:cstheme="minorHAnsi"/>
          <w:sz w:val="22"/>
          <w:szCs w:val="22"/>
        </w:rPr>
        <w:t xml:space="preserve"> </w:t>
      </w:r>
      <w:r w:rsidR="00E64824" w:rsidRPr="00164531">
        <w:rPr>
          <w:rFonts w:asciiTheme="minorHAnsi" w:hAnsiTheme="minorHAnsi" w:cstheme="minorHAnsi"/>
          <w:sz w:val="22"/>
          <w:szCs w:val="22"/>
        </w:rPr>
        <w:t>Νοεμ</w:t>
      </w:r>
      <w:r w:rsidR="006025BF" w:rsidRPr="00164531">
        <w:rPr>
          <w:rFonts w:asciiTheme="minorHAnsi" w:hAnsiTheme="minorHAnsi" w:cstheme="minorHAnsi"/>
          <w:sz w:val="22"/>
          <w:szCs w:val="22"/>
        </w:rPr>
        <w:t>βρίου</w:t>
      </w:r>
      <w:r w:rsidRPr="00164531">
        <w:rPr>
          <w:rFonts w:asciiTheme="minorHAnsi" w:hAnsiTheme="minorHAnsi" w:cstheme="minorHAnsi"/>
          <w:sz w:val="22"/>
          <w:szCs w:val="22"/>
        </w:rPr>
        <w:t xml:space="preserve"> 2026</w:t>
      </w:r>
    </w:p>
    <w:p w14:paraId="38268101" w14:textId="77777777" w:rsidR="003E6068" w:rsidRDefault="003E6068" w:rsidP="00504A7E">
      <w:pPr>
        <w:spacing w:after="0"/>
        <w:jc w:val="both"/>
        <w:rPr>
          <w:rFonts w:asciiTheme="minorHAnsi" w:hAnsiTheme="minorHAnsi" w:cstheme="minorHAnsi"/>
          <w:sz w:val="22"/>
          <w:szCs w:val="22"/>
        </w:rPr>
      </w:pPr>
    </w:p>
    <w:p w14:paraId="1B94301D" w14:textId="77777777" w:rsidR="003E6068" w:rsidRDefault="003E6068" w:rsidP="00504A7E">
      <w:pPr>
        <w:spacing w:after="0"/>
        <w:jc w:val="both"/>
        <w:rPr>
          <w:rFonts w:asciiTheme="minorHAnsi" w:hAnsiTheme="minorHAnsi" w:cstheme="minorHAnsi"/>
          <w:b/>
          <w:sz w:val="22"/>
          <w:szCs w:val="22"/>
        </w:rPr>
      </w:pPr>
    </w:p>
    <w:p w14:paraId="7572030F" w14:textId="53D790BF" w:rsidR="003E6068" w:rsidRDefault="003E6068" w:rsidP="003E6068">
      <w:pPr>
        <w:spacing w:after="0"/>
        <w:jc w:val="center"/>
        <w:rPr>
          <w:rFonts w:asciiTheme="minorHAnsi" w:hAnsiTheme="minorHAnsi" w:cstheme="minorHAnsi"/>
          <w:b/>
          <w:sz w:val="22"/>
          <w:szCs w:val="22"/>
        </w:rPr>
      </w:pPr>
    </w:p>
    <w:p w14:paraId="0FD8C602" w14:textId="0A30ED4F" w:rsidR="004452F5" w:rsidRDefault="004452F5" w:rsidP="003E6068">
      <w:pPr>
        <w:spacing w:after="0"/>
        <w:jc w:val="center"/>
        <w:rPr>
          <w:rFonts w:asciiTheme="minorHAnsi" w:hAnsiTheme="minorHAnsi" w:cstheme="minorHAnsi"/>
          <w:b/>
          <w:sz w:val="22"/>
          <w:szCs w:val="22"/>
        </w:rPr>
      </w:pPr>
    </w:p>
    <w:p w14:paraId="120C941E" w14:textId="77777777" w:rsidR="004452F5" w:rsidRDefault="004452F5" w:rsidP="003E6068">
      <w:pPr>
        <w:spacing w:after="0"/>
        <w:jc w:val="center"/>
        <w:rPr>
          <w:rFonts w:asciiTheme="minorHAnsi" w:hAnsiTheme="minorHAnsi" w:cstheme="minorHAnsi"/>
          <w:b/>
          <w:sz w:val="22"/>
          <w:szCs w:val="22"/>
        </w:rPr>
      </w:pPr>
    </w:p>
    <w:p w14:paraId="5423C6A3" w14:textId="77777777" w:rsidR="003E6068" w:rsidRDefault="003E6068" w:rsidP="003E6068">
      <w:pPr>
        <w:spacing w:after="0"/>
        <w:jc w:val="center"/>
        <w:rPr>
          <w:rFonts w:asciiTheme="minorHAnsi" w:hAnsiTheme="minorHAnsi" w:cstheme="minorHAnsi"/>
          <w:b/>
          <w:sz w:val="22"/>
          <w:szCs w:val="22"/>
        </w:rPr>
      </w:pPr>
    </w:p>
    <w:p w14:paraId="65F72521" w14:textId="31EC5FCB" w:rsidR="003D65CA" w:rsidRPr="00164531" w:rsidRDefault="003D65CA" w:rsidP="003E6068">
      <w:pPr>
        <w:spacing w:after="0"/>
        <w:jc w:val="center"/>
        <w:rPr>
          <w:rFonts w:asciiTheme="minorHAnsi" w:hAnsiTheme="minorHAnsi" w:cstheme="minorHAnsi"/>
          <w:sz w:val="22"/>
          <w:szCs w:val="22"/>
        </w:rPr>
      </w:pPr>
      <w:r w:rsidRPr="00164531">
        <w:rPr>
          <w:rFonts w:asciiTheme="minorHAnsi" w:hAnsiTheme="minorHAnsi" w:cstheme="minorHAnsi"/>
          <w:b/>
          <w:sz w:val="22"/>
          <w:szCs w:val="22"/>
        </w:rPr>
        <w:t xml:space="preserve">Πορεία ελληνικών </w:t>
      </w:r>
      <w:r w:rsidR="00BA4C70" w:rsidRPr="00164531">
        <w:rPr>
          <w:rFonts w:asciiTheme="minorHAnsi" w:hAnsiTheme="minorHAnsi" w:cstheme="minorHAnsi"/>
          <w:b/>
          <w:sz w:val="22"/>
          <w:szCs w:val="22"/>
        </w:rPr>
        <w:t xml:space="preserve">και ευρωπαϊκών </w:t>
      </w:r>
      <w:r w:rsidRPr="00164531">
        <w:rPr>
          <w:rFonts w:asciiTheme="minorHAnsi" w:hAnsiTheme="minorHAnsi" w:cstheme="minorHAnsi"/>
          <w:b/>
          <w:sz w:val="22"/>
          <w:szCs w:val="22"/>
        </w:rPr>
        <w:t xml:space="preserve">εξαγωγών </w:t>
      </w:r>
      <w:r w:rsidR="006025BF" w:rsidRPr="00164531">
        <w:rPr>
          <w:rFonts w:asciiTheme="minorHAnsi" w:hAnsiTheme="minorHAnsi" w:cstheme="minorHAnsi"/>
          <w:b/>
          <w:sz w:val="22"/>
          <w:szCs w:val="22"/>
        </w:rPr>
        <w:t xml:space="preserve">οίνου </w:t>
      </w:r>
      <w:r w:rsidRPr="00164531">
        <w:rPr>
          <w:rFonts w:asciiTheme="minorHAnsi" w:hAnsiTheme="minorHAnsi" w:cstheme="minorHAnsi"/>
          <w:b/>
          <w:sz w:val="22"/>
          <w:szCs w:val="22"/>
        </w:rPr>
        <w:t>σ</w:t>
      </w:r>
      <w:r w:rsidR="00BA4C70" w:rsidRPr="00164531">
        <w:rPr>
          <w:rFonts w:asciiTheme="minorHAnsi" w:hAnsiTheme="minorHAnsi" w:cstheme="minorHAnsi"/>
          <w:b/>
          <w:sz w:val="22"/>
          <w:szCs w:val="22"/>
        </w:rPr>
        <w:t>τις</w:t>
      </w:r>
      <w:r w:rsidRPr="00164531">
        <w:rPr>
          <w:rFonts w:asciiTheme="minorHAnsi" w:hAnsiTheme="minorHAnsi" w:cstheme="minorHAnsi"/>
          <w:b/>
          <w:sz w:val="22"/>
          <w:szCs w:val="22"/>
        </w:rPr>
        <w:t xml:space="preserve"> ΗΠΑ</w:t>
      </w:r>
    </w:p>
    <w:p w14:paraId="6698FD95" w14:textId="218ABC6B" w:rsidR="003D65CA" w:rsidRPr="00ED591E" w:rsidRDefault="003D65CA" w:rsidP="003D65CA">
      <w:pPr>
        <w:jc w:val="both"/>
        <w:rPr>
          <w:rFonts w:asciiTheme="minorHAnsi" w:hAnsiTheme="minorHAnsi" w:cstheme="minorHAnsi"/>
          <w:sz w:val="22"/>
          <w:szCs w:val="22"/>
        </w:rPr>
      </w:pPr>
    </w:p>
    <w:p w14:paraId="33C7077E" w14:textId="77777777" w:rsidR="003E6068" w:rsidRDefault="003E6068" w:rsidP="00BD43BE">
      <w:pPr>
        <w:pStyle w:val="Heading2"/>
      </w:pPr>
    </w:p>
    <w:p w14:paraId="78AC6B6F" w14:textId="77777777" w:rsidR="003E6068" w:rsidRDefault="003E6068" w:rsidP="00BD43BE">
      <w:pPr>
        <w:pStyle w:val="Heading2"/>
      </w:pPr>
    </w:p>
    <w:p w14:paraId="626B0E6A" w14:textId="75773154" w:rsidR="00BA4C70" w:rsidRPr="00ED591E" w:rsidRDefault="00BA4C70" w:rsidP="00BD43BE">
      <w:pPr>
        <w:pStyle w:val="Heading2"/>
      </w:pPr>
      <w:r w:rsidRPr="00ED591E">
        <w:t>Σύνοψη</w:t>
      </w:r>
    </w:p>
    <w:p w14:paraId="3887F476" w14:textId="4722F3CC" w:rsidR="00BA4C70" w:rsidRPr="00504A7E" w:rsidRDefault="00ED591E" w:rsidP="00BA4C70">
      <w:pPr>
        <w:spacing w:after="240" w:line="276" w:lineRule="auto"/>
        <w:jc w:val="both"/>
        <w:rPr>
          <w:rFonts w:asciiTheme="minorHAnsi" w:hAnsiTheme="minorHAnsi" w:cstheme="minorHAnsi"/>
          <w:sz w:val="22"/>
          <w:szCs w:val="22"/>
        </w:rPr>
      </w:pPr>
      <w:r w:rsidRPr="00504A7E">
        <w:rPr>
          <w:rFonts w:asciiTheme="minorHAnsi" w:hAnsiTheme="minorHAnsi" w:cstheme="minorHAnsi"/>
          <w:sz w:val="22"/>
          <w:szCs w:val="22"/>
        </w:rPr>
        <w:t>Π</w:t>
      </w:r>
      <w:r w:rsidR="00BA4C70" w:rsidRPr="00504A7E">
        <w:rPr>
          <w:rFonts w:asciiTheme="minorHAnsi" w:hAnsiTheme="minorHAnsi" w:cstheme="minorHAnsi"/>
          <w:sz w:val="22"/>
          <w:szCs w:val="22"/>
        </w:rPr>
        <w:t>τώση εξαγωγών στις ΗΠΑ σημειώνουν τόσο οι ελληνικοί όσο και συνολικά οι ευρωπαϊκοί οίνοι κατά το 2026. Εκτιμάται ότι αυτό αποτελεί συνέπεια κυρίως δύο παραγόντων: α) της επιβολής εισαγωγικού δασμού από τις ΗΠΑ, οποίος μετά από αρκετές περιόδους ασάφειας και αλλαγών ανέρχεται πλέον σε 15%, και β) της γενικότερης τάσης για χαμηλότερη κατανάλωση αλκοολούχων προϊόντων.</w:t>
      </w:r>
    </w:p>
    <w:p w14:paraId="22EFAC82" w14:textId="19A92B24" w:rsidR="00504A7E" w:rsidRPr="00ED591E" w:rsidRDefault="00504A7E"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Ωστόσο, η πτώση των ελληνικών εξαγωγών είναι χαμηλότερη της πτώσης συνολικά των οίνων ΕΕ στις ΗΠΑ.</w:t>
      </w:r>
    </w:p>
    <w:p w14:paraId="6082C02E" w14:textId="77777777" w:rsidR="004452F5" w:rsidRDefault="004452F5" w:rsidP="00BD43BE">
      <w:pPr>
        <w:pStyle w:val="Heading2"/>
      </w:pPr>
    </w:p>
    <w:p w14:paraId="0D1AF67C" w14:textId="079B0105" w:rsidR="00BA4C70" w:rsidRDefault="00BA4C70" w:rsidP="00BD43BE">
      <w:pPr>
        <w:pStyle w:val="Heading2"/>
      </w:pPr>
      <w:bookmarkStart w:id="0" w:name="_GoBack"/>
      <w:bookmarkEnd w:id="0"/>
      <w:r w:rsidRPr="00ED591E">
        <w:t>Ελληνικές Εξαγωγές Οίνου προς τις ΗΠΑ</w:t>
      </w:r>
    </w:p>
    <w:p w14:paraId="4DC356E2" w14:textId="77777777" w:rsidR="00A26FBC" w:rsidRDefault="00067D4E" w:rsidP="00A26FBC">
      <w:pPr>
        <w:spacing w:after="240" w:line="276" w:lineRule="auto"/>
        <w:jc w:val="both"/>
        <w:rPr>
          <w:rFonts w:asciiTheme="minorHAnsi" w:hAnsiTheme="minorHAnsi" w:cstheme="minorHAnsi"/>
          <w:sz w:val="22"/>
          <w:szCs w:val="22"/>
        </w:rPr>
      </w:pPr>
      <w:r w:rsidRPr="003C75EF">
        <w:rPr>
          <w:rFonts w:asciiTheme="minorHAnsi" w:hAnsiTheme="minorHAnsi" w:cstheme="minorHAnsi"/>
          <w:sz w:val="22"/>
          <w:szCs w:val="22"/>
        </w:rPr>
        <w:t>Στις 5/4/2025 επιβλήθηκε πρόσθετος δασμός 10%, πέραν του έως τότε ισχύοντος δασμού βάσει της ρήτρας του πλέον ευνοούμενου κράτους (MFN Clause). Εν συνεχεία, στις 7/8/2025, ο δασμός ορίσθηκε σε 15% συνολικά (</w:t>
      </w:r>
      <w:proofErr w:type="spellStart"/>
      <w:r w:rsidRPr="003C75EF">
        <w:rPr>
          <w:rFonts w:asciiTheme="minorHAnsi" w:hAnsiTheme="minorHAnsi" w:cstheme="minorHAnsi"/>
          <w:sz w:val="22"/>
          <w:szCs w:val="22"/>
        </w:rPr>
        <w:t>all-inclusive</w:t>
      </w:r>
      <w:proofErr w:type="spellEnd"/>
      <w:r w:rsidRPr="003C75EF">
        <w:rPr>
          <w:rFonts w:asciiTheme="minorHAnsi" w:hAnsiTheme="minorHAnsi" w:cstheme="minorHAnsi"/>
          <w:sz w:val="22"/>
          <w:szCs w:val="22"/>
        </w:rPr>
        <w:t>) στο πλαίσιο της συμφωνίας του Turnberry / Κοινής Δήλωσης ΕΕ-ΗΠΑ.</w:t>
      </w:r>
    </w:p>
    <w:p w14:paraId="40B09FF7" w14:textId="3462CF9C" w:rsidR="00A26FBC" w:rsidRDefault="00A26FBC" w:rsidP="00A26FBC">
      <w:pPr>
        <w:spacing w:after="240" w:line="276" w:lineRule="auto"/>
        <w:jc w:val="both"/>
        <w:rPr>
          <w:rFonts w:asciiTheme="minorHAnsi" w:hAnsiTheme="minorHAnsi" w:cstheme="minorHAnsi"/>
          <w:sz w:val="22"/>
          <w:szCs w:val="22"/>
        </w:rPr>
      </w:pPr>
      <w:r w:rsidRPr="00A26FBC">
        <w:rPr>
          <w:rFonts w:asciiTheme="minorHAnsi" w:hAnsiTheme="minorHAnsi" w:cstheme="minorHAnsi"/>
          <w:sz w:val="22"/>
          <w:szCs w:val="22"/>
        </w:rPr>
        <w:t xml:space="preserve"> </w:t>
      </w:r>
      <w:r>
        <w:rPr>
          <w:rFonts w:asciiTheme="minorHAnsi" w:hAnsiTheme="minorHAnsi" w:cstheme="minorHAnsi"/>
          <w:sz w:val="22"/>
          <w:szCs w:val="22"/>
        </w:rPr>
        <w:t xml:space="preserve">Το 2024 ήταν η τελευταία χρονιά πριν από την επιβολή εισαγωγικών δασμών από τις ΗΠΑ. Τον Δεκέμβριο 2024, σημειώθηκε απότομη αύξηση παραγγελιών, καθώς οι εισαγωγείς προσπάθησαν να </w:t>
      </w:r>
      <w:proofErr w:type="spellStart"/>
      <w:r>
        <w:rPr>
          <w:rFonts w:asciiTheme="minorHAnsi" w:hAnsiTheme="minorHAnsi" w:cstheme="minorHAnsi"/>
          <w:sz w:val="22"/>
          <w:szCs w:val="22"/>
        </w:rPr>
        <w:t>σημιουργήσουν</w:t>
      </w:r>
      <w:proofErr w:type="spellEnd"/>
      <w:r>
        <w:rPr>
          <w:rFonts w:asciiTheme="minorHAnsi" w:hAnsiTheme="minorHAnsi" w:cstheme="minorHAnsi"/>
          <w:sz w:val="22"/>
          <w:szCs w:val="22"/>
        </w:rPr>
        <w:t xml:space="preserve"> αποθέματα πριν αυξηθεί το κόστος εισαγωγής. Η αύξηση αυτή αποτυπώθηκε στα ετήσια στατιστικά στοιχεία αλλά και στα υπό εξέταση στοιχεία οκταμήνων.</w:t>
      </w:r>
    </w:p>
    <w:p w14:paraId="0B7084B5" w14:textId="1991DB0E" w:rsidR="00A26FBC" w:rsidRPr="00683DD8" w:rsidRDefault="00A26FBC" w:rsidP="00BD43BE">
      <w:pPr>
        <w:pStyle w:val="Heading3"/>
      </w:pPr>
      <w:r w:rsidRPr="00683DD8">
        <w:lastRenderedPageBreak/>
        <w:t>Εξέταση σε ετήσια βάση (2023-2025)</w:t>
      </w:r>
    </w:p>
    <w:p w14:paraId="586382AC" w14:textId="3EFE4546" w:rsidR="00683DD8" w:rsidRDefault="00A26FBC" w:rsidP="00BA4C70">
      <w:pPr>
        <w:spacing w:after="240" w:line="276" w:lineRule="auto"/>
        <w:jc w:val="both"/>
        <w:rPr>
          <w:rFonts w:asciiTheme="minorHAnsi" w:hAnsiTheme="minorHAnsi" w:cstheme="minorHAnsi"/>
          <w:sz w:val="22"/>
          <w:szCs w:val="22"/>
        </w:rPr>
      </w:pPr>
      <w:r w:rsidRPr="00ED591E">
        <w:rPr>
          <w:noProof/>
        </w:rPr>
        <w:drawing>
          <wp:anchor distT="182880" distB="91440" distL="274320" distR="182880" simplePos="0" relativeHeight="251660288" behindDoc="1" locked="0" layoutInCell="1" allowOverlap="1" wp14:anchorId="1C2C6E9B" wp14:editId="19756054">
            <wp:simplePos x="0" y="0"/>
            <wp:positionH relativeFrom="margin">
              <wp:align>left</wp:align>
            </wp:positionH>
            <wp:positionV relativeFrom="paragraph">
              <wp:posOffset>143510</wp:posOffset>
            </wp:positionV>
            <wp:extent cx="3721608" cy="905256"/>
            <wp:effectExtent l="0" t="0" r="0" b="9525"/>
            <wp:wrapTight wrapText="bothSides">
              <wp:wrapPolygon edited="0">
                <wp:start x="0" y="0"/>
                <wp:lineTo x="0" y="21373"/>
                <wp:lineTo x="21453" y="21373"/>
                <wp:lineTo x="214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1608" cy="905256"/>
                    </a:xfrm>
                    <a:prstGeom prst="rect">
                      <a:avLst/>
                    </a:prstGeom>
                    <a:noFill/>
                    <a:ln>
                      <a:noFill/>
                    </a:ln>
                  </pic:spPr>
                </pic:pic>
              </a:graphicData>
            </a:graphic>
            <wp14:sizeRelH relativeFrom="page">
              <wp14:pctWidth>0</wp14:pctWidth>
            </wp14:sizeRelH>
            <wp14:sizeRelV relativeFrom="page">
              <wp14:pctHeight>0</wp14:pctHeight>
            </wp14:sizeRelV>
          </wp:anchor>
        </w:drawing>
      </w:r>
      <w:r w:rsidR="00067D4E">
        <w:rPr>
          <w:rFonts w:asciiTheme="minorHAnsi" w:hAnsiTheme="minorHAnsi" w:cstheme="minorHAnsi"/>
          <w:sz w:val="22"/>
          <w:szCs w:val="22"/>
        </w:rPr>
        <w:t xml:space="preserve">Σε ετήσια βάση, </w:t>
      </w:r>
      <w:r w:rsidR="00683DD8">
        <w:rPr>
          <w:rFonts w:asciiTheme="minorHAnsi" w:hAnsiTheme="minorHAnsi" w:cstheme="minorHAnsi"/>
          <w:sz w:val="22"/>
          <w:szCs w:val="22"/>
        </w:rPr>
        <w:t xml:space="preserve">το 2025, σημειώθηκε πτώση κατά 14% ως προς την αξία και 11% ως προς την ποσότητα, σε €16,4 εκ. ή 2,4 εκ. κιλά. </w:t>
      </w:r>
    </w:p>
    <w:p w14:paraId="4B228DC6" w14:textId="11BAE022" w:rsidR="00067D4E" w:rsidRDefault="00683DD8"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Ωστόσο, </w:t>
      </w:r>
      <w:r w:rsidR="00067D4E">
        <w:rPr>
          <w:rFonts w:asciiTheme="minorHAnsi" w:hAnsiTheme="minorHAnsi" w:cstheme="minorHAnsi"/>
          <w:sz w:val="22"/>
          <w:szCs w:val="22"/>
        </w:rPr>
        <w:t xml:space="preserve">το 2024 </w:t>
      </w:r>
      <w:r>
        <w:rPr>
          <w:rFonts w:asciiTheme="minorHAnsi" w:hAnsiTheme="minorHAnsi" w:cstheme="minorHAnsi"/>
          <w:sz w:val="22"/>
          <w:szCs w:val="22"/>
        </w:rPr>
        <w:t xml:space="preserve">έναντι του 2023 είχε σημειωθεί </w:t>
      </w:r>
      <w:r w:rsidR="00067D4E">
        <w:rPr>
          <w:rFonts w:asciiTheme="minorHAnsi" w:hAnsiTheme="minorHAnsi" w:cstheme="minorHAnsi"/>
          <w:sz w:val="22"/>
          <w:szCs w:val="22"/>
        </w:rPr>
        <w:t xml:space="preserve">αύξηση </w:t>
      </w:r>
      <w:r>
        <w:rPr>
          <w:rFonts w:asciiTheme="minorHAnsi" w:hAnsiTheme="minorHAnsi" w:cstheme="minorHAnsi"/>
          <w:sz w:val="22"/>
          <w:szCs w:val="22"/>
        </w:rPr>
        <w:t xml:space="preserve">κατά </w:t>
      </w:r>
      <w:r w:rsidR="00067D4E">
        <w:rPr>
          <w:rFonts w:asciiTheme="minorHAnsi" w:hAnsiTheme="minorHAnsi" w:cstheme="minorHAnsi"/>
          <w:sz w:val="22"/>
          <w:szCs w:val="22"/>
        </w:rPr>
        <w:t>12,4% ως προς την αξία και 8,3%</w:t>
      </w:r>
      <w:r>
        <w:rPr>
          <w:rFonts w:asciiTheme="minorHAnsi" w:hAnsiTheme="minorHAnsi" w:cstheme="minorHAnsi"/>
          <w:sz w:val="22"/>
          <w:szCs w:val="22"/>
        </w:rPr>
        <w:t xml:space="preserve"> ως προς την ποσότητα, σε €19 εκ. ή 2,7 εκ. κιλά</w:t>
      </w:r>
      <w:r w:rsidR="00067D4E">
        <w:rPr>
          <w:rFonts w:asciiTheme="minorHAnsi" w:hAnsiTheme="minorHAnsi" w:cstheme="minorHAnsi"/>
          <w:sz w:val="22"/>
          <w:szCs w:val="22"/>
        </w:rPr>
        <w:t>,</w:t>
      </w:r>
      <w:r>
        <w:rPr>
          <w:rFonts w:asciiTheme="minorHAnsi" w:hAnsiTheme="minorHAnsi" w:cstheme="minorHAnsi"/>
          <w:sz w:val="22"/>
          <w:szCs w:val="22"/>
        </w:rPr>
        <w:t xml:space="preserve"> αντιστοίχως. Επομένως, διαπιστώνουμε ότι η επίδοση του 2025 ήταν πολύ κοντά στα επίπεδα του 2023, πριν διαταραχθεί η αγορά από την επιβολή δασμών.</w:t>
      </w:r>
    </w:p>
    <w:p w14:paraId="29A0AF9C" w14:textId="2E9F2D20" w:rsidR="00A26FBC" w:rsidRPr="00683DD8" w:rsidRDefault="00A26FBC" w:rsidP="00BD43BE">
      <w:pPr>
        <w:pStyle w:val="Heading3"/>
      </w:pPr>
      <w:r w:rsidRPr="00683DD8">
        <w:t xml:space="preserve">Εξέταση </w:t>
      </w:r>
      <w:r w:rsidR="00683DD8" w:rsidRPr="00683DD8">
        <w:t xml:space="preserve">στο διάστημα </w:t>
      </w:r>
      <w:r w:rsidRPr="00683DD8">
        <w:t>Ιαν</w:t>
      </w:r>
      <w:r w:rsidR="00683DD8" w:rsidRPr="00683DD8">
        <w:t xml:space="preserve">ουαρίου </w:t>
      </w:r>
      <w:r w:rsidRPr="00683DD8">
        <w:t>- Α</w:t>
      </w:r>
      <w:r w:rsidR="00683DD8" w:rsidRPr="00683DD8">
        <w:t>υ</w:t>
      </w:r>
      <w:r w:rsidRPr="00683DD8">
        <w:t>γ</w:t>
      </w:r>
      <w:r w:rsidR="00683DD8" w:rsidRPr="00683DD8">
        <w:t>ούστου</w:t>
      </w:r>
      <w:r w:rsidRPr="00683DD8">
        <w:t xml:space="preserve"> </w:t>
      </w:r>
      <w:r w:rsidR="00683DD8" w:rsidRPr="00683DD8">
        <w:t>(2023-</w:t>
      </w:r>
      <w:r w:rsidRPr="00683DD8">
        <w:t>202</w:t>
      </w:r>
      <w:r w:rsidR="00683DD8" w:rsidRPr="00683DD8">
        <w:t>6</w:t>
      </w:r>
      <w:r w:rsidRPr="00683DD8">
        <w:t>)</w:t>
      </w:r>
    </w:p>
    <w:p w14:paraId="6BE36F07" w14:textId="448C70DC" w:rsidR="00683DD8" w:rsidRPr="00A16B8C" w:rsidRDefault="00683DD8" w:rsidP="00683DD8">
      <w:pPr>
        <w:spacing w:after="240" w:line="276" w:lineRule="auto"/>
        <w:jc w:val="both"/>
        <w:rPr>
          <w:rFonts w:asciiTheme="minorHAnsi" w:hAnsiTheme="minorHAnsi" w:cstheme="minorHAnsi"/>
          <w:sz w:val="22"/>
          <w:szCs w:val="22"/>
        </w:rPr>
      </w:pPr>
      <w:r w:rsidRPr="00ED591E">
        <w:rPr>
          <w:noProof/>
        </w:rPr>
        <w:drawing>
          <wp:anchor distT="182880" distB="182880" distL="182880" distR="182880" simplePos="0" relativeHeight="251661312" behindDoc="1" locked="0" layoutInCell="1" allowOverlap="1" wp14:anchorId="7C9CCADF" wp14:editId="647D155D">
            <wp:simplePos x="0" y="0"/>
            <wp:positionH relativeFrom="margin">
              <wp:align>left</wp:align>
            </wp:positionH>
            <wp:positionV relativeFrom="paragraph">
              <wp:posOffset>156845</wp:posOffset>
            </wp:positionV>
            <wp:extent cx="4462272" cy="905256"/>
            <wp:effectExtent l="0" t="0" r="0" b="9525"/>
            <wp:wrapTight wrapText="bothSides">
              <wp:wrapPolygon edited="0">
                <wp:start x="0" y="0"/>
                <wp:lineTo x="0" y="21373"/>
                <wp:lineTo x="21486" y="21373"/>
                <wp:lineTo x="2148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2272" cy="905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591E">
        <w:rPr>
          <w:rFonts w:asciiTheme="minorHAnsi" w:hAnsiTheme="minorHAnsi" w:cstheme="minorHAnsi"/>
          <w:sz w:val="22"/>
          <w:szCs w:val="22"/>
        </w:rPr>
        <w:t>Η αξία των ελληνικών εξαγωγών οίνου προς τις ΗΠΑ</w:t>
      </w:r>
      <w:r>
        <w:rPr>
          <w:rFonts w:asciiTheme="minorHAnsi" w:hAnsiTheme="minorHAnsi" w:cstheme="minorHAnsi"/>
          <w:sz w:val="22"/>
          <w:szCs w:val="22"/>
        </w:rPr>
        <w:t xml:space="preserve">, κατά το διάστημα Ιανουαρίου – Αυγούστου 2026, έναντι του αντιστοίχου διαστήματος του 2025, μειώθηκε κατά 6% ως </w:t>
      </w:r>
      <w:r w:rsidRPr="00ED591E">
        <w:rPr>
          <w:rFonts w:asciiTheme="minorHAnsi" w:hAnsiTheme="minorHAnsi" w:cstheme="minorHAnsi"/>
          <w:sz w:val="22"/>
          <w:szCs w:val="22"/>
        </w:rPr>
        <w:t xml:space="preserve"> </w:t>
      </w:r>
      <w:r>
        <w:rPr>
          <w:rFonts w:asciiTheme="minorHAnsi" w:hAnsiTheme="minorHAnsi" w:cstheme="minorHAnsi"/>
          <w:sz w:val="22"/>
          <w:szCs w:val="22"/>
        </w:rPr>
        <w:t xml:space="preserve">προς την αξία και 1% ως προς την ποσότητα. Επομένως, εκτιμούμε ότι </w:t>
      </w:r>
      <w:r w:rsidRPr="00067D4E">
        <w:rPr>
          <w:rFonts w:asciiTheme="minorHAnsi" w:hAnsiTheme="minorHAnsi" w:cstheme="minorHAnsi"/>
          <w:sz w:val="22"/>
          <w:szCs w:val="22"/>
          <w:u w:val="single"/>
        </w:rPr>
        <w:t xml:space="preserve">οι ελληνικοί οίνοι επιδεικνύουν σχετική </w:t>
      </w:r>
      <w:r w:rsidRPr="00504A7E">
        <w:rPr>
          <w:rFonts w:asciiTheme="minorHAnsi" w:hAnsiTheme="minorHAnsi" w:cstheme="minorHAnsi"/>
          <w:sz w:val="22"/>
          <w:szCs w:val="22"/>
          <w:u w:val="single"/>
        </w:rPr>
        <w:t>ανθεκτικότητα</w:t>
      </w:r>
      <w:r w:rsidRPr="00504A7E">
        <w:rPr>
          <w:rFonts w:asciiTheme="minorHAnsi" w:hAnsiTheme="minorHAnsi" w:cstheme="minorHAnsi"/>
          <w:sz w:val="22"/>
          <w:szCs w:val="22"/>
        </w:rPr>
        <w:t xml:space="preserve">, και όπως θα δείξουμε στην συνέχεια, </w:t>
      </w:r>
      <w:r w:rsidRPr="00504A7E">
        <w:rPr>
          <w:rFonts w:asciiTheme="minorHAnsi" w:hAnsiTheme="minorHAnsi" w:cstheme="minorHAnsi"/>
          <w:sz w:val="22"/>
          <w:szCs w:val="22"/>
          <w:u w:val="single"/>
        </w:rPr>
        <w:t>η πορεία τους είναι καλύτερη από αυτή των οίνων της ΕΕ συνολικά στις ΗΠΑ</w:t>
      </w:r>
      <w:r w:rsidR="00A16B8C" w:rsidRPr="00A16B8C">
        <w:rPr>
          <w:rFonts w:asciiTheme="minorHAnsi" w:hAnsiTheme="minorHAnsi" w:cstheme="minorHAnsi"/>
          <w:sz w:val="22"/>
          <w:szCs w:val="22"/>
          <w:u w:val="single"/>
        </w:rPr>
        <w:t>.</w:t>
      </w:r>
    </w:p>
    <w:p w14:paraId="00EB6EE5" w14:textId="06FD7285" w:rsidR="00FF5150" w:rsidRDefault="00FF5150" w:rsidP="00BD43BE">
      <w:pPr>
        <w:pStyle w:val="Heading2"/>
      </w:pPr>
      <w:r w:rsidRPr="00ED591E">
        <w:t xml:space="preserve">Εξαγωγές Οίνου </w:t>
      </w:r>
      <w:r>
        <w:t xml:space="preserve">ΕΕ </w:t>
      </w:r>
      <w:r w:rsidRPr="00ED591E">
        <w:t>προς τις ΗΠΑ</w:t>
      </w:r>
    </w:p>
    <w:p w14:paraId="2232DA34" w14:textId="26E6399C" w:rsidR="00302120" w:rsidRPr="00504A7E" w:rsidRDefault="00DA7A49"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Στις 22/10 </w:t>
      </w:r>
      <w:proofErr w:type="spellStart"/>
      <w:r w:rsidRPr="00504A7E">
        <w:rPr>
          <w:rFonts w:asciiTheme="minorHAnsi" w:hAnsiTheme="minorHAnsi" w:cstheme="minorHAnsi"/>
          <w:sz w:val="22"/>
          <w:szCs w:val="22"/>
        </w:rPr>
        <w:t>τ.ε.</w:t>
      </w:r>
      <w:proofErr w:type="spellEnd"/>
      <w:r w:rsidRPr="00504A7E">
        <w:rPr>
          <w:rFonts w:asciiTheme="minorHAnsi" w:hAnsiTheme="minorHAnsi" w:cstheme="minorHAnsi"/>
          <w:sz w:val="22"/>
          <w:szCs w:val="22"/>
        </w:rPr>
        <w:t xml:space="preserve">, στο πλαίσιο της τακτικής συνάντησης </w:t>
      </w:r>
      <w:r w:rsidR="00BD43BE" w:rsidRPr="00504A7E">
        <w:rPr>
          <w:rFonts w:asciiTheme="minorHAnsi" w:hAnsiTheme="minorHAnsi" w:cstheme="minorHAnsi"/>
          <w:sz w:val="22"/>
          <w:szCs w:val="22"/>
        </w:rPr>
        <w:t xml:space="preserve">των </w:t>
      </w:r>
      <w:r w:rsidRPr="00504A7E">
        <w:rPr>
          <w:rFonts w:asciiTheme="minorHAnsi" w:hAnsiTheme="minorHAnsi" w:cstheme="minorHAnsi"/>
          <w:sz w:val="22"/>
          <w:szCs w:val="22"/>
        </w:rPr>
        <w:t xml:space="preserve">Συμβούλων </w:t>
      </w:r>
      <w:r w:rsidR="00BD43BE" w:rsidRPr="00504A7E">
        <w:rPr>
          <w:rFonts w:asciiTheme="minorHAnsi" w:hAnsiTheme="minorHAnsi" w:cstheme="minorHAnsi"/>
          <w:sz w:val="22"/>
          <w:szCs w:val="22"/>
        </w:rPr>
        <w:t xml:space="preserve">κ-μ ΕΕ </w:t>
      </w:r>
      <w:r w:rsidRPr="00504A7E">
        <w:rPr>
          <w:rFonts w:asciiTheme="minorHAnsi" w:hAnsiTheme="minorHAnsi" w:cstheme="minorHAnsi"/>
          <w:sz w:val="22"/>
          <w:szCs w:val="22"/>
        </w:rPr>
        <w:t xml:space="preserve">για αγροδιατροφικά ζητήματα, </w:t>
      </w:r>
      <w:r w:rsidR="00BD43BE" w:rsidRPr="00504A7E">
        <w:rPr>
          <w:rFonts w:asciiTheme="minorHAnsi" w:hAnsiTheme="minorHAnsi" w:cstheme="minorHAnsi"/>
          <w:sz w:val="22"/>
          <w:szCs w:val="22"/>
        </w:rPr>
        <w:t xml:space="preserve">ο </w:t>
      </w:r>
      <w:r w:rsidRPr="00504A7E">
        <w:rPr>
          <w:rFonts w:asciiTheme="minorHAnsi" w:hAnsiTheme="minorHAnsi" w:cstheme="minorHAnsi"/>
          <w:sz w:val="22"/>
          <w:szCs w:val="22"/>
        </w:rPr>
        <w:t xml:space="preserve">Δρ. </w:t>
      </w:r>
      <w:r w:rsidRPr="00504A7E">
        <w:rPr>
          <w:rFonts w:asciiTheme="minorHAnsi" w:hAnsiTheme="minorHAnsi" w:cstheme="minorHAnsi"/>
          <w:sz w:val="22"/>
          <w:szCs w:val="22"/>
          <w:lang w:val="en-US"/>
        </w:rPr>
        <w:t>Ignacio</w:t>
      </w:r>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S</w:t>
      </w:r>
      <w:r w:rsidRPr="00504A7E">
        <w:rPr>
          <w:rFonts w:asciiTheme="minorHAnsi" w:hAnsiTheme="minorHAnsi" w:cstheme="minorHAnsi"/>
          <w:sz w:val="22"/>
          <w:szCs w:val="22"/>
        </w:rPr>
        <w:t>á</w:t>
      </w:r>
      <w:proofErr w:type="spellStart"/>
      <w:r w:rsidRPr="00504A7E">
        <w:rPr>
          <w:rFonts w:asciiTheme="minorHAnsi" w:hAnsiTheme="minorHAnsi" w:cstheme="minorHAnsi"/>
          <w:sz w:val="22"/>
          <w:szCs w:val="22"/>
          <w:lang w:val="en-US"/>
        </w:rPr>
        <w:t>nchez</w:t>
      </w:r>
      <w:proofErr w:type="spellEnd"/>
      <w:r w:rsidRPr="00504A7E">
        <w:rPr>
          <w:rFonts w:asciiTheme="minorHAnsi" w:hAnsiTheme="minorHAnsi" w:cstheme="minorHAnsi"/>
          <w:sz w:val="22"/>
          <w:szCs w:val="22"/>
        </w:rPr>
        <w:t xml:space="preserve"> </w:t>
      </w:r>
      <w:proofErr w:type="spellStart"/>
      <w:r w:rsidRPr="00504A7E">
        <w:rPr>
          <w:rFonts w:asciiTheme="minorHAnsi" w:hAnsiTheme="minorHAnsi" w:cstheme="minorHAnsi"/>
          <w:sz w:val="22"/>
          <w:szCs w:val="22"/>
          <w:lang w:val="en-US"/>
        </w:rPr>
        <w:t>Recarte</w:t>
      </w:r>
      <w:proofErr w:type="spellEnd"/>
      <w:r w:rsidRPr="00504A7E">
        <w:rPr>
          <w:rFonts w:asciiTheme="minorHAnsi" w:hAnsiTheme="minorHAnsi" w:cstheme="minorHAnsi"/>
          <w:sz w:val="22"/>
          <w:szCs w:val="22"/>
        </w:rPr>
        <w:t>, Γενικ</w:t>
      </w:r>
      <w:r w:rsidR="00BD43BE" w:rsidRPr="00504A7E">
        <w:rPr>
          <w:rFonts w:asciiTheme="minorHAnsi" w:hAnsiTheme="minorHAnsi" w:cstheme="minorHAnsi"/>
          <w:sz w:val="22"/>
          <w:szCs w:val="22"/>
        </w:rPr>
        <w:t>ός</w:t>
      </w:r>
      <w:r w:rsidRPr="00504A7E">
        <w:rPr>
          <w:rFonts w:asciiTheme="minorHAnsi" w:hAnsiTheme="minorHAnsi" w:cstheme="minorHAnsi"/>
          <w:sz w:val="22"/>
          <w:szCs w:val="22"/>
        </w:rPr>
        <w:t xml:space="preserve"> Διευθυντή</w:t>
      </w:r>
      <w:r w:rsidR="00BD43BE" w:rsidRPr="00504A7E">
        <w:rPr>
          <w:rFonts w:asciiTheme="minorHAnsi" w:hAnsiTheme="minorHAnsi" w:cstheme="minorHAnsi"/>
          <w:sz w:val="22"/>
          <w:szCs w:val="22"/>
        </w:rPr>
        <w:t>ς</w:t>
      </w:r>
      <w:r w:rsidRPr="00504A7E">
        <w:rPr>
          <w:rFonts w:asciiTheme="minorHAnsi" w:hAnsiTheme="minorHAnsi" w:cstheme="minorHAnsi"/>
          <w:sz w:val="22"/>
          <w:szCs w:val="22"/>
        </w:rPr>
        <w:t xml:space="preserve"> της Ευρωπαϊκής Επιτροπής Οινικών Επιχειρήσεων (</w:t>
      </w:r>
      <w:proofErr w:type="spellStart"/>
      <w:r w:rsidRPr="00504A7E">
        <w:rPr>
          <w:rFonts w:asciiTheme="minorHAnsi" w:hAnsiTheme="minorHAnsi" w:cstheme="minorHAnsi"/>
          <w:sz w:val="22"/>
          <w:szCs w:val="22"/>
          <w:lang w:val="en-US"/>
        </w:rPr>
        <w:t>Comit</w:t>
      </w:r>
      <w:proofErr w:type="spellEnd"/>
      <w:r w:rsidRPr="00504A7E">
        <w:rPr>
          <w:rFonts w:asciiTheme="minorHAnsi" w:hAnsiTheme="minorHAnsi" w:cstheme="minorHAnsi"/>
          <w:sz w:val="22"/>
          <w:szCs w:val="22"/>
        </w:rPr>
        <w:t xml:space="preserve">é </w:t>
      </w:r>
      <w:proofErr w:type="spellStart"/>
      <w:r w:rsidRPr="00504A7E">
        <w:rPr>
          <w:rFonts w:asciiTheme="minorHAnsi" w:hAnsiTheme="minorHAnsi" w:cstheme="minorHAnsi"/>
          <w:sz w:val="22"/>
          <w:szCs w:val="22"/>
          <w:lang w:val="en-US"/>
        </w:rPr>
        <w:t>Europ</w:t>
      </w:r>
      <w:proofErr w:type="spellEnd"/>
      <w:r w:rsidRPr="00504A7E">
        <w:rPr>
          <w:rFonts w:asciiTheme="minorHAnsi" w:hAnsiTheme="minorHAnsi" w:cstheme="minorHAnsi"/>
          <w:sz w:val="22"/>
          <w:szCs w:val="22"/>
        </w:rPr>
        <w:t>é</w:t>
      </w:r>
      <w:proofErr w:type="spellStart"/>
      <w:r w:rsidRPr="00504A7E">
        <w:rPr>
          <w:rFonts w:asciiTheme="minorHAnsi" w:hAnsiTheme="minorHAnsi" w:cstheme="minorHAnsi"/>
          <w:sz w:val="22"/>
          <w:szCs w:val="22"/>
          <w:lang w:val="en-US"/>
        </w:rPr>
        <w:t>en</w:t>
      </w:r>
      <w:proofErr w:type="spellEnd"/>
      <w:r w:rsidRPr="00504A7E">
        <w:rPr>
          <w:rFonts w:asciiTheme="minorHAnsi" w:hAnsiTheme="minorHAnsi" w:cstheme="minorHAnsi"/>
          <w:sz w:val="22"/>
          <w:szCs w:val="22"/>
        </w:rPr>
        <w:t xml:space="preserve"> </w:t>
      </w:r>
      <w:r w:rsidRPr="00504A7E">
        <w:rPr>
          <w:rFonts w:asciiTheme="minorHAnsi" w:hAnsiTheme="minorHAnsi" w:cstheme="minorHAnsi"/>
          <w:sz w:val="22"/>
          <w:szCs w:val="22"/>
          <w:lang w:val="en-US"/>
        </w:rPr>
        <w:t>des</w:t>
      </w:r>
      <w:r w:rsidRPr="00504A7E">
        <w:rPr>
          <w:rFonts w:asciiTheme="minorHAnsi" w:hAnsiTheme="minorHAnsi" w:cstheme="minorHAnsi"/>
          <w:sz w:val="22"/>
          <w:szCs w:val="22"/>
        </w:rPr>
        <w:t xml:space="preserve"> </w:t>
      </w:r>
      <w:proofErr w:type="spellStart"/>
      <w:r w:rsidRPr="00504A7E">
        <w:rPr>
          <w:rFonts w:asciiTheme="minorHAnsi" w:hAnsiTheme="minorHAnsi" w:cstheme="minorHAnsi"/>
          <w:sz w:val="22"/>
          <w:szCs w:val="22"/>
          <w:lang w:val="en-US"/>
        </w:rPr>
        <w:t>Entreprises</w:t>
      </w:r>
      <w:proofErr w:type="spellEnd"/>
      <w:r w:rsidRPr="00504A7E">
        <w:rPr>
          <w:rFonts w:asciiTheme="minorHAnsi" w:hAnsiTheme="minorHAnsi" w:cstheme="minorHAnsi"/>
          <w:sz w:val="22"/>
          <w:szCs w:val="22"/>
        </w:rPr>
        <w:t xml:space="preserve"> </w:t>
      </w:r>
      <w:proofErr w:type="spellStart"/>
      <w:r w:rsidRPr="00504A7E">
        <w:rPr>
          <w:rFonts w:asciiTheme="minorHAnsi" w:hAnsiTheme="minorHAnsi" w:cstheme="minorHAnsi"/>
          <w:sz w:val="22"/>
          <w:szCs w:val="22"/>
          <w:lang w:val="en-US"/>
        </w:rPr>
        <w:t>Vins</w:t>
      </w:r>
      <w:proofErr w:type="spellEnd"/>
      <w:r w:rsidRPr="00504A7E">
        <w:rPr>
          <w:rFonts w:asciiTheme="minorHAnsi" w:hAnsiTheme="minorHAnsi" w:cstheme="minorHAnsi"/>
          <w:sz w:val="22"/>
          <w:szCs w:val="22"/>
        </w:rPr>
        <w:t xml:space="preserve"> / </w:t>
      </w:r>
      <w:r w:rsidRPr="00504A7E">
        <w:rPr>
          <w:rFonts w:asciiTheme="minorHAnsi" w:hAnsiTheme="minorHAnsi" w:cstheme="minorHAnsi"/>
          <w:sz w:val="22"/>
          <w:szCs w:val="22"/>
          <w:lang w:val="en-US"/>
        </w:rPr>
        <w:t>CEEV</w:t>
      </w:r>
      <w:r w:rsidRPr="00504A7E">
        <w:rPr>
          <w:rFonts w:asciiTheme="minorHAnsi" w:hAnsiTheme="minorHAnsi" w:cstheme="minorHAnsi"/>
          <w:sz w:val="22"/>
          <w:szCs w:val="22"/>
        </w:rPr>
        <w:t>)</w:t>
      </w:r>
      <w:r w:rsidR="00BD43BE" w:rsidRPr="00504A7E">
        <w:rPr>
          <w:rFonts w:asciiTheme="minorHAnsi" w:hAnsiTheme="minorHAnsi" w:cstheme="minorHAnsi"/>
          <w:sz w:val="22"/>
          <w:szCs w:val="22"/>
        </w:rPr>
        <w:t xml:space="preserve"> παρουσίασε </w:t>
      </w:r>
      <w:r w:rsidRPr="00504A7E">
        <w:rPr>
          <w:rFonts w:asciiTheme="minorHAnsi" w:hAnsiTheme="minorHAnsi" w:cstheme="minorHAnsi"/>
          <w:sz w:val="22"/>
          <w:szCs w:val="22"/>
        </w:rPr>
        <w:t xml:space="preserve">τις </w:t>
      </w:r>
      <w:proofErr w:type="spellStart"/>
      <w:r w:rsidRPr="00504A7E">
        <w:rPr>
          <w:rFonts w:asciiTheme="minorHAnsi" w:hAnsiTheme="minorHAnsi" w:cstheme="minorHAnsi"/>
          <w:sz w:val="22"/>
          <w:szCs w:val="22"/>
        </w:rPr>
        <w:t>επιτώσεις</w:t>
      </w:r>
      <w:proofErr w:type="spellEnd"/>
      <w:r w:rsidRPr="00504A7E">
        <w:rPr>
          <w:rFonts w:asciiTheme="minorHAnsi" w:hAnsiTheme="minorHAnsi" w:cstheme="minorHAnsi"/>
          <w:sz w:val="22"/>
          <w:szCs w:val="22"/>
        </w:rPr>
        <w:t xml:space="preserve"> της δασμολογικής πολιτικής </w:t>
      </w:r>
      <w:r w:rsidR="00C40983" w:rsidRPr="00504A7E">
        <w:rPr>
          <w:rFonts w:asciiTheme="minorHAnsi" w:hAnsiTheme="minorHAnsi" w:cstheme="minorHAnsi"/>
          <w:sz w:val="22"/>
          <w:szCs w:val="22"/>
        </w:rPr>
        <w:t>των ΗΠΑ στις ευρωπαϊκές εξαγωγές οίνου</w:t>
      </w:r>
      <w:r w:rsidRPr="00504A7E">
        <w:rPr>
          <w:rFonts w:asciiTheme="minorHAnsi" w:hAnsiTheme="minorHAnsi" w:cstheme="minorHAnsi"/>
          <w:sz w:val="22"/>
          <w:szCs w:val="22"/>
        </w:rPr>
        <w:t>.</w:t>
      </w:r>
    </w:p>
    <w:p w14:paraId="501A9895" w14:textId="746C8628" w:rsidR="002C4800" w:rsidRPr="00930F91" w:rsidRDefault="00930F91" w:rsidP="00BD43BE">
      <w:pPr>
        <w:pStyle w:val="Heading3"/>
      </w:pPr>
      <w:r w:rsidRPr="00930F91">
        <w:t>Βασικά Ευρήματα της Έρευνας:</w:t>
      </w:r>
    </w:p>
    <w:p w14:paraId="79A5EF9E" w14:textId="367E9B67" w:rsidR="001B3800" w:rsidRDefault="001B3800" w:rsidP="00BD43BE">
      <w:pPr>
        <w:pStyle w:val="Heading3"/>
      </w:pPr>
      <w:r w:rsidRPr="0008264F">
        <w:softHyphen/>
      </w:r>
      <w:r w:rsidRPr="0008264F">
        <w:softHyphen/>
      </w:r>
      <w:r w:rsidRPr="0008264F">
        <w:softHyphen/>
      </w:r>
      <w:r w:rsidRPr="0008264F">
        <w:softHyphen/>
      </w:r>
      <w:r w:rsidRPr="0008264F">
        <w:softHyphen/>
        <w:t>Θέση</w:t>
      </w:r>
      <w:r w:rsidRPr="001B3800">
        <w:t xml:space="preserve"> στην αγορά και πλαίσιο πριν από την επιβολή δασμών</w:t>
      </w:r>
    </w:p>
    <w:p w14:paraId="4010789D" w14:textId="77777777" w:rsidR="00BD43BE" w:rsidRPr="00504A7E" w:rsidRDefault="001B3800"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Οι </w:t>
      </w:r>
      <w:r w:rsidR="00930F91" w:rsidRPr="00504A7E">
        <w:rPr>
          <w:rFonts w:asciiTheme="minorHAnsi" w:hAnsiTheme="minorHAnsi" w:cstheme="minorHAnsi"/>
          <w:sz w:val="22"/>
          <w:szCs w:val="22"/>
        </w:rPr>
        <w:t>ΗΠΑ</w:t>
      </w:r>
      <w:r w:rsidRPr="00504A7E">
        <w:rPr>
          <w:rFonts w:asciiTheme="minorHAnsi" w:hAnsiTheme="minorHAnsi" w:cstheme="minorHAnsi"/>
          <w:sz w:val="22"/>
          <w:szCs w:val="22"/>
        </w:rPr>
        <w:t xml:space="preserve"> αποτελούν τη</w:t>
      </w:r>
      <w:r w:rsidR="00BD43BE" w:rsidRPr="00504A7E">
        <w:rPr>
          <w:rFonts w:asciiTheme="minorHAnsi" w:hAnsiTheme="minorHAnsi" w:cstheme="minorHAnsi"/>
          <w:sz w:val="22"/>
          <w:szCs w:val="22"/>
        </w:rPr>
        <w:t>ν</w:t>
      </w:r>
      <w:r w:rsidRPr="00504A7E">
        <w:rPr>
          <w:rFonts w:asciiTheme="minorHAnsi" w:hAnsiTheme="minorHAnsi" w:cstheme="minorHAnsi"/>
          <w:sz w:val="22"/>
          <w:szCs w:val="22"/>
        </w:rPr>
        <w:t xml:space="preserve"> μεγαλύτερη αγορά </w:t>
      </w:r>
      <w:r w:rsidR="00BD43BE" w:rsidRPr="00504A7E">
        <w:rPr>
          <w:rFonts w:asciiTheme="minorHAnsi" w:hAnsiTheme="minorHAnsi" w:cstheme="minorHAnsi"/>
          <w:sz w:val="22"/>
          <w:szCs w:val="22"/>
        </w:rPr>
        <w:t>για τους οίνους</w:t>
      </w:r>
      <w:r w:rsidRPr="00504A7E">
        <w:rPr>
          <w:rFonts w:asciiTheme="minorHAnsi" w:hAnsiTheme="minorHAnsi" w:cstheme="minorHAnsi"/>
          <w:sz w:val="22"/>
          <w:szCs w:val="22"/>
        </w:rPr>
        <w:t xml:space="preserve"> ΕΕ. Το 2025 </w:t>
      </w:r>
      <w:r w:rsidR="00BD43BE" w:rsidRPr="00504A7E">
        <w:rPr>
          <w:rFonts w:asciiTheme="minorHAnsi" w:hAnsiTheme="minorHAnsi" w:cstheme="minorHAnsi"/>
          <w:sz w:val="22"/>
          <w:szCs w:val="22"/>
        </w:rPr>
        <w:t xml:space="preserve">η αξία των εξαγωγών οίνου της ΕΕ στις ΗΠΑ ανήλθε </w:t>
      </w:r>
      <w:r w:rsidRPr="00504A7E">
        <w:rPr>
          <w:rFonts w:asciiTheme="minorHAnsi" w:hAnsiTheme="minorHAnsi" w:cstheme="minorHAnsi"/>
          <w:sz w:val="22"/>
          <w:szCs w:val="22"/>
        </w:rPr>
        <w:t xml:space="preserve"> </w:t>
      </w:r>
      <w:r w:rsidR="00BD43BE" w:rsidRPr="00504A7E">
        <w:rPr>
          <w:rFonts w:asciiTheme="minorHAnsi" w:hAnsiTheme="minorHAnsi" w:cstheme="minorHAnsi"/>
          <w:sz w:val="22"/>
          <w:szCs w:val="22"/>
        </w:rPr>
        <w:t xml:space="preserve">σε </w:t>
      </w:r>
      <w:r w:rsidR="00784751" w:rsidRPr="00504A7E">
        <w:rPr>
          <w:rFonts w:asciiTheme="minorHAnsi" w:hAnsiTheme="minorHAnsi" w:cstheme="minorHAnsi"/>
          <w:sz w:val="22"/>
          <w:szCs w:val="22"/>
        </w:rPr>
        <w:t>€</w:t>
      </w:r>
      <w:r w:rsidRPr="00504A7E">
        <w:rPr>
          <w:rFonts w:asciiTheme="minorHAnsi" w:hAnsiTheme="minorHAnsi" w:cstheme="minorHAnsi"/>
          <w:sz w:val="22"/>
          <w:szCs w:val="22"/>
        </w:rPr>
        <w:t>4,2 δι</w:t>
      </w:r>
      <w:r w:rsidR="00784751" w:rsidRPr="00504A7E">
        <w:rPr>
          <w:rFonts w:asciiTheme="minorHAnsi" w:hAnsiTheme="minorHAnsi" w:cstheme="minorHAnsi"/>
          <w:sz w:val="22"/>
          <w:szCs w:val="22"/>
        </w:rPr>
        <w:t>σ.</w:t>
      </w:r>
      <w:r w:rsidRPr="00504A7E">
        <w:rPr>
          <w:rFonts w:asciiTheme="minorHAnsi" w:hAnsiTheme="minorHAnsi" w:cstheme="minorHAnsi"/>
          <w:sz w:val="22"/>
          <w:szCs w:val="22"/>
        </w:rPr>
        <w:t xml:space="preserve"> ευρώ </w:t>
      </w:r>
      <w:r w:rsidR="00BD43BE" w:rsidRPr="00504A7E">
        <w:rPr>
          <w:rFonts w:asciiTheme="minorHAnsi" w:hAnsiTheme="minorHAnsi" w:cstheme="minorHAnsi"/>
          <w:sz w:val="22"/>
          <w:szCs w:val="22"/>
        </w:rPr>
        <w:t xml:space="preserve">ή </w:t>
      </w:r>
      <w:r w:rsidRPr="00504A7E">
        <w:rPr>
          <w:rFonts w:asciiTheme="minorHAnsi" w:hAnsiTheme="minorHAnsi" w:cstheme="minorHAnsi"/>
          <w:sz w:val="22"/>
          <w:szCs w:val="22"/>
        </w:rPr>
        <w:t>26,3% των εξαγωγών εκτός ΕΕ.</w:t>
      </w:r>
      <w:r w:rsidR="00930F91" w:rsidRPr="00504A7E">
        <w:rPr>
          <w:rFonts w:asciiTheme="minorHAnsi" w:hAnsiTheme="minorHAnsi" w:cstheme="minorHAnsi"/>
          <w:sz w:val="22"/>
          <w:szCs w:val="22"/>
        </w:rPr>
        <w:t xml:space="preserve"> </w:t>
      </w:r>
      <w:r w:rsidR="00BD43BE" w:rsidRPr="00504A7E">
        <w:rPr>
          <w:rFonts w:asciiTheme="minorHAnsi" w:hAnsiTheme="minorHAnsi" w:cstheme="minorHAnsi"/>
          <w:sz w:val="22"/>
          <w:szCs w:val="22"/>
        </w:rPr>
        <w:t xml:space="preserve">Το 2024 η αξία ανήλθε σε €4,9 δισ. ή 29% των εξαγωγών εκτός της ΕΕ. </w:t>
      </w:r>
    </w:p>
    <w:p w14:paraId="6077A43B" w14:textId="6159F5CE" w:rsidR="001B3800" w:rsidRPr="00504A7E" w:rsidRDefault="00BD43BE" w:rsidP="00A16B8C">
      <w:pPr>
        <w:jc w:val="both"/>
        <w:rPr>
          <w:rFonts w:asciiTheme="minorHAnsi" w:hAnsiTheme="minorHAnsi" w:cstheme="minorHAnsi"/>
          <w:sz w:val="22"/>
          <w:szCs w:val="22"/>
        </w:rPr>
      </w:pPr>
      <w:r w:rsidRPr="00504A7E">
        <w:rPr>
          <w:rFonts w:asciiTheme="minorHAnsi" w:hAnsiTheme="minorHAnsi" w:cstheme="minorHAnsi"/>
          <w:sz w:val="22"/>
          <w:szCs w:val="22"/>
        </w:rPr>
        <w:t xml:space="preserve">Το 2025, 79,9% των εισαγωγών οίνου των ΗΠΑ σε όρους αξίας και 54,5% σε όρους όγκου προήλθε από την </w:t>
      </w:r>
      <w:r w:rsidR="001B3800" w:rsidRPr="00504A7E">
        <w:rPr>
          <w:rFonts w:asciiTheme="minorHAnsi" w:hAnsiTheme="minorHAnsi" w:cstheme="minorHAnsi"/>
          <w:sz w:val="22"/>
          <w:szCs w:val="22"/>
        </w:rPr>
        <w:t>ΕΕ</w:t>
      </w:r>
      <w:r w:rsidRPr="00504A7E">
        <w:rPr>
          <w:rFonts w:asciiTheme="minorHAnsi" w:hAnsiTheme="minorHAnsi" w:cstheme="minorHAnsi"/>
          <w:sz w:val="22"/>
          <w:szCs w:val="22"/>
        </w:rPr>
        <w:t>. Άνω του</w:t>
      </w:r>
      <w:r w:rsidR="001B3800" w:rsidRPr="00504A7E">
        <w:rPr>
          <w:rFonts w:asciiTheme="minorHAnsi" w:hAnsiTheme="minorHAnsi" w:cstheme="minorHAnsi"/>
          <w:sz w:val="22"/>
          <w:szCs w:val="22"/>
        </w:rPr>
        <w:t xml:space="preserve"> 98% των εξαγωγών οίνου της ΕΕ προς τις ΗΠΑ </w:t>
      </w:r>
      <w:r w:rsidRPr="00504A7E">
        <w:rPr>
          <w:rFonts w:asciiTheme="minorHAnsi" w:hAnsiTheme="minorHAnsi" w:cstheme="minorHAnsi"/>
          <w:sz w:val="22"/>
          <w:szCs w:val="22"/>
        </w:rPr>
        <w:t xml:space="preserve">το 2025 προήλθε </w:t>
      </w:r>
      <w:r w:rsidR="001B3800" w:rsidRPr="00504A7E">
        <w:rPr>
          <w:rFonts w:asciiTheme="minorHAnsi" w:hAnsiTheme="minorHAnsi" w:cstheme="minorHAnsi"/>
          <w:sz w:val="22"/>
          <w:szCs w:val="22"/>
        </w:rPr>
        <w:t xml:space="preserve">από πέντε κράτη μέλη: Γαλλία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45,8%</w:t>
      </w:r>
      <w:r w:rsidRPr="00504A7E">
        <w:rPr>
          <w:rFonts w:asciiTheme="minorHAnsi" w:hAnsiTheme="minorHAnsi" w:cstheme="minorHAnsi"/>
          <w:sz w:val="22"/>
          <w:szCs w:val="22"/>
        </w:rPr>
        <w:t>, Ιταλία</w:t>
      </w:r>
      <w:r w:rsidR="001B3800"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 xml:space="preserve">42,0%, Ισπανία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 xml:space="preserve">6,9%, Πορτογαλία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2,1%</w:t>
      </w:r>
      <w:r w:rsidRPr="00504A7E">
        <w:rPr>
          <w:rFonts w:asciiTheme="minorHAnsi" w:hAnsiTheme="minorHAnsi" w:cstheme="minorHAnsi"/>
          <w:sz w:val="22"/>
          <w:szCs w:val="22"/>
        </w:rPr>
        <w:t>,</w:t>
      </w:r>
      <w:r w:rsidR="001B3800" w:rsidRPr="00504A7E">
        <w:rPr>
          <w:rFonts w:asciiTheme="minorHAnsi" w:hAnsiTheme="minorHAnsi" w:cstheme="minorHAnsi"/>
          <w:sz w:val="22"/>
          <w:szCs w:val="22"/>
        </w:rPr>
        <w:t xml:space="preserve"> και Γερμανία </w:t>
      </w:r>
      <w:r w:rsidRPr="00504A7E">
        <w:rPr>
          <w:rFonts w:asciiTheme="minorHAnsi" w:hAnsiTheme="minorHAnsi" w:cstheme="minorHAnsi"/>
          <w:sz w:val="22"/>
          <w:szCs w:val="22"/>
        </w:rPr>
        <w:t xml:space="preserve">- </w:t>
      </w:r>
      <w:r w:rsidR="001B3800" w:rsidRPr="00504A7E">
        <w:rPr>
          <w:rFonts w:asciiTheme="minorHAnsi" w:hAnsiTheme="minorHAnsi" w:cstheme="minorHAnsi"/>
          <w:sz w:val="22"/>
          <w:szCs w:val="22"/>
        </w:rPr>
        <w:t>1,7%.</w:t>
      </w:r>
    </w:p>
    <w:p w14:paraId="3996F505" w14:textId="77777777" w:rsidR="00BD43BE" w:rsidRDefault="001B3800" w:rsidP="00BD43BE">
      <w:pPr>
        <w:pStyle w:val="Heading3"/>
      </w:pPr>
      <w:r w:rsidRPr="0085298A">
        <w:lastRenderedPageBreak/>
        <w:t xml:space="preserve">Επιπτώσεις </w:t>
      </w:r>
      <w:r w:rsidR="00BD43BE">
        <w:t>από την επιβολή δασμών</w:t>
      </w:r>
    </w:p>
    <w:p w14:paraId="14C06B54" w14:textId="1E4C7E20" w:rsidR="001B3800" w:rsidRPr="00512279" w:rsidRDefault="001B3800" w:rsidP="00BD43BE">
      <w:pPr>
        <w:pStyle w:val="Heading4"/>
      </w:pPr>
      <w:r w:rsidRPr="00512279">
        <w:t xml:space="preserve">Σοβαρή πτώση κατά το πρώτο έτος επιβολής δασμών (Απρ 2025 </w:t>
      </w:r>
      <w:r w:rsidR="00930F91">
        <w:t>-</w:t>
      </w:r>
      <w:r w:rsidRPr="00512279">
        <w:t xml:space="preserve"> Μαρ 2026):</w:t>
      </w:r>
    </w:p>
    <w:p w14:paraId="5A8DD6E7" w14:textId="14D75C5D" w:rsidR="00930F91" w:rsidRPr="00504A7E" w:rsidRDefault="001B3800" w:rsidP="00A16B8C">
      <w:pPr>
        <w:pStyle w:val="ListParagraph"/>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Αξία εξαγωγών:</w:t>
      </w:r>
      <w:r w:rsidRPr="00504A7E">
        <w:rPr>
          <w:rFonts w:asciiTheme="minorHAnsi" w:hAnsiTheme="minorHAnsi" w:cstheme="minorHAnsi"/>
          <w:sz w:val="22"/>
          <w:szCs w:val="22"/>
        </w:rPr>
        <w:t xml:space="preserve"> Υποχώρησε κατά 21,1% (άμεση απώλεια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1,0</w:t>
      </w:r>
      <w:r w:rsidR="00E21DBD" w:rsidRPr="00504A7E">
        <w:rPr>
          <w:rFonts w:asciiTheme="minorHAnsi" w:hAnsiTheme="minorHAnsi" w:cstheme="minorHAnsi"/>
          <w:sz w:val="22"/>
          <w:szCs w:val="22"/>
        </w:rPr>
        <w:t>6</w:t>
      </w:r>
      <w:r w:rsidRPr="00504A7E">
        <w:rPr>
          <w:rFonts w:asciiTheme="minorHAnsi" w:hAnsiTheme="minorHAnsi" w:cstheme="minorHAnsi"/>
          <w:sz w:val="22"/>
          <w:szCs w:val="22"/>
        </w:rPr>
        <w:t xml:space="preserve"> δι</w:t>
      </w:r>
      <w:r w:rsidR="00930F91" w:rsidRPr="00504A7E">
        <w:rPr>
          <w:rFonts w:asciiTheme="minorHAnsi" w:hAnsiTheme="minorHAnsi" w:cstheme="minorHAnsi"/>
          <w:sz w:val="22"/>
          <w:szCs w:val="22"/>
        </w:rPr>
        <w:t>σ.</w:t>
      </w:r>
      <w:r w:rsidRPr="00504A7E">
        <w:rPr>
          <w:rFonts w:asciiTheme="minorHAnsi" w:hAnsiTheme="minorHAnsi" w:cstheme="minorHAnsi"/>
          <w:sz w:val="22"/>
          <w:szCs w:val="22"/>
        </w:rPr>
        <w:t xml:space="preserve">, πέφτοντας από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 xml:space="preserve">5,01 δισ. </w:t>
      </w:r>
      <w:r w:rsidR="00E21DBD" w:rsidRPr="00504A7E">
        <w:rPr>
          <w:rFonts w:asciiTheme="minorHAnsi" w:hAnsiTheme="minorHAnsi" w:cstheme="minorHAnsi"/>
          <w:sz w:val="22"/>
          <w:szCs w:val="22"/>
        </w:rPr>
        <w:t xml:space="preserve">σε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3,95 δισ.).</w:t>
      </w:r>
    </w:p>
    <w:p w14:paraId="676D3A5A" w14:textId="11E34FEE" w:rsidR="001B3800" w:rsidRPr="00504A7E" w:rsidRDefault="001B3800" w:rsidP="00A16B8C">
      <w:pPr>
        <w:pStyle w:val="ListParagraph"/>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Όγκος εξαγωγών:</w:t>
      </w:r>
      <w:r w:rsidRPr="00504A7E">
        <w:rPr>
          <w:rFonts w:asciiTheme="minorHAnsi" w:hAnsiTheme="minorHAnsi" w:cstheme="minorHAnsi"/>
          <w:sz w:val="22"/>
          <w:szCs w:val="22"/>
        </w:rPr>
        <w:t xml:space="preserve"> Μειώθηκε κατά 9,0% </w:t>
      </w:r>
      <w:r w:rsidR="00E21DBD" w:rsidRPr="00504A7E">
        <w:rPr>
          <w:rFonts w:asciiTheme="minorHAnsi" w:hAnsiTheme="minorHAnsi" w:cstheme="minorHAnsi"/>
          <w:sz w:val="22"/>
          <w:szCs w:val="22"/>
        </w:rPr>
        <w:t xml:space="preserve">ή κατά </w:t>
      </w:r>
      <w:r w:rsidRPr="00504A7E">
        <w:rPr>
          <w:rFonts w:asciiTheme="minorHAnsi" w:hAnsiTheme="minorHAnsi" w:cstheme="minorHAnsi"/>
          <w:sz w:val="22"/>
          <w:szCs w:val="22"/>
        </w:rPr>
        <w:t>595.000 εκατόλιτρα.</w:t>
      </w:r>
    </w:p>
    <w:p w14:paraId="324FB8A7" w14:textId="3FBC9A41" w:rsidR="00930F91" w:rsidRPr="00504A7E" w:rsidRDefault="001B3800" w:rsidP="00A16B8C">
      <w:pPr>
        <w:pStyle w:val="ListParagraph"/>
        <w:numPr>
          <w:ilvl w:val="0"/>
          <w:numId w:val="16"/>
        </w:numPr>
        <w:spacing w:after="240" w:line="276" w:lineRule="auto"/>
        <w:ind w:left="450"/>
        <w:jc w:val="both"/>
        <w:rPr>
          <w:rFonts w:asciiTheme="minorHAnsi" w:hAnsiTheme="minorHAnsi" w:cstheme="minorHAnsi"/>
          <w:sz w:val="22"/>
          <w:szCs w:val="22"/>
        </w:rPr>
      </w:pPr>
      <w:r w:rsidRPr="00504A7E">
        <w:rPr>
          <w:rFonts w:asciiTheme="minorHAnsi" w:hAnsiTheme="minorHAnsi" w:cstheme="minorHAnsi"/>
          <w:b/>
          <w:sz w:val="22"/>
          <w:szCs w:val="22"/>
        </w:rPr>
        <w:t>Συμπίεση μέσης αξίας:</w:t>
      </w:r>
      <w:r w:rsidRPr="00504A7E">
        <w:rPr>
          <w:rFonts w:asciiTheme="minorHAnsi" w:hAnsiTheme="minorHAnsi" w:cstheme="minorHAnsi"/>
          <w:sz w:val="22"/>
          <w:szCs w:val="22"/>
        </w:rPr>
        <w:t xml:space="preserve"> Υποχώρησε κατά 13,4%</w:t>
      </w:r>
      <w:r w:rsidR="00E21DBD" w:rsidRPr="00504A7E">
        <w:rPr>
          <w:rFonts w:asciiTheme="minorHAnsi" w:hAnsiTheme="minorHAnsi" w:cstheme="minorHAnsi"/>
          <w:sz w:val="22"/>
          <w:szCs w:val="22"/>
        </w:rPr>
        <w:t xml:space="preserve">, </w:t>
      </w:r>
      <w:r w:rsidRPr="00504A7E">
        <w:rPr>
          <w:rFonts w:asciiTheme="minorHAnsi" w:hAnsiTheme="minorHAnsi" w:cstheme="minorHAnsi"/>
          <w:sz w:val="22"/>
          <w:szCs w:val="22"/>
        </w:rPr>
        <w:t>από 754 €/</w:t>
      </w:r>
      <w:proofErr w:type="spellStart"/>
      <w:r w:rsidRPr="00504A7E">
        <w:rPr>
          <w:rFonts w:asciiTheme="minorHAnsi" w:hAnsiTheme="minorHAnsi" w:cstheme="minorHAnsi"/>
          <w:sz w:val="22"/>
          <w:szCs w:val="22"/>
        </w:rPr>
        <w:t>hl</w:t>
      </w:r>
      <w:proofErr w:type="spellEnd"/>
      <w:r w:rsidRPr="00504A7E">
        <w:rPr>
          <w:rFonts w:asciiTheme="minorHAnsi" w:hAnsiTheme="minorHAnsi" w:cstheme="minorHAnsi"/>
          <w:sz w:val="22"/>
          <w:szCs w:val="22"/>
        </w:rPr>
        <w:t xml:space="preserve"> σε 653 €/</w:t>
      </w:r>
      <w:proofErr w:type="spellStart"/>
      <w:r w:rsidRPr="00504A7E">
        <w:rPr>
          <w:rFonts w:asciiTheme="minorHAnsi" w:hAnsiTheme="minorHAnsi" w:cstheme="minorHAnsi"/>
          <w:sz w:val="22"/>
          <w:szCs w:val="22"/>
        </w:rPr>
        <w:t>hl</w:t>
      </w:r>
      <w:proofErr w:type="spellEnd"/>
      <w:r w:rsidR="00E21DBD" w:rsidRPr="00504A7E">
        <w:rPr>
          <w:rFonts w:asciiTheme="minorHAnsi" w:hAnsiTheme="minorHAnsi" w:cstheme="minorHAnsi"/>
          <w:sz w:val="22"/>
          <w:szCs w:val="22"/>
        </w:rPr>
        <w:t xml:space="preserve">, </w:t>
      </w:r>
      <w:r w:rsidRPr="00504A7E">
        <w:rPr>
          <w:rFonts w:asciiTheme="minorHAnsi" w:hAnsiTheme="minorHAnsi" w:cstheme="minorHAnsi"/>
          <w:sz w:val="22"/>
          <w:szCs w:val="22"/>
        </w:rPr>
        <w:t>σε όλες τις κατηγορίες.</w:t>
      </w:r>
    </w:p>
    <w:p w14:paraId="7DABC32D" w14:textId="505E4F00" w:rsidR="001B3800" w:rsidRPr="00504A7E" w:rsidRDefault="001B3800" w:rsidP="00A16B8C">
      <w:pPr>
        <w:pStyle w:val="ListParagraph"/>
        <w:numPr>
          <w:ilvl w:val="0"/>
          <w:numId w:val="16"/>
        </w:numPr>
        <w:spacing w:line="276" w:lineRule="auto"/>
        <w:ind w:left="446"/>
        <w:jc w:val="both"/>
        <w:rPr>
          <w:rFonts w:asciiTheme="minorHAnsi" w:hAnsiTheme="minorHAnsi" w:cstheme="minorHAnsi"/>
          <w:sz w:val="22"/>
          <w:szCs w:val="22"/>
        </w:rPr>
      </w:pPr>
      <w:r w:rsidRPr="00504A7E">
        <w:rPr>
          <w:rFonts w:asciiTheme="minorHAnsi" w:hAnsiTheme="minorHAnsi" w:cstheme="minorHAnsi"/>
          <w:b/>
          <w:sz w:val="22"/>
          <w:szCs w:val="22"/>
        </w:rPr>
        <w:t>Απορρόφηση κόστους:</w:t>
      </w:r>
      <w:r w:rsidRPr="00504A7E">
        <w:rPr>
          <w:rFonts w:asciiTheme="minorHAnsi" w:hAnsiTheme="minorHAnsi" w:cstheme="minorHAnsi"/>
          <w:sz w:val="22"/>
          <w:szCs w:val="22"/>
        </w:rPr>
        <w:t xml:space="preserve"> Από τη</w:t>
      </w:r>
      <w:r w:rsidR="00E21DBD" w:rsidRPr="00504A7E">
        <w:rPr>
          <w:rFonts w:asciiTheme="minorHAnsi" w:hAnsiTheme="minorHAnsi" w:cstheme="minorHAnsi"/>
          <w:sz w:val="22"/>
          <w:szCs w:val="22"/>
        </w:rPr>
        <w:t>ν</w:t>
      </w:r>
      <w:r w:rsidRPr="00504A7E">
        <w:rPr>
          <w:rFonts w:asciiTheme="minorHAnsi" w:hAnsiTheme="minorHAnsi" w:cstheme="minorHAnsi"/>
          <w:sz w:val="22"/>
          <w:szCs w:val="22"/>
        </w:rPr>
        <w:t xml:space="preserve"> συνολική απώλεια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1,0</w:t>
      </w:r>
      <w:r w:rsidR="00E21DBD" w:rsidRPr="00504A7E">
        <w:rPr>
          <w:rFonts w:asciiTheme="minorHAnsi" w:hAnsiTheme="minorHAnsi" w:cstheme="minorHAnsi"/>
          <w:sz w:val="22"/>
          <w:szCs w:val="22"/>
        </w:rPr>
        <w:t>6</w:t>
      </w:r>
      <w:r w:rsidRPr="00504A7E">
        <w:rPr>
          <w:rFonts w:asciiTheme="minorHAnsi" w:hAnsiTheme="minorHAnsi" w:cstheme="minorHAnsi"/>
          <w:sz w:val="22"/>
          <w:szCs w:val="22"/>
        </w:rPr>
        <w:t xml:space="preserve"> δισ.,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670 εκ</w:t>
      </w:r>
      <w:r w:rsidR="00930F91" w:rsidRPr="00504A7E">
        <w:rPr>
          <w:rFonts w:asciiTheme="minorHAnsi" w:hAnsiTheme="minorHAnsi" w:cstheme="minorHAnsi"/>
          <w:sz w:val="22"/>
          <w:szCs w:val="22"/>
        </w:rPr>
        <w:t xml:space="preserve">. </w:t>
      </w:r>
      <w:proofErr w:type="spellStart"/>
      <w:r w:rsidRPr="00504A7E">
        <w:rPr>
          <w:rFonts w:asciiTheme="minorHAnsi" w:hAnsiTheme="minorHAnsi" w:cstheme="minorHAnsi"/>
          <w:sz w:val="22"/>
          <w:szCs w:val="22"/>
        </w:rPr>
        <w:t>απορροφήθηκαν</w:t>
      </w:r>
      <w:proofErr w:type="spellEnd"/>
      <w:r w:rsidRPr="00504A7E">
        <w:rPr>
          <w:rFonts w:asciiTheme="minorHAnsi" w:hAnsiTheme="minorHAnsi" w:cstheme="minorHAnsi"/>
          <w:sz w:val="22"/>
          <w:szCs w:val="22"/>
        </w:rPr>
        <w:t xml:space="preserve"> μέσω χαμηλότερων τιμών και συμπίεσης περιθωρίων κέρδους από τους παραγωγούς της ΕΕ στην προσπάθειά τους να παραμείνουν ανταγωνιστικοί, ενώ </w:t>
      </w:r>
      <w:r w:rsidR="00930F91" w:rsidRPr="00504A7E">
        <w:rPr>
          <w:rFonts w:asciiTheme="minorHAnsi" w:hAnsiTheme="minorHAnsi" w:cstheme="minorHAnsi"/>
          <w:sz w:val="22"/>
          <w:szCs w:val="22"/>
        </w:rPr>
        <w:t>€</w:t>
      </w:r>
      <w:r w:rsidRPr="00504A7E">
        <w:rPr>
          <w:rFonts w:asciiTheme="minorHAnsi" w:hAnsiTheme="minorHAnsi" w:cstheme="minorHAnsi"/>
          <w:sz w:val="22"/>
          <w:szCs w:val="22"/>
        </w:rPr>
        <w:t>389 εκ</w:t>
      </w:r>
      <w:r w:rsidR="00930F91" w:rsidRPr="00504A7E">
        <w:rPr>
          <w:rFonts w:asciiTheme="minorHAnsi" w:hAnsiTheme="minorHAnsi" w:cstheme="minorHAnsi"/>
          <w:sz w:val="22"/>
          <w:szCs w:val="22"/>
        </w:rPr>
        <w:t xml:space="preserve">. </w:t>
      </w:r>
      <w:r w:rsidR="00E21DBD" w:rsidRPr="00504A7E">
        <w:rPr>
          <w:rFonts w:asciiTheme="minorHAnsi" w:hAnsiTheme="minorHAnsi" w:cstheme="minorHAnsi"/>
          <w:sz w:val="22"/>
          <w:szCs w:val="22"/>
        </w:rPr>
        <w:t>αποδίδονται στην μείωση του όγκου</w:t>
      </w:r>
      <w:r w:rsidRPr="00504A7E">
        <w:rPr>
          <w:rFonts w:asciiTheme="minorHAnsi" w:hAnsiTheme="minorHAnsi" w:cstheme="minorHAnsi"/>
          <w:sz w:val="22"/>
          <w:szCs w:val="22"/>
        </w:rPr>
        <w:t>.</w:t>
      </w:r>
    </w:p>
    <w:p w14:paraId="416B8FDB" w14:textId="2513E60E" w:rsidR="001B3800" w:rsidRPr="001B3800" w:rsidRDefault="00E21DBD" w:rsidP="00E21DBD">
      <w:pPr>
        <w:spacing w:line="276" w:lineRule="auto"/>
        <w:jc w:val="both"/>
        <w:rPr>
          <w:rFonts w:ascii="Arial" w:hAnsi="Arial" w:cs="Arial"/>
          <w:sz w:val="20"/>
          <w:szCs w:val="20"/>
        </w:rPr>
      </w:pPr>
      <w:r>
        <w:rPr>
          <w:rStyle w:val="Heading4Char"/>
        </w:rPr>
        <w:t>Συνέπειες</w:t>
      </w:r>
      <w:r w:rsidR="001B3800" w:rsidRPr="00E21DBD">
        <w:rPr>
          <w:rStyle w:val="Heading4Char"/>
        </w:rPr>
        <w:t xml:space="preserve"> ανά κράτος μέλος</w:t>
      </w:r>
      <w:r w:rsidR="001B3800" w:rsidRPr="00504A7E">
        <w:rPr>
          <w:rStyle w:val="Heading4Char"/>
          <w:rFonts w:asciiTheme="minorHAnsi" w:hAnsiTheme="minorHAnsi" w:cstheme="minorHAnsi"/>
          <w:sz w:val="22"/>
          <w:szCs w:val="22"/>
        </w:rPr>
        <w:t>:</w:t>
      </w:r>
      <w:r w:rsidRPr="00504A7E">
        <w:rPr>
          <w:rStyle w:val="Heading4Char"/>
          <w:rFonts w:asciiTheme="minorHAnsi" w:hAnsiTheme="minorHAnsi" w:cstheme="minorHAnsi"/>
          <w:sz w:val="22"/>
          <w:szCs w:val="22"/>
        </w:rPr>
        <w:t xml:space="preserve"> </w:t>
      </w:r>
      <w:r w:rsidRPr="00504A7E">
        <w:rPr>
          <w:rFonts w:asciiTheme="minorHAnsi" w:eastAsiaTheme="majorEastAsia" w:hAnsiTheme="minorHAnsi" w:cstheme="minorHAnsi"/>
          <w:sz w:val="22"/>
          <w:szCs w:val="22"/>
        </w:rPr>
        <w:t>σ</w:t>
      </w:r>
      <w:r w:rsidRPr="00504A7E">
        <w:rPr>
          <w:rFonts w:asciiTheme="minorHAnsi" w:hAnsiTheme="minorHAnsi" w:cstheme="minorHAnsi"/>
          <w:sz w:val="22"/>
          <w:szCs w:val="22"/>
        </w:rPr>
        <w:t>ε όρους αξίας, η</w:t>
      </w:r>
      <w:r w:rsidR="001B3800" w:rsidRPr="00504A7E">
        <w:rPr>
          <w:rFonts w:asciiTheme="minorHAnsi" w:hAnsiTheme="minorHAnsi" w:cstheme="minorHAnsi"/>
          <w:sz w:val="22"/>
          <w:szCs w:val="22"/>
        </w:rPr>
        <w:t xml:space="preserve"> Γαλλία υπέστη τις μεγαλύτερες απώλειες</w:t>
      </w:r>
      <w:r w:rsidRPr="00504A7E">
        <w:rPr>
          <w:rFonts w:asciiTheme="minorHAnsi" w:hAnsiTheme="minorHAnsi" w:cstheme="minorHAnsi"/>
          <w:sz w:val="22"/>
          <w:szCs w:val="22"/>
        </w:rPr>
        <w:t xml:space="preserve">, ήτοι </w:t>
      </w:r>
      <w:r w:rsidR="001B3800" w:rsidRPr="00504A7E">
        <w:rPr>
          <w:rFonts w:asciiTheme="minorHAnsi" w:hAnsiTheme="minorHAnsi" w:cstheme="minorHAnsi"/>
          <w:sz w:val="22"/>
          <w:szCs w:val="22"/>
        </w:rPr>
        <w:t xml:space="preserve">-25,1% </w:t>
      </w:r>
      <w:r w:rsidRPr="00504A7E">
        <w:rPr>
          <w:rFonts w:asciiTheme="minorHAnsi" w:hAnsiTheme="minorHAnsi" w:cstheme="minorHAnsi"/>
          <w:sz w:val="22"/>
          <w:szCs w:val="22"/>
        </w:rPr>
        <w:t xml:space="preserve">ή πτώση </w:t>
      </w:r>
      <w:r w:rsidR="00930F91" w:rsidRPr="00504A7E">
        <w:rPr>
          <w:rFonts w:asciiTheme="minorHAnsi" w:hAnsiTheme="minorHAnsi" w:cstheme="minorHAnsi"/>
          <w:sz w:val="22"/>
          <w:szCs w:val="22"/>
        </w:rPr>
        <w:t>€</w:t>
      </w:r>
      <w:r w:rsidR="001B3800" w:rsidRPr="00504A7E">
        <w:rPr>
          <w:rFonts w:asciiTheme="minorHAnsi" w:hAnsiTheme="minorHAnsi" w:cstheme="minorHAnsi"/>
          <w:sz w:val="22"/>
          <w:szCs w:val="22"/>
        </w:rPr>
        <w:t>607 εκ</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και </w:t>
      </w:r>
      <w:r w:rsidR="001B3800" w:rsidRPr="00504A7E">
        <w:rPr>
          <w:rFonts w:asciiTheme="minorHAnsi" w:hAnsiTheme="minorHAnsi" w:cstheme="minorHAnsi"/>
          <w:sz w:val="22"/>
          <w:szCs w:val="22"/>
        </w:rPr>
        <w:t xml:space="preserve">-20,1% </w:t>
      </w:r>
      <w:r w:rsidRPr="00504A7E">
        <w:rPr>
          <w:rFonts w:asciiTheme="minorHAnsi" w:hAnsiTheme="minorHAnsi" w:cstheme="minorHAnsi"/>
          <w:sz w:val="22"/>
          <w:szCs w:val="22"/>
        </w:rPr>
        <w:t xml:space="preserve">ως προς την </w:t>
      </w:r>
      <w:r w:rsidR="001B3800" w:rsidRPr="00504A7E">
        <w:rPr>
          <w:rFonts w:asciiTheme="minorHAnsi" w:hAnsiTheme="minorHAnsi" w:cstheme="minorHAnsi"/>
          <w:sz w:val="22"/>
          <w:szCs w:val="22"/>
        </w:rPr>
        <w:t xml:space="preserve">μέση αξία ανά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ακολουθούμενη από την Ιταλία (-17,1%, -</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340 εκ</w:t>
      </w:r>
      <w:r w:rsidR="0008264F" w:rsidRPr="00504A7E">
        <w:rPr>
          <w:rFonts w:asciiTheme="minorHAnsi" w:hAnsiTheme="minorHAnsi" w:cstheme="minorHAnsi"/>
          <w:sz w:val="22"/>
          <w:szCs w:val="22"/>
        </w:rPr>
        <w:t>.</w:t>
      </w:r>
      <w:r w:rsidR="001B3800" w:rsidRPr="00504A7E">
        <w:rPr>
          <w:rFonts w:asciiTheme="minorHAnsi" w:hAnsiTheme="minorHAnsi" w:cstheme="minorHAnsi"/>
          <w:sz w:val="22"/>
          <w:szCs w:val="22"/>
        </w:rPr>
        <w:t>), την Πορτογαλία (-19,8%), την Ισπανία (-19,2%) και τη</w:t>
      </w:r>
      <w:r w:rsidRPr="00504A7E">
        <w:rPr>
          <w:rFonts w:asciiTheme="minorHAnsi" w:hAnsiTheme="minorHAnsi" w:cstheme="minorHAnsi"/>
          <w:sz w:val="22"/>
          <w:szCs w:val="22"/>
        </w:rPr>
        <w:t>ν</w:t>
      </w:r>
      <w:r w:rsidR="001B3800" w:rsidRPr="00504A7E">
        <w:rPr>
          <w:rFonts w:asciiTheme="minorHAnsi" w:hAnsiTheme="minorHAnsi" w:cstheme="minorHAnsi"/>
          <w:sz w:val="22"/>
          <w:szCs w:val="22"/>
        </w:rPr>
        <w:t xml:space="preserve"> Γερμανία (-15,2%).</w:t>
      </w:r>
    </w:p>
    <w:p w14:paraId="567A9DCC" w14:textId="0C7FF7E3" w:rsidR="001B3800" w:rsidRPr="00504A7E" w:rsidRDefault="001B3800" w:rsidP="00E21DBD">
      <w:pPr>
        <w:spacing w:line="276" w:lineRule="auto"/>
        <w:jc w:val="both"/>
        <w:rPr>
          <w:rFonts w:asciiTheme="minorHAnsi" w:hAnsiTheme="minorHAnsi" w:cstheme="minorHAnsi"/>
          <w:sz w:val="22"/>
          <w:szCs w:val="22"/>
        </w:rPr>
      </w:pPr>
      <w:r w:rsidRPr="00E21DBD">
        <w:rPr>
          <w:rStyle w:val="Heading4Char"/>
        </w:rPr>
        <w:t>Συναλλαγματικ</w:t>
      </w:r>
      <w:r w:rsidR="00E21DBD" w:rsidRPr="00E21DBD">
        <w:rPr>
          <w:rStyle w:val="Heading4Char"/>
        </w:rPr>
        <w:t>ή</w:t>
      </w:r>
      <w:r w:rsidRPr="00E21DBD">
        <w:rPr>
          <w:rStyle w:val="Heading4Char"/>
        </w:rPr>
        <w:t xml:space="preserve"> π</w:t>
      </w:r>
      <w:r w:rsidR="00E21DBD" w:rsidRPr="00E21DBD">
        <w:rPr>
          <w:rStyle w:val="Heading4Char"/>
        </w:rPr>
        <w:t>ίεση</w:t>
      </w:r>
      <w:r w:rsidRPr="00E21DBD">
        <w:rPr>
          <w:rStyle w:val="Heading4Char"/>
        </w:rPr>
        <w:t>:</w:t>
      </w:r>
      <w:r w:rsidRPr="001B3800">
        <w:rPr>
          <w:rFonts w:ascii="Arial" w:hAnsi="Arial" w:cs="Arial"/>
          <w:sz w:val="20"/>
          <w:szCs w:val="20"/>
        </w:rPr>
        <w:t xml:space="preserve"> </w:t>
      </w:r>
      <w:r w:rsidR="00E21DBD" w:rsidRPr="00504A7E">
        <w:rPr>
          <w:rFonts w:asciiTheme="minorHAnsi" w:hAnsiTheme="minorHAnsi" w:cstheme="minorHAnsi"/>
          <w:sz w:val="22"/>
          <w:szCs w:val="22"/>
        </w:rPr>
        <w:t>ε</w:t>
      </w:r>
      <w:r w:rsidRPr="00504A7E">
        <w:rPr>
          <w:rFonts w:asciiTheme="minorHAnsi" w:hAnsiTheme="minorHAnsi" w:cstheme="minorHAnsi"/>
          <w:sz w:val="22"/>
          <w:szCs w:val="22"/>
        </w:rPr>
        <w:t>πιβαρύνοντας περαιτέρω τις επιπτώσεις των δασμών, το ευρώ ενισχύθηκε έναντι του δολαρίου το 2025 (με μέση ισοτιμία 1,130 USD/EUR έναντι 1,082 το 2024), εντείνοντας την πίεση τιμών στην αλυσίδα διανομής των ΗΠΑ.</w:t>
      </w:r>
    </w:p>
    <w:p w14:paraId="390481C3" w14:textId="51BB0270" w:rsidR="001B3800" w:rsidRPr="001B3800" w:rsidRDefault="001B3800" w:rsidP="00542807">
      <w:pPr>
        <w:spacing w:after="240" w:line="276" w:lineRule="auto"/>
        <w:jc w:val="both"/>
        <w:rPr>
          <w:rFonts w:ascii="Arial" w:hAnsi="Arial" w:cs="Arial"/>
          <w:sz w:val="20"/>
          <w:szCs w:val="20"/>
        </w:rPr>
      </w:pPr>
      <w:r w:rsidRPr="00E21DBD">
        <w:rPr>
          <w:rStyle w:val="Heading4Char"/>
        </w:rPr>
        <w:t>Μηδενική εκτροπή προς άλλες αγορές:</w:t>
      </w:r>
      <w:r w:rsidRPr="001B3800">
        <w:rPr>
          <w:rFonts w:ascii="Arial" w:hAnsi="Arial" w:cs="Arial"/>
          <w:sz w:val="20"/>
          <w:szCs w:val="20"/>
        </w:rPr>
        <w:t xml:space="preserve"> </w:t>
      </w:r>
      <w:r w:rsidRPr="00504A7E">
        <w:rPr>
          <w:rFonts w:asciiTheme="minorHAnsi" w:hAnsiTheme="minorHAnsi" w:cstheme="minorHAnsi"/>
          <w:sz w:val="22"/>
          <w:szCs w:val="22"/>
        </w:rPr>
        <w:t>Οι ΗΠΑ ευθύνονταν για περίπου το 90% της συνολικής μείωσης των εξαγωγών οίνου της ΕΕ εκτός της Ένωσης (-7,1% παγκοσμίως). Τα κέρδη σε άλλες μικρότερες αγορές ήταν εντελώς ανεπαρκή για να αντισταθμίσουν τις απώλειες.</w:t>
      </w:r>
    </w:p>
    <w:p w14:paraId="20302B28" w14:textId="77777777" w:rsidR="00E21DBD" w:rsidRDefault="001B3800" w:rsidP="00E21DBD">
      <w:pPr>
        <w:pStyle w:val="Heading4"/>
      </w:pPr>
      <w:r w:rsidRPr="0085298A">
        <w:t>Ευρύτερη δυναμική της αγοράς και επιπτώσεις στην εφοδιαστική αλυσίδα</w:t>
      </w:r>
      <w:r w:rsidR="00E21DBD" w:rsidRPr="00E21DBD">
        <w:t xml:space="preserve">: </w:t>
      </w:r>
    </w:p>
    <w:p w14:paraId="6AE3EF04" w14:textId="6C6956B4" w:rsidR="001B3800" w:rsidRPr="00504A7E" w:rsidRDefault="001B3800" w:rsidP="00A16B8C">
      <w:pPr>
        <w:jc w:val="both"/>
        <w:rPr>
          <w:rFonts w:asciiTheme="minorHAnsi" w:hAnsiTheme="minorHAnsi" w:cstheme="minorHAnsi"/>
          <w:sz w:val="22"/>
          <w:szCs w:val="22"/>
        </w:rPr>
      </w:pPr>
      <w:r w:rsidRPr="00504A7E">
        <w:rPr>
          <w:rFonts w:asciiTheme="minorHAnsi" w:hAnsiTheme="minorHAnsi" w:cstheme="minorHAnsi"/>
          <w:sz w:val="22"/>
          <w:szCs w:val="22"/>
        </w:rPr>
        <w:t>Η κατανάλωση κρασιού διεθνώς και στις ΗΠΑ βρισκόταν ήδη σε πτώση λόγω δημογραφικών αλλαγών και ανταγωνισμού από οινοπνευματώδη ποτά και έτοιμα προς κατανάλωση κοκτέιλ (RTD). Η κατανάλωση στις ΗΠΑ μειώθηκε κατά 4,3% το 2025. Οι εξαγωγές οίνου της ΕΕ συρρικνώθηκαν ταχύτερα (-7,3% σε όγκο το 2025) από την ίδια την αγορά.</w:t>
      </w:r>
    </w:p>
    <w:p w14:paraId="45556A2F" w14:textId="789D9F5A" w:rsidR="001B3800" w:rsidRPr="00504A7E" w:rsidRDefault="001B3800" w:rsidP="00504A7E">
      <w:pPr>
        <w:spacing w:after="240" w:line="276" w:lineRule="auto"/>
        <w:jc w:val="both"/>
        <w:rPr>
          <w:rFonts w:asciiTheme="minorHAnsi" w:hAnsiTheme="minorHAnsi" w:cstheme="minorHAnsi"/>
          <w:sz w:val="22"/>
          <w:szCs w:val="22"/>
        </w:rPr>
      </w:pPr>
      <w:r w:rsidRPr="00E21DBD">
        <w:rPr>
          <w:rStyle w:val="Heading4Char"/>
        </w:rPr>
        <w:t>Απώλεια χώρου στα ράφια (</w:t>
      </w:r>
      <w:proofErr w:type="spellStart"/>
      <w:r w:rsidRPr="00E21DBD">
        <w:rPr>
          <w:rStyle w:val="Heading4Char"/>
        </w:rPr>
        <w:t>shelf</w:t>
      </w:r>
      <w:proofErr w:type="spellEnd"/>
      <w:r w:rsidRPr="00E21DBD">
        <w:rPr>
          <w:rStyle w:val="Heading4Char"/>
        </w:rPr>
        <w:t xml:space="preserve"> </w:t>
      </w:r>
      <w:proofErr w:type="spellStart"/>
      <w:r w:rsidRPr="00E21DBD">
        <w:rPr>
          <w:rStyle w:val="Heading4Char"/>
        </w:rPr>
        <w:t>space</w:t>
      </w:r>
      <w:proofErr w:type="spellEnd"/>
      <w:r w:rsidRPr="00E21DBD">
        <w:rPr>
          <w:rStyle w:val="Heading4Char"/>
        </w:rPr>
        <w:t>):</w:t>
      </w:r>
      <w:r w:rsidRPr="001B3800">
        <w:rPr>
          <w:rFonts w:ascii="Arial" w:hAnsi="Arial" w:cs="Arial"/>
          <w:sz w:val="20"/>
          <w:szCs w:val="20"/>
        </w:rPr>
        <w:t xml:space="preserve"> </w:t>
      </w:r>
      <w:r w:rsidRPr="00504A7E">
        <w:rPr>
          <w:rFonts w:asciiTheme="minorHAnsi" w:hAnsiTheme="minorHAnsi" w:cstheme="minorHAnsi"/>
          <w:sz w:val="22"/>
          <w:szCs w:val="22"/>
        </w:rPr>
        <w:t>Τα κρασιά Προστατευόμενης Ονομασίας Προέλευσης (ΠΟΠ)</w:t>
      </w:r>
      <w:r w:rsidR="00386239" w:rsidRPr="00504A7E">
        <w:rPr>
          <w:rFonts w:asciiTheme="minorHAnsi" w:hAnsiTheme="minorHAnsi" w:cstheme="minorHAnsi"/>
          <w:sz w:val="22"/>
          <w:szCs w:val="22"/>
        </w:rPr>
        <w:t xml:space="preserve">, </w:t>
      </w:r>
      <w:r w:rsidRPr="00504A7E">
        <w:rPr>
          <w:rFonts w:asciiTheme="minorHAnsi" w:hAnsiTheme="minorHAnsi" w:cstheme="minorHAnsi"/>
          <w:sz w:val="22"/>
          <w:szCs w:val="22"/>
        </w:rPr>
        <w:t>τα οποία αντιπροσωπεύουν περίπου το 85% της αξίας των εξαγωγών της ΕΕ προς τις ΗΠΑ</w:t>
      </w:r>
      <w:r w:rsidR="00386239"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υπέστησαν ζημίες ύψους </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932 εκ</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 Οι λιανοπωλητές και οι διανομείς περιέκοψαν σειρές προϊόντων με χαμηλότερη κίνηση, κάτι που απαιτεί 12 έως 24 μήνες έντονων προωθητικών επενδύσεων για να ανακτηθεί.</w:t>
      </w:r>
    </w:p>
    <w:p w14:paraId="7968FE20" w14:textId="5A5D4013" w:rsidR="001B3800" w:rsidRPr="00504A7E" w:rsidRDefault="001B3800" w:rsidP="00504A7E">
      <w:pPr>
        <w:spacing w:after="240" w:line="276" w:lineRule="auto"/>
        <w:jc w:val="both"/>
        <w:rPr>
          <w:rFonts w:asciiTheme="minorHAnsi" w:hAnsiTheme="minorHAnsi" w:cstheme="minorHAnsi"/>
          <w:sz w:val="22"/>
          <w:szCs w:val="22"/>
        </w:rPr>
      </w:pPr>
      <w:r w:rsidRPr="00E21DBD">
        <w:rPr>
          <w:rStyle w:val="Heading4Char"/>
        </w:rPr>
        <w:t>Ζημιές στην εφοδιαστική αλυσίδα των ΗΠΑ:</w:t>
      </w:r>
      <w:r w:rsidRPr="001B3800">
        <w:rPr>
          <w:rFonts w:ascii="Arial" w:hAnsi="Arial" w:cs="Arial"/>
          <w:sz w:val="20"/>
          <w:szCs w:val="20"/>
        </w:rPr>
        <w:t xml:space="preserve"> </w:t>
      </w:r>
      <w:r w:rsidRPr="00504A7E">
        <w:rPr>
          <w:rFonts w:asciiTheme="minorHAnsi" w:hAnsiTheme="minorHAnsi" w:cstheme="minorHAnsi"/>
          <w:sz w:val="22"/>
          <w:szCs w:val="22"/>
        </w:rPr>
        <w:t xml:space="preserve">Οι δασμοί που εισπράχθηκαν για το εισαγόμενο κρασί στις ΗΠΑ εκτοξεύτηκαν από </w:t>
      </w:r>
      <w:r w:rsidR="0008264F" w:rsidRPr="00504A7E">
        <w:rPr>
          <w:rFonts w:asciiTheme="minorHAnsi" w:hAnsiTheme="minorHAnsi" w:cstheme="minorHAnsi"/>
          <w:sz w:val="22"/>
          <w:szCs w:val="22"/>
        </w:rPr>
        <w:t>$</w:t>
      </w:r>
      <w:r w:rsidRPr="00504A7E">
        <w:rPr>
          <w:rFonts w:asciiTheme="minorHAnsi" w:hAnsiTheme="minorHAnsi" w:cstheme="minorHAnsi"/>
          <w:sz w:val="22"/>
          <w:szCs w:val="22"/>
        </w:rPr>
        <w:t>82 εκ</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 xml:space="preserve"> το 2024 σε </w:t>
      </w:r>
      <w:r w:rsidR="0008264F" w:rsidRPr="00504A7E">
        <w:rPr>
          <w:rFonts w:asciiTheme="minorHAnsi" w:hAnsiTheme="minorHAnsi" w:cstheme="minorHAnsi"/>
          <w:sz w:val="22"/>
          <w:szCs w:val="22"/>
        </w:rPr>
        <w:t>$</w:t>
      </w:r>
      <w:r w:rsidRPr="00504A7E">
        <w:rPr>
          <w:rFonts w:asciiTheme="minorHAnsi" w:hAnsiTheme="minorHAnsi" w:cstheme="minorHAnsi"/>
          <w:sz w:val="22"/>
          <w:szCs w:val="22"/>
        </w:rPr>
        <w:t>492 εκ</w:t>
      </w:r>
      <w:r w:rsidR="00FE0ACA" w:rsidRPr="00504A7E">
        <w:rPr>
          <w:rFonts w:asciiTheme="minorHAnsi" w:hAnsiTheme="minorHAnsi" w:cstheme="minorHAnsi"/>
          <w:sz w:val="22"/>
          <w:szCs w:val="22"/>
        </w:rPr>
        <w:t>.</w:t>
      </w:r>
      <w:r w:rsidR="0008264F" w:rsidRPr="00504A7E">
        <w:rPr>
          <w:rFonts w:asciiTheme="minorHAnsi" w:hAnsiTheme="minorHAnsi" w:cstheme="minorHAnsi"/>
          <w:sz w:val="22"/>
          <w:szCs w:val="22"/>
        </w:rPr>
        <w:t xml:space="preserve"> </w:t>
      </w:r>
      <w:r w:rsidRPr="00504A7E">
        <w:rPr>
          <w:rFonts w:asciiTheme="minorHAnsi" w:hAnsiTheme="minorHAnsi" w:cstheme="minorHAnsi"/>
          <w:sz w:val="22"/>
          <w:szCs w:val="22"/>
        </w:rPr>
        <w:t>το 2025. Οι Αμερικανοί διανομείς (όπου το εισαγόμενο κρασί αντιπροσωπεύει περίπου τα δύο τρίτα των πωλήσεων) ανέφεραν αυξήσεις τιμών, συμπίεση περιθωρίων</w:t>
      </w:r>
      <w:r w:rsidR="00FE0ACA" w:rsidRPr="00504A7E">
        <w:rPr>
          <w:rFonts w:asciiTheme="minorHAnsi" w:hAnsiTheme="minorHAnsi" w:cstheme="minorHAnsi"/>
          <w:sz w:val="22"/>
          <w:szCs w:val="22"/>
        </w:rPr>
        <w:t xml:space="preserve"> κέρδους</w:t>
      </w:r>
      <w:r w:rsidRPr="00504A7E">
        <w:rPr>
          <w:rFonts w:asciiTheme="minorHAnsi" w:hAnsiTheme="minorHAnsi" w:cstheme="minorHAnsi"/>
          <w:sz w:val="22"/>
          <w:szCs w:val="22"/>
        </w:rPr>
        <w:t>,</w:t>
      </w:r>
      <w:r w:rsidR="00F7389A" w:rsidRPr="00504A7E">
        <w:rPr>
          <w:rFonts w:asciiTheme="minorHAnsi" w:hAnsiTheme="minorHAnsi" w:cstheme="minorHAnsi"/>
          <w:sz w:val="22"/>
          <w:szCs w:val="22"/>
        </w:rPr>
        <w:t xml:space="preserve"> </w:t>
      </w:r>
      <w:r w:rsidRPr="00504A7E">
        <w:rPr>
          <w:rFonts w:asciiTheme="minorHAnsi" w:hAnsiTheme="minorHAnsi" w:cstheme="minorHAnsi"/>
          <w:sz w:val="22"/>
          <w:szCs w:val="22"/>
        </w:rPr>
        <w:t>πάγωμα</w:t>
      </w:r>
      <w:r w:rsidR="00F7389A"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προσλήψεων και απολύσεις. Υπολογίζεται ότι περισσότερες από 25.000 θέσεις εργασίας στις ΗΠΑ και σχεδόν </w:t>
      </w:r>
      <w:r w:rsidR="00FE0ACA" w:rsidRPr="00504A7E">
        <w:rPr>
          <w:rFonts w:asciiTheme="minorHAnsi" w:hAnsiTheme="minorHAnsi" w:cstheme="minorHAnsi"/>
          <w:sz w:val="22"/>
          <w:szCs w:val="22"/>
        </w:rPr>
        <w:t>$</w:t>
      </w:r>
      <w:r w:rsidRPr="00504A7E">
        <w:rPr>
          <w:rFonts w:asciiTheme="minorHAnsi" w:hAnsiTheme="minorHAnsi" w:cstheme="minorHAnsi"/>
          <w:sz w:val="22"/>
          <w:szCs w:val="22"/>
        </w:rPr>
        <w:t>2 δι</w:t>
      </w:r>
      <w:r w:rsidR="00FE0ACA" w:rsidRPr="00504A7E">
        <w:rPr>
          <w:rFonts w:asciiTheme="minorHAnsi" w:hAnsiTheme="minorHAnsi" w:cstheme="minorHAnsi"/>
          <w:sz w:val="22"/>
          <w:szCs w:val="22"/>
        </w:rPr>
        <w:t>σ.</w:t>
      </w:r>
      <w:r w:rsidRPr="00504A7E">
        <w:rPr>
          <w:rFonts w:asciiTheme="minorHAnsi" w:hAnsiTheme="minorHAnsi" w:cstheme="minorHAnsi"/>
          <w:sz w:val="22"/>
          <w:szCs w:val="22"/>
        </w:rPr>
        <w:t xml:space="preserve"> σε πωλήσεις κινδυνεύουν </w:t>
      </w:r>
      <w:r w:rsidR="00E21DBD" w:rsidRPr="00504A7E">
        <w:rPr>
          <w:rFonts w:asciiTheme="minorHAnsi" w:hAnsiTheme="minorHAnsi" w:cstheme="minorHAnsi"/>
          <w:sz w:val="22"/>
          <w:szCs w:val="22"/>
        </w:rPr>
        <w:t xml:space="preserve">με την διατήρηση του δασμού σε </w:t>
      </w:r>
      <w:r w:rsidRPr="00504A7E">
        <w:rPr>
          <w:rFonts w:asciiTheme="minorHAnsi" w:hAnsiTheme="minorHAnsi" w:cstheme="minorHAnsi"/>
          <w:sz w:val="22"/>
          <w:szCs w:val="22"/>
        </w:rPr>
        <w:t>15%.</w:t>
      </w:r>
    </w:p>
    <w:p w14:paraId="4BEA181F" w14:textId="11421730" w:rsidR="001B3800" w:rsidRPr="0085298A" w:rsidRDefault="001B3800" w:rsidP="00E21DBD">
      <w:pPr>
        <w:pStyle w:val="Heading3"/>
      </w:pPr>
      <w:r w:rsidRPr="0085298A">
        <w:lastRenderedPageBreak/>
        <w:t>Προοπτικές και εκτιμήσεις του κλάδου</w:t>
      </w:r>
    </w:p>
    <w:p w14:paraId="6EAC38E6" w14:textId="28D13424" w:rsidR="001B3800" w:rsidRPr="00504A7E" w:rsidRDefault="00504A7E" w:rsidP="00504A7E">
      <w:pPr>
        <w:spacing w:line="276" w:lineRule="auto"/>
        <w:jc w:val="both"/>
        <w:rPr>
          <w:rFonts w:asciiTheme="minorHAnsi" w:hAnsiTheme="minorHAnsi" w:cstheme="minorHAnsi"/>
          <w:sz w:val="22"/>
          <w:szCs w:val="22"/>
        </w:rPr>
      </w:pPr>
      <w:r w:rsidRPr="00504A7E">
        <w:rPr>
          <w:rStyle w:val="Heading4Char"/>
        </w:rPr>
        <w:t xml:space="preserve">Δεν σημειώνεται </w:t>
      </w:r>
      <w:r w:rsidR="001B3800" w:rsidRPr="00504A7E">
        <w:rPr>
          <w:rStyle w:val="Heading4Char"/>
        </w:rPr>
        <w:t>ανάκαμψη το 2026:</w:t>
      </w:r>
      <w:r w:rsidR="001B3800" w:rsidRPr="00504A7E">
        <w:rPr>
          <w:rFonts w:asciiTheme="minorHAnsi" w:hAnsiTheme="minorHAnsi" w:cstheme="minorHAnsi"/>
          <w:sz w:val="22"/>
          <w:szCs w:val="22"/>
        </w:rPr>
        <w:t xml:space="preserve"> Παρόλο που το διάστημα Ιουλίου</w:t>
      </w:r>
      <w:r w:rsidR="00FE0ACA" w:rsidRPr="00504A7E">
        <w:rPr>
          <w:rFonts w:asciiTheme="minorHAnsi" w:hAnsiTheme="minorHAnsi" w:cstheme="minorHAnsi"/>
          <w:sz w:val="22"/>
          <w:szCs w:val="22"/>
        </w:rPr>
        <w:t xml:space="preserve"> - </w:t>
      </w:r>
      <w:r w:rsidR="001B3800" w:rsidRPr="00504A7E">
        <w:rPr>
          <w:rFonts w:asciiTheme="minorHAnsi" w:hAnsiTheme="minorHAnsi" w:cstheme="minorHAnsi"/>
          <w:sz w:val="22"/>
          <w:szCs w:val="22"/>
        </w:rPr>
        <w:t xml:space="preserve">Σεπτεμβρίου 2026 παρουσίασε θετική ετήσια αύξηση σε σύγκριση με τη χαμηλή βάση των μέσων του 2025, οι εξαγωγές για αυτό το τρίμηνο παρέμειναν 20,6% κάτω από τα επίπεδα προ δασμών (2024), και οι </w:t>
      </w:r>
      <w:proofErr w:type="spellStart"/>
      <w:r w:rsidR="001B3800" w:rsidRPr="00504A7E">
        <w:rPr>
          <w:rFonts w:asciiTheme="minorHAnsi" w:hAnsiTheme="minorHAnsi" w:cstheme="minorHAnsi"/>
          <w:sz w:val="22"/>
          <w:szCs w:val="22"/>
        </w:rPr>
        <w:t>μοναδιαίες</w:t>
      </w:r>
      <w:proofErr w:type="spellEnd"/>
      <w:r w:rsidR="001B3800" w:rsidRPr="00504A7E">
        <w:rPr>
          <w:rFonts w:asciiTheme="minorHAnsi" w:hAnsiTheme="minorHAnsi" w:cstheme="minorHAnsi"/>
          <w:sz w:val="22"/>
          <w:szCs w:val="22"/>
        </w:rPr>
        <w:t xml:space="preserve"> αξίες παρέμειναν συμπιεσμένες (666 €/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xml:space="preserve"> έναντι 754 €/</w:t>
      </w:r>
      <w:proofErr w:type="spellStart"/>
      <w:r w:rsidR="001B3800" w:rsidRPr="00504A7E">
        <w:rPr>
          <w:rFonts w:asciiTheme="minorHAnsi" w:hAnsiTheme="minorHAnsi" w:cstheme="minorHAnsi"/>
          <w:sz w:val="22"/>
          <w:szCs w:val="22"/>
        </w:rPr>
        <w:t>hl</w:t>
      </w:r>
      <w:proofErr w:type="spellEnd"/>
      <w:r w:rsidR="001B3800" w:rsidRPr="00504A7E">
        <w:rPr>
          <w:rFonts w:asciiTheme="minorHAnsi" w:hAnsiTheme="minorHAnsi" w:cstheme="minorHAnsi"/>
          <w:sz w:val="22"/>
          <w:szCs w:val="22"/>
        </w:rPr>
        <w:t xml:space="preserve"> πριν από τους δασμούς).</w:t>
      </w:r>
    </w:p>
    <w:p w14:paraId="5656A96C" w14:textId="60DA97CC" w:rsidR="00542807" w:rsidRPr="00504A7E" w:rsidRDefault="001B3800" w:rsidP="00504A7E">
      <w:pPr>
        <w:spacing w:line="276" w:lineRule="auto"/>
        <w:jc w:val="both"/>
        <w:rPr>
          <w:rFonts w:asciiTheme="minorHAnsi" w:hAnsiTheme="minorHAnsi" w:cstheme="minorHAnsi"/>
          <w:sz w:val="22"/>
          <w:szCs w:val="22"/>
        </w:rPr>
      </w:pPr>
      <w:r w:rsidRPr="00504A7E">
        <w:rPr>
          <w:rFonts w:asciiTheme="minorHAnsi" w:hAnsiTheme="minorHAnsi" w:cstheme="minorHAnsi"/>
          <w:sz w:val="22"/>
          <w:szCs w:val="22"/>
        </w:rPr>
        <w:t>Η CEEV ζητά την άμεση επιστροφή στο καθεστώς δασμών MFN (τις συνθήκες που ίσχυαν πριν από τον Απρίλιο του 2025). Υποστηρίζει ότι το κρασί πληροί τις προϋποθέσεις για εξαίρεση βάσει της παραγράφου 2 της Κοινής Δήλωσης ΕΕ-ΗΠΑ του Αυγούστου 2025</w:t>
      </w:r>
      <w:r w:rsidR="00542807" w:rsidRPr="00504A7E">
        <w:rPr>
          <w:rFonts w:asciiTheme="minorHAnsi" w:hAnsiTheme="minorHAnsi" w:cstheme="minorHAnsi"/>
          <w:sz w:val="22"/>
          <w:szCs w:val="22"/>
        </w:rPr>
        <w:t xml:space="preserve">, </w:t>
      </w:r>
      <w:r w:rsidRPr="00504A7E">
        <w:rPr>
          <w:rFonts w:asciiTheme="minorHAnsi" w:hAnsiTheme="minorHAnsi" w:cstheme="minorHAnsi"/>
          <w:sz w:val="22"/>
          <w:szCs w:val="22"/>
        </w:rPr>
        <w:t xml:space="preserve">επικαλούμενη τις εξαιρέσεις που χορηγήθηκαν στον φελλό της ΕΕ, στα γενόσημα φάρμακα και στα ουίσκι του Ηνωμένου Βασιλείου/Ιρλανδίας, καθώς και το διαρκές πλαίσιο της Συμφωνίας Οίνου ΕΕ-ΗΠΑ του 2006. </w:t>
      </w:r>
    </w:p>
    <w:p w14:paraId="05998019" w14:textId="55F6D916" w:rsidR="005152E2" w:rsidRPr="00504A7E" w:rsidRDefault="00A060FC" w:rsidP="00504A7E">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Η </w:t>
      </w:r>
      <w:r w:rsidR="005152E2" w:rsidRPr="00504A7E">
        <w:rPr>
          <w:rFonts w:asciiTheme="minorHAnsi" w:hAnsiTheme="minorHAnsi" w:cstheme="minorHAnsi"/>
          <w:sz w:val="22"/>
          <w:szCs w:val="22"/>
        </w:rPr>
        <w:t xml:space="preserve">έρευνα της CEEV </w:t>
      </w:r>
      <w:r>
        <w:rPr>
          <w:rFonts w:asciiTheme="minorHAnsi" w:hAnsiTheme="minorHAnsi" w:cstheme="minorHAnsi"/>
          <w:sz w:val="22"/>
          <w:szCs w:val="22"/>
        </w:rPr>
        <w:t>αναμένεται να δοθεί στην δημοσιότητα</w:t>
      </w:r>
      <w:r w:rsidR="005152E2" w:rsidRPr="00504A7E">
        <w:rPr>
          <w:rFonts w:asciiTheme="minorHAnsi" w:hAnsiTheme="minorHAnsi" w:cstheme="minorHAnsi"/>
          <w:sz w:val="22"/>
          <w:szCs w:val="22"/>
        </w:rPr>
        <w:t xml:space="preserve"> έρευν</w:t>
      </w:r>
      <w:r w:rsidR="00504A7E">
        <w:rPr>
          <w:rFonts w:asciiTheme="minorHAnsi" w:hAnsiTheme="minorHAnsi" w:cstheme="minorHAnsi"/>
          <w:sz w:val="22"/>
          <w:szCs w:val="22"/>
        </w:rPr>
        <w:t>α</w:t>
      </w:r>
      <w:r w:rsidR="005152E2" w:rsidRPr="00504A7E">
        <w:rPr>
          <w:rFonts w:asciiTheme="minorHAnsi" w:hAnsiTheme="minorHAnsi" w:cstheme="minorHAnsi"/>
          <w:sz w:val="22"/>
          <w:szCs w:val="22"/>
        </w:rPr>
        <w:t xml:space="preserve">ς </w:t>
      </w:r>
      <w:r w:rsidR="00A249D3" w:rsidRPr="00504A7E">
        <w:rPr>
          <w:rFonts w:asciiTheme="minorHAnsi" w:hAnsiTheme="minorHAnsi" w:cstheme="minorHAnsi"/>
          <w:sz w:val="22"/>
          <w:szCs w:val="22"/>
        </w:rPr>
        <w:t>στα τέλη Δεκεμβρίου</w:t>
      </w:r>
      <w:r w:rsidR="005152E2" w:rsidRPr="00504A7E">
        <w:rPr>
          <w:rFonts w:asciiTheme="minorHAnsi" w:hAnsiTheme="minorHAnsi" w:cstheme="minorHAnsi"/>
          <w:sz w:val="22"/>
          <w:szCs w:val="22"/>
        </w:rPr>
        <w:t>.</w:t>
      </w:r>
    </w:p>
    <w:p w14:paraId="2F0CF2C0" w14:textId="77777777" w:rsidR="005D39CD" w:rsidRPr="00504A7E" w:rsidRDefault="005D39CD" w:rsidP="00106CA8">
      <w:pPr>
        <w:pStyle w:val="ListParagraph"/>
        <w:spacing w:line="276" w:lineRule="auto"/>
        <w:ind w:left="360"/>
        <w:jc w:val="both"/>
        <w:rPr>
          <w:rFonts w:asciiTheme="minorHAnsi" w:hAnsiTheme="minorHAnsi" w:cstheme="minorHAnsi"/>
          <w:sz w:val="22"/>
          <w:szCs w:val="22"/>
        </w:rPr>
      </w:pPr>
    </w:p>
    <w:p w14:paraId="0D92AE9E" w14:textId="77777777" w:rsidR="003E6068" w:rsidRDefault="003E6068" w:rsidP="00FC7420">
      <w:pPr>
        <w:pStyle w:val="NormalWeb"/>
        <w:tabs>
          <w:tab w:val="center" w:pos="5400"/>
        </w:tabs>
        <w:spacing w:before="0" w:beforeAutospacing="0" w:after="0" w:afterAutospacing="0" w:line="256" w:lineRule="auto"/>
        <w:jc w:val="both"/>
        <w:rPr>
          <w:rFonts w:asciiTheme="minorHAnsi" w:hAnsiTheme="minorHAnsi" w:cstheme="minorHAnsi"/>
          <w:sz w:val="22"/>
          <w:szCs w:val="22"/>
        </w:rPr>
      </w:pPr>
      <w:r>
        <w:rPr>
          <w:rFonts w:asciiTheme="minorHAnsi" w:hAnsiTheme="minorHAnsi" w:cstheme="minorHAnsi"/>
          <w:sz w:val="22"/>
          <w:szCs w:val="22"/>
          <w:lang w:val="el-GR"/>
        </w:rPr>
        <w:t>Συντάκτες</w:t>
      </w:r>
      <w:r>
        <w:rPr>
          <w:rFonts w:asciiTheme="minorHAnsi" w:hAnsiTheme="minorHAnsi" w:cstheme="minorHAnsi"/>
          <w:sz w:val="22"/>
          <w:szCs w:val="22"/>
        </w:rPr>
        <w:t>:</w:t>
      </w:r>
    </w:p>
    <w:p w14:paraId="24DF9278" w14:textId="607ECC15" w:rsidR="00FC7420" w:rsidRDefault="00FC7420" w:rsidP="00FC7420">
      <w:pPr>
        <w:pStyle w:val="NormalWeb"/>
        <w:tabs>
          <w:tab w:val="center" w:pos="5400"/>
        </w:tabs>
        <w:spacing w:before="0" w:beforeAutospacing="0" w:after="0" w:afterAutospacing="0" w:line="256" w:lineRule="auto"/>
        <w:jc w:val="both"/>
        <w:rPr>
          <w:rFonts w:asciiTheme="minorHAnsi" w:hAnsiTheme="minorHAnsi" w:cstheme="minorHAnsi"/>
          <w:sz w:val="22"/>
          <w:szCs w:val="22"/>
          <w:lang w:val="el-GR"/>
        </w:rPr>
      </w:pPr>
      <w:r>
        <w:rPr>
          <w:rFonts w:asciiTheme="minorHAnsi" w:hAnsiTheme="minorHAnsi" w:cstheme="minorHAnsi"/>
          <w:sz w:val="22"/>
          <w:szCs w:val="22"/>
          <w:lang w:val="el-GR"/>
        </w:rPr>
        <w:t>Διονύσης Πρωτοπαπάς</w:t>
      </w:r>
      <w:r w:rsidR="003E6068">
        <w:rPr>
          <w:rFonts w:asciiTheme="minorHAnsi" w:hAnsiTheme="minorHAnsi" w:cstheme="minorHAnsi"/>
          <w:sz w:val="22"/>
          <w:szCs w:val="22"/>
        </w:rPr>
        <w:t xml:space="preserve">, </w:t>
      </w:r>
      <w:r>
        <w:rPr>
          <w:rFonts w:asciiTheme="minorHAnsi" w:hAnsiTheme="minorHAnsi" w:cstheme="minorHAnsi"/>
          <w:sz w:val="22"/>
          <w:szCs w:val="22"/>
          <w:lang w:val="el-GR"/>
        </w:rPr>
        <w:t>Γεν. Σύμβουλος ΟΕΥ Α΄</w:t>
      </w:r>
    </w:p>
    <w:p w14:paraId="002741D7" w14:textId="4EF92D9F" w:rsidR="00FC7420" w:rsidRPr="003E6068" w:rsidRDefault="003E6068" w:rsidP="00FC7420">
      <w:pPr>
        <w:pStyle w:val="NormalWeb"/>
        <w:tabs>
          <w:tab w:val="center" w:pos="5400"/>
        </w:tabs>
        <w:spacing w:before="0" w:beforeAutospacing="0" w:after="0" w:afterAutospacing="0" w:line="256" w:lineRule="auto"/>
        <w:jc w:val="both"/>
        <w:rPr>
          <w:rFonts w:asciiTheme="minorHAnsi" w:hAnsiTheme="minorHAnsi" w:cstheme="minorHAnsi"/>
          <w:sz w:val="22"/>
          <w:szCs w:val="22"/>
          <w:lang w:val="el-GR"/>
        </w:rPr>
      </w:pPr>
      <w:r>
        <w:rPr>
          <w:rFonts w:asciiTheme="minorHAnsi" w:hAnsiTheme="minorHAnsi" w:cstheme="minorHAnsi"/>
          <w:sz w:val="22"/>
          <w:szCs w:val="22"/>
          <w:lang w:val="el-GR"/>
        </w:rPr>
        <w:t xml:space="preserve">Ζαφειρένια </w:t>
      </w:r>
      <w:proofErr w:type="spellStart"/>
      <w:r>
        <w:rPr>
          <w:rFonts w:asciiTheme="minorHAnsi" w:hAnsiTheme="minorHAnsi" w:cstheme="minorHAnsi"/>
          <w:sz w:val="22"/>
          <w:szCs w:val="22"/>
          <w:lang w:val="el-GR"/>
        </w:rPr>
        <w:t>Προεστάκη</w:t>
      </w:r>
      <w:proofErr w:type="spellEnd"/>
      <w:r>
        <w:rPr>
          <w:rFonts w:asciiTheme="minorHAnsi" w:hAnsiTheme="minorHAnsi" w:cstheme="minorHAnsi"/>
          <w:sz w:val="22"/>
          <w:szCs w:val="22"/>
          <w:lang w:val="el-GR"/>
        </w:rPr>
        <w:t xml:space="preserve">, Γραμματέας ΟΕΥ Β’ </w:t>
      </w:r>
    </w:p>
    <w:p w14:paraId="3002D758" w14:textId="77777777" w:rsidR="00FC7420" w:rsidRDefault="00FC7420" w:rsidP="00FC7420">
      <w:pPr>
        <w:pStyle w:val="NormalWeb"/>
        <w:spacing w:before="0" w:beforeAutospacing="0" w:after="120" w:afterAutospacing="0" w:line="256" w:lineRule="auto"/>
        <w:jc w:val="both"/>
        <w:rPr>
          <w:rFonts w:asciiTheme="minorHAnsi" w:hAnsiTheme="minorHAnsi" w:cstheme="minorHAnsi"/>
          <w:sz w:val="22"/>
          <w:szCs w:val="22"/>
          <w:lang w:val="el-GR"/>
        </w:rPr>
      </w:pPr>
    </w:p>
    <w:p w14:paraId="24364E38" w14:textId="71DF64B0" w:rsidR="002102F0" w:rsidRDefault="002102F0" w:rsidP="00106CA8">
      <w:pPr>
        <w:spacing w:after="200" w:line="276" w:lineRule="auto"/>
        <w:rPr>
          <w:rFonts w:ascii="Arial" w:hAnsi="Arial" w:cs="Arial"/>
          <w:sz w:val="20"/>
          <w:szCs w:val="20"/>
        </w:rPr>
      </w:pPr>
    </w:p>
    <w:p w14:paraId="1BD57DFB" w14:textId="77777777" w:rsidR="00504A7E" w:rsidRDefault="00504A7E">
      <w:pPr>
        <w:spacing w:after="200" w:line="276" w:lineRule="auto"/>
        <w:rPr>
          <w:rFonts w:asciiTheme="minorHAnsi" w:eastAsiaTheme="majorEastAsia" w:hAnsiTheme="minorHAnsi" w:cstheme="majorBidi"/>
          <w:b/>
          <w:bCs/>
          <w:color w:val="4F81BD" w:themeColor="accent1"/>
          <w:sz w:val="22"/>
        </w:rPr>
      </w:pPr>
      <w:r>
        <w:br w:type="page"/>
      </w:r>
    </w:p>
    <w:p w14:paraId="502E7043" w14:textId="2EF22DD8" w:rsidR="00BD43BE" w:rsidRPr="0085298A" w:rsidRDefault="00BD43BE" w:rsidP="00BD43BE">
      <w:pPr>
        <w:pStyle w:val="Heading3"/>
      </w:pPr>
      <w:r>
        <w:lastRenderedPageBreak/>
        <w:t>Παράρτημα</w:t>
      </w:r>
      <w:r>
        <w:br/>
      </w:r>
      <w:r w:rsidRPr="0085298A">
        <w:t>Χρονοδιάγραμμα δασμών των ΗΠΑ και μεταβαλλόμενα εμπορικά μέτρα</w:t>
      </w:r>
    </w:p>
    <w:p w14:paraId="2095A1BE"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 xml:space="preserve">Πριν από τον Απρίλιο του 2025, το εμπόριο διεξαγόταν υπό τους συνήθεις δασμούς του Καθεστώτος του Μάλλον </w:t>
      </w:r>
      <w:proofErr w:type="spellStart"/>
      <w:r w:rsidRPr="00D56B1F">
        <w:rPr>
          <w:rFonts w:asciiTheme="minorHAnsi" w:hAnsiTheme="minorHAnsi" w:cstheme="minorHAnsi"/>
          <w:sz w:val="22"/>
          <w:szCs w:val="22"/>
        </w:rPr>
        <w:t>Ευνοουμένου</w:t>
      </w:r>
      <w:proofErr w:type="spellEnd"/>
      <w:r w:rsidRPr="00D56B1F">
        <w:rPr>
          <w:rFonts w:asciiTheme="minorHAnsi" w:hAnsiTheme="minorHAnsi" w:cstheme="minorHAnsi"/>
          <w:sz w:val="22"/>
          <w:szCs w:val="22"/>
        </w:rPr>
        <w:t xml:space="preserve"> Κράτους (MFN). Επρόκειτο για χαμηλούς δασμούς που δεν συνιστούσαν δομικά εμπορικά εμπόδια. Στη συνέχεια ακολούθησε μια σειρά ευμετάβλητων μέτρων:</w:t>
      </w:r>
    </w:p>
    <w:tbl>
      <w:tblPr>
        <w:tblStyle w:val="TableGrid"/>
        <w:tblW w:w="0" w:type="auto"/>
        <w:tblLook w:val="04A0" w:firstRow="1" w:lastRow="0" w:firstColumn="1" w:lastColumn="0" w:noHBand="0" w:noVBand="1"/>
      </w:tblPr>
      <w:tblGrid>
        <w:gridCol w:w="2405"/>
        <w:gridCol w:w="6945"/>
      </w:tblGrid>
      <w:tr w:rsidR="00BD43BE" w:rsidRPr="00D56B1F" w14:paraId="73BBC532" w14:textId="77777777" w:rsidTr="003F4993">
        <w:tc>
          <w:tcPr>
            <w:tcW w:w="2405" w:type="dxa"/>
          </w:tcPr>
          <w:p w14:paraId="276AC2FA"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Τέλη 2024 - Αρχές 2025</w:t>
            </w:r>
          </w:p>
        </w:tc>
        <w:tc>
          <w:tcPr>
            <w:tcW w:w="6945" w:type="dxa"/>
          </w:tcPr>
          <w:p w14:paraId="45C6B933"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Σημειώθηκαν σημαντικές προαγορές και συσσώρευση αποθεμάτων (</w:t>
            </w:r>
            <w:proofErr w:type="spellStart"/>
            <w:r w:rsidRPr="00D56B1F">
              <w:rPr>
                <w:rFonts w:asciiTheme="minorHAnsi" w:hAnsiTheme="minorHAnsi" w:cstheme="minorHAnsi"/>
                <w:sz w:val="22"/>
                <w:szCs w:val="22"/>
              </w:rPr>
              <w:t>stockpiling</w:t>
            </w:r>
            <w:proofErr w:type="spellEnd"/>
            <w:r w:rsidRPr="00D56B1F">
              <w:rPr>
                <w:rFonts w:asciiTheme="minorHAnsi" w:hAnsiTheme="minorHAnsi" w:cstheme="minorHAnsi"/>
                <w:sz w:val="22"/>
                <w:szCs w:val="22"/>
              </w:rPr>
              <w:t>), με κορύφωση τον Δεκέμβριο του 2024 κατά 18% πάνω από τους συνήθεις μέσους όρους. Τον Μάρτιο του 2025, η απειλή για πιθανό δασμό 200% οδήγησε σε προσωρινό «πάγωμα» των παραγγελιών για περίπου έναν μήνα.</w:t>
            </w:r>
          </w:p>
        </w:tc>
      </w:tr>
      <w:tr w:rsidR="00BD43BE" w:rsidRPr="00D56B1F" w14:paraId="0C65BCB3" w14:textId="77777777" w:rsidTr="003F4993">
        <w:tc>
          <w:tcPr>
            <w:tcW w:w="2405" w:type="dxa"/>
          </w:tcPr>
          <w:p w14:paraId="0589100B"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5 Απριλίου 2025 - Φεβρουάριος 2026</w:t>
            </w:r>
          </w:p>
        </w:tc>
        <w:tc>
          <w:tcPr>
            <w:tcW w:w="6945" w:type="dxa"/>
          </w:tcPr>
          <w:p w14:paraId="763939A7"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Εφαρμόστηκε πρόσθετος δασμός 10% πέραν του MFN βάσει του Νόμου για τις Διεθνείς Έκτακτες Οικονομικές Εξουσίες (IEEPA). Στις 7 Αυγούστου 2025, το ποσοστό αυτό αναπροσαρμόστηκε σε συνολικό συντελεστή 15% (</w:t>
            </w:r>
            <w:proofErr w:type="spellStart"/>
            <w:r w:rsidRPr="00D56B1F">
              <w:rPr>
                <w:rFonts w:asciiTheme="minorHAnsi" w:hAnsiTheme="minorHAnsi" w:cstheme="minorHAnsi"/>
                <w:sz w:val="22"/>
                <w:szCs w:val="22"/>
              </w:rPr>
              <w:t>all-inclusive</w:t>
            </w:r>
            <w:proofErr w:type="spellEnd"/>
            <w:r w:rsidRPr="00D56B1F">
              <w:rPr>
                <w:rFonts w:asciiTheme="minorHAnsi" w:hAnsiTheme="minorHAnsi" w:cstheme="minorHAnsi"/>
                <w:sz w:val="22"/>
                <w:szCs w:val="22"/>
              </w:rPr>
              <w:t>) στο πλαίσιο της συμφωνίας του Turnberry / Κοινής Δήλωσης ΕΕ-ΗΠΑ.</w:t>
            </w:r>
          </w:p>
        </w:tc>
      </w:tr>
      <w:tr w:rsidR="00BD43BE" w:rsidRPr="00D56B1F" w14:paraId="5C9164F7" w14:textId="77777777" w:rsidTr="003F4993">
        <w:tc>
          <w:tcPr>
            <w:tcW w:w="2405" w:type="dxa"/>
          </w:tcPr>
          <w:p w14:paraId="3604CA69"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Φεβρουάριος 2026 - Ιούλιος 2026</w:t>
            </w:r>
          </w:p>
        </w:tc>
        <w:tc>
          <w:tcPr>
            <w:tcW w:w="6945" w:type="dxa"/>
          </w:tcPr>
          <w:p w14:paraId="70D5FE80"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Αφότου το Ανώτατο Δικαστήριο των ΗΠΑ έκρινε ότι ο IEEPA δεν εξουσιοδοτούσε την επιβολή αυτών των δασμών, επιβλήθηκε επιπλέον επιβάρυνση 10% πέραν του MFN βάσει του Άρθρου 122 του Εμπορικού Νόμου του 1974 για διάστημα έως 150 ημερών (ακυρώθηκε από το Δικαστήριο Διεθνούς Εμπορίου τον Μάιο του 2026, αλλά παρέμεινε σε ισχύ μέχρι τη λήξη της στις 24 Ιουλίου 2026).</w:t>
            </w:r>
          </w:p>
        </w:tc>
      </w:tr>
      <w:tr w:rsidR="00BD43BE" w:rsidRPr="00D56B1F" w14:paraId="2239C26D" w14:textId="77777777" w:rsidTr="003F4993">
        <w:tc>
          <w:tcPr>
            <w:tcW w:w="2405" w:type="dxa"/>
          </w:tcPr>
          <w:p w14:paraId="50DB4A4C"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Από τις 24 Ιουλίου 2026</w:t>
            </w:r>
          </w:p>
        </w:tc>
        <w:tc>
          <w:tcPr>
            <w:tcW w:w="6945" w:type="dxa"/>
          </w:tcPr>
          <w:p w14:paraId="07BE150A" w14:textId="77777777" w:rsidR="00BD43BE" w:rsidRPr="00D56B1F" w:rsidRDefault="00BD43B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Μέτρο δυνάμει του Άρθρου 301 σχετικά με την καταναγκαστική εργασία επιβάλλει δασμό 10% (συνολικό / καθαρό από MFN) χωρίς καταληκτική ημερομηνία. Στο κρασί δεν χορηγήθηκε εξαίρεση, σε αντίθεση με τον φελλό της ΕΕ ή τα ουίσκι του Ηνωμένου Βασιλείου.</w:t>
            </w:r>
          </w:p>
        </w:tc>
      </w:tr>
    </w:tbl>
    <w:p w14:paraId="0417EA81" w14:textId="2EC53F1D" w:rsidR="00252C73" w:rsidRPr="00D56B1F" w:rsidRDefault="00252C73" w:rsidP="00D56B1F">
      <w:pPr>
        <w:spacing w:line="276" w:lineRule="auto"/>
        <w:jc w:val="both"/>
        <w:rPr>
          <w:rFonts w:asciiTheme="minorHAnsi" w:hAnsiTheme="minorHAnsi" w:cstheme="minorHAnsi"/>
          <w:sz w:val="22"/>
          <w:szCs w:val="22"/>
        </w:rPr>
      </w:pPr>
    </w:p>
    <w:p w14:paraId="6012F5D4" w14:textId="526DABFE" w:rsidR="00504A7E" w:rsidRPr="00D56B1F" w:rsidRDefault="00504A7E" w:rsidP="00D56B1F">
      <w:pPr>
        <w:spacing w:line="276" w:lineRule="auto"/>
        <w:jc w:val="both"/>
        <w:rPr>
          <w:rFonts w:asciiTheme="minorHAnsi" w:hAnsiTheme="minorHAnsi" w:cstheme="minorHAnsi"/>
          <w:sz w:val="22"/>
          <w:szCs w:val="22"/>
        </w:rPr>
      </w:pPr>
    </w:p>
    <w:p w14:paraId="546C1147" w14:textId="50DFC11C" w:rsidR="00504A7E" w:rsidRPr="00D56B1F" w:rsidRDefault="00504A7E" w:rsidP="00D56B1F">
      <w:pPr>
        <w:spacing w:line="276" w:lineRule="auto"/>
        <w:jc w:val="both"/>
        <w:rPr>
          <w:rFonts w:asciiTheme="minorHAnsi" w:hAnsiTheme="minorHAnsi" w:cstheme="minorHAnsi"/>
          <w:sz w:val="22"/>
          <w:szCs w:val="22"/>
        </w:rPr>
      </w:pPr>
    </w:p>
    <w:p w14:paraId="330033BA" w14:textId="60A14E5D" w:rsidR="00504A7E" w:rsidRPr="00D56B1F" w:rsidRDefault="00504A7E" w:rsidP="00D56B1F">
      <w:pPr>
        <w:spacing w:line="276" w:lineRule="auto"/>
        <w:jc w:val="both"/>
        <w:rPr>
          <w:rFonts w:asciiTheme="minorHAnsi" w:hAnsiTheme="minorHAnsi" w:cstheme="minorHAnsi"/>
          <w:sz w:val="22"/>
          <w:szCs w:val="22"/>
        </w:rPr>
      </w:pPr>
      <w:r w:rsidRPr="00D56B1F">
        <w:rPr>
          <w:rFonts w:asciiTheme="minorHAnsi" w:hAnsiTheme="minorHAnsi" w:cstheme="minorHAnsi"/>
          <w:sz w:val="22"/>
          <w:szCs w:val="22"/>
        </w:rPr>
        <w:t>Συνημμένες 35 σελίδες</w:t>
      </w:r>
    </w:p>
    <w:sectPr w:rsidR="00504A7E" w:rsidRPr="00D56B1F" w:rsidSect="00113B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080D2C" w14:textId="77777777" w:rsidR="00701D27" w:rsidRDefault="00701D27" w:rsidP="00ED0F59">
      <w:r>
        <w:separator/>
      </w:r>
    </w:p>
  </w:endnote>
  <w:endnote w:type="continuationSeparator" w:id="0">
    <w:p w14:paraId="2D004DA1" w14:textId="77777777" w:rsidR="00701D27" w:rsidRDefault="00701D27" w:rsidP="00ED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EDE0B" w14:textId="77777777" w:rsidR="00701D27" w:rsidRDefault="00701D27" w:rsidP="00ED0F59">
      <w:r>
        <w:separator/>
      </w:r>
    </w:p>
  </w:footnote>
  <w:footnote w:type="continuationSeparator" w:id="0">
    <w:p w14:paraId="60103A6F" w14:textId="77777777" w:rsidR="00701D27" w:rsidRDefault="00701D27" w:rsidP="00ED0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63550"/>
    <w:multiLevelType w:val="hybridMultilevel"/>
    <w:tmpl w:val="D236F112"/>
    <w:lvl w:ilvl="0" w:tplc="186681E0">
      <w:numFmt w:val="bullet"/>
      <w:lvlText w:val="-"/>
      <w:lvlJc w:val="left"/>
      <w:pPr>
        <w:ind w:left="76" w:hanging="360"/>
      </w:pPr>
      <w:rPr>
        <w:rFonts w:ascii="Arial" w:eastAsia="Times New Roman" w:hAnsi="Arial" w:cs="Aria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 w15:restartNumberingAfterBreak="0">
    <w:nsid w:val="1256275A"/>
    <w:multiLevelType w:val="hybridMultilevel"/>
    <w:tmpl w:val="7120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84D2C"/>
    <w:multiLevelType w:val="multilevel"/>
    <w:tmpl w:val="C464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DD418D"/>
    <w:multiLevelType w:val="hybridMultilevel"/>
    <w:tmpl w:val="17022C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E5604"/>
    <w:multiLevelType w:val="hybridMultilevel"/>
    <w:tmpl w:val="55B8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C005EB"/>
    <w:multiLevelType w:val="multilevel"/>
    <w:tmpl w:val="9140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80226E"/>
    <w:multiLevelType w:val="hybridMultilevel"/>
    <w:tmpl w:val="324CF4A2"/>
    <w:lvl w:ilvl="0" w:tplc="C7B2A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B2E3B6D"/>
    <w:multiLevelType w:val="hybridMultilevel"/>
    <w:tmpl w:val="02EED3B0"/>
    <w:lvl w:ilvl="0" w:tplc="34B8F99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E267C"/>
    <w:multiLevelType w:val="hybridMultilevel"/>
    <w:tmpl w:val="44C226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6E95155"/>
    <w:multiLevelType w:val="hybridMultilevel"/>
    <w:tmpl w:val="621C5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E53B08"/>
    <w:multiLevelType w:val="hybridMultilevel"/>
    <w:tmpl w:val="DF2E9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ECE2E78"/>
    <w:multiLevelType w:val="hybridMultilevel"/>
    <w:tmpl w:val="F702ADC2"/>
    <w:lvl w:ilvl="0" w:tplc="C1D22B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226901"/>
    <w:multiLevelType w:val="hybridMultilevel"/>
    <w:tmpl w:val="66F8B220"/>
    <w:lvl w:ilvl="0" w:tplc="41DCED9E">
      <w:numFmt w:val="bullet"/>
      <w:lvlText w:val="-"/>
      <w:lvlJc w:val="left"/>
      <w:pPr>
        <w:ind w:left="270" w:hanging="360"/>
      </w:pPr>
      <w:rPr>
        <w:rFonts w:ascii="Arial" w:eastAsia="Times New Roman" w:hAnsi="Aria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79591623"/>
    <w:multiLevelType w:val="hybridMultilevel"/>
    <w:tmpl w:val="C0D8C2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B5D0125"/>
    <w:multiLevelType w:val="hybridMultilevel"/>
    <w:tmpl w:val="4EFC7B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7D295C2F"/>
    <w:multiLevelType w:val="hybridMultilevel"/>
    <w:tmpl w:val="5C6878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1"/>
  </w:num>
  <w:num w:numId="2">
    <w:abstractNumId w:val="1"/>
  </w:num>
  <w:num w:numId="3">
    <w:abstractNumId w:val="6"/>
  </w:num>
  <w:num w:numId="4">
    <w:abstractNumId w:val="7"/>
  </w:num>
  <w:num w:numId="5">
    <w:abstractNumId w:val="2"/>
  </w:num>
  <w:num w:numId="6">
    <w:abstractNumId w:val="5"/>
  </w:num>
  <w:num w:numId="7">
    <w:abstractNumId w:val="8"/>
  </w:num>
  <w:num w:numId="8">
    <w:abstractNumId w:val="0"/>
  </w:num>
  <w:num w:numId="9">
    <w:abstractNumId w:val="14"/>
  </w:num>
  <w:num w:numId="10">
    <w:abstractNumId w:val="12"/>
  </w:num>
  <w:num w:numId="11">
    <w:abstractNumId w:val="13"/>
  </w:num>
  <w:num w:numId="12">
    <w:abstractNumId w:val="3"/>
  </w:num>
  <w:num w:numId="13">
    <w:abstractNumId w:val="4"/>
  </w:num>
  <w:num w:numId="14">
    <w:abstractNumId w:val="10"/>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96"/>
    <w:rsid w:val="00000999"/>
    <w:rsid w:val="00000EFC"/>
    <w:rsid w:val="000024D4"/>
    <w:rsid w:val="0000499E"/>
    <w:rsid w:val="00011BEA"/>
    <w:rsid w:val="00011CD2"/>
    <w:rsid w:val="00014B2B"/>
    <w:rsid w:val="00015900"/>
    <w:rsid w:val="000165CA"/>
    <w:rsid w:val="00020A55"/>
    <w:rsid w:val="000243DD"/>
    <w:rsid w:val="00024E7A"/>
    <w:rsid w:val="00025526"/>
    <w:rsid w:val="00040564"/>
    <w:rsid w:val="00040C6A"/>
    <w:rsid w:val="000534AC"/>
    <w:rsid w:val="000573E4"/>
    <w:rsid w:val="00057C17"/>
    <w:rsid w:val="00067D4E"/>
    <w:rsid w:val="000736EA"/>
    <w:rsid w:val="00077307"/>
    <w:rsid w:val="0007753B"/>
    <w:rsid w:val="000817CA"/>
    <w:rsid w:val="0008264F"/>
    <w:rsid w:val="00085D89"/>
    <w:rsid w:val="00086884"/>
    <w:rsid w:val="00093797"/>
    <w:rsid w:val="000A03A8"/>
    <w:rsid w:val="000A4B7F"/>
    <w:rsid w:val="000A6FB7"/>
    <w:rsid w:val="000A7555"/>
    <w:rsid w:val="000C51E5"/>
    <w:rsid w:val="000C7E54"/>
    <w:rsid w:val="000D3E96"/>
    <w:rsid w:val="000D4A4E"/>
    <w:rsid w:val="000D6674"/>
    <w:rsid w:val="000E142D"/>
    <w:rsid w:val="000E37E4"/>
    <w:rsid w:val="000E4372"/>
    <w:rsid w:val="000E76F2"/>
    <w:rsid w:val="000F2867"/>
    <w:rsid w:val="000F2FDD"/>
    <w:rsid w:val="000F615D"/>
    <w:rsid w:val="00101E7D"/>
    <w:rsid w:val="00101F93"/>
    <w:rsid w:val="00104483"/>
    <w:rsid w:val="00106CA8"/>
    <w:rsid w:val="00113BE7"/>
    <w:rsid w:val="0011485C"/>
    <w:rsid w:val="00120B26"/>
    <w:rsid w:val="00122810"/>
    <w:rsid w:val="00125986"/>
    <w:rsid w:val="00134414"/>
    <w:rsid w:val="00137237"/>
    <w:rsid w:val="0014057B"/>
    <w:rsid w:val="00140C5F"/>
    <w:rsid w:val="00141FE2"/>
    <w:rsid w:val="00146D8E"/>
    <w:rsid w:val="001525EE"/>
    <w:rsid w:val="001530B3"/>
    <w:rsid w:val="00154181"/>
    <w:rsid w:val="00160B57"/>
    <w:rsid w:val="0016203D"/>
    <w:rsid w:val="00163CCF"/>
    <w:rsid w:val="00164531"/>
    <w:rsid w:val="00173A74"/>
    <w:rsid w:val="00174094"/>
    <w:rsid w:val="00175C97"/>
    <w:rsid w:val="00186189"/>
    <w:rsid w:val="00187FDF"/>
    <w:rsid w:val="00190CA6"/>
    <w:rsid w:val="00193471"/>
    <w:rsid w:val="00193F20"/>
    <w:rsid w:val="001A22CE"/>
    <w:rsid w:val="001A346B"/>
    <w:rsid w:val="001B0552"/>
    <w:rsid w:val="001B1E23"/>
    <w:rsid w:val="001B37F2"/>
    <w:rsid w:val="001B3800"/>
    <w:rsid w:val="001B6E2F"/>
    <w:rsid w:val="001B75DC"/>
    <w:rsid w:val="001C46E9"/>
    <w:rsid w:val="001C7C2F"/>
    <w:rsid w:val="001D16E6"/>
    <w:rsid w:val="001D41A8"/>
    <w:rsid w:val="001E499F"/>
    <w:rsid w:val="001E5B93"/>
    <w:rsid w:val="001E750D"/>
    <w:rsid w:val="001F028C"/>
    <w:rsid w:val="001F3212"/>
    <w:rsid w:val="001F5379"/>
    <w:rsid w:val="001F5DD6"/>
    <w:rsid w:val="0020191B"/>
    <w:rsid w:val="002076DF"/>
    <w:rsid w:val="002102F0"/>
    <w:rsid w:val="002110EB"/>
    <w:rsid w:val="002145CB"/>
    <w:rsid w:val="00215CE6"/>
    <w:rsid w:val="0022399D"/>
    <w:rsid w:val="00224C4A"/>
    <w:rsid w:val="0022790A"/>
    <w:rsid w:val="0023260B"/>
    <w:rsid w:val="00233F96"/>
    <w:rsid w:val="00236858"/>
    <w:rsid w:val="00236D0A"/>
    <w:rsid w:val="00240856"/>
    <w:rsid w:val="002419BA"/>
    <w:rsid w:val="002428D9"/>
    <w:rsid w:val="00242F64"/>
    <w:rsid w:val="00245AF3"/>
    <w:rsid w:val="00245DAB"/>
    <w:rsid w:val="002462E8"/>
    <w:rsid w:val="00250183"/>
    <w:rsid w:val="00250B24"/>
    <w:rsid w:val="002523BB"/>
    <w:rsid w:val="00252C73"/>
    <w:rsid w:val="002531E9"/>
    <w:rsid w:val="00257327"/>
    <w:rsid w:val="00262CCB"/>
    <w:rsid w:val="00264973"/>
    <w:rsid w:val="0026568F"/>
    <w:rsid w:val="002668B7"/>
    <w:rsid w:val="002678FC"/>
    <w:rsid w:val="00267FD2"/>
    <w:rsid w:val="00275F17"/>
    <w:rsid w:val="00276AF6"/>
    <w:rsid w:val="00276C39"/>
    <w:rsid w:val="0028230E"/>
    <w:rsid w:val="00285F0E"/>
    <w:rsid w:val="002935CD"/>
    <w:rsid w:val="00294DC7"/>
    <w:rsid w:val="002A3F58"/>
    <w:rsid w:val="002A45EA"/>
    <w:rsid w:val="002B53DC"/>
    <w:rsid w:val="002B7CB3"/>
    <w:rsid w:val="002C4800"/>
    <w:rsid w:val="002C5897"/>
    <w:rsid w:val="002D0F64"/>
    <w:rsid w:val="002D3DF2"/>
    <w:rsid w:val="002D430C"/>
    <w:rsid w:val="002E1797"/>
    <w:rsid w:val="002E2F0D"/>
    <w:rsid w:val="002E6F3D"/>
    <w:rsid w:val="002F067D"/>
    <w:rsid w:val="002F32B2"/>
    <w:rsid w:val="002F3CA0"/>
    <w:rsid w:val="002F549D"/>
    <w:rsid w:val="002F54CD"/>
    <w:rsid w:val="002F78C3"/>
    <w:rsid w:val="003012DA"/>
    <w:rsid w:val="00302120"/>
    <w:rsid w:val="003030BD"/>
    <w:rsid w:val="00304B38"/>
    <w:rsid w:val="003056B3"/>
    <w:rsid w:val="003063D1"/>
    <w:rsid w:val="00315BD7"/>
    <w:rsid w:val="0031656C"/>
    <w:rsid w:val="00325C0C"/>
    <w:rsid w:val="00334A56"/>
    <w:rsid w:val="0034571D"/>
    <w:rsid w:val="00355B10"/>
    <w:rsid w:val="00355D7D"/>
    <w:rsid w:val="00355EF6"/>
    <w:rsid w:val="0035794B"/>
    <w:rsid w:val="00361318"/>
    <w:rsid w:val="003624C6"/>
    <w:rsid w:val="00364F14"/>
    <w:rsid w:val="00371A56"/>
    <w:rsid w:val="003748D7"/>
    <w:rsid w:val="0037558B"/>
    <w:rsid w:val="003755AF"/>
    <w:rsid w:val="003758B7"/>
    <w:rsid w:val="00376939"/>
    <w:rsid w:val="00376CED"/>
    <w:rsid w:val="00381916"/>
    <w:rsid w:val="003859B6"/>
    <w:rsid w:val="00385DE3"/>
    <w:rsid w:val="00386239"/>
    <w:rsid w:val="00386FD1"/>
    <w:rsid w:val="00394F1F"/>
    <w:rsid w:val="00395FE2"/>
    <w:rsid w:val="003A0736"/>
    <w:rsid w:val="003A38F9"/>
    <w:rsid w:val="003A7F99"/>
    <w:rsid w:val="003B1C98"/>
    <w:rsid w:val="003B3D58"/>
    <w:rsid w:val="003B6467"/>
    <w:rsid w:val="003C07A6"/>
    <w:rsid w:val="003C670C"/>
    <w:rsid w:val="003C6D1E"/>
    <w:rsid w:val="003C70D2"/>
    <w:rsid w:val="003C75EF"/>
    <w:rsid w:val="003D18E4"/>
    <w:rsid w:val="003D205F"/>
    <w:rsid w:val="003D65CA"/>
    <w:rsid w:val="003D738A"/>
    <w:rsid w:val="003E6068"/>
    <w:rsid w:val="003F2EB7"/>
    <w:rsid w:val="003F335A"/>
    <w:rsid w:val="003F3914"/>
    <w:rsid w:val="003F605F"/>
    <w:rsid w:val="00401F5D"/>
    <w:rsid w:val="0040240C"/>
    <w:rsid w:val="00415802"/>
    <w:rsid w:val="00420725"/>
    <w:rsid w:val="00421473"/>
    <w:rsid w:val="004215A9"/>
    <w:rsid w:val="00430843"/>
    <w:rsid w:val="00430973"/>
    <w:rsid w:val="00436A52"/>
    <w:rsid w:val="00437D7C"/>
    <w:rsid w:val="0044071A"/>
    <w:rsid w:val="004429D6"/>
    <w:rsid w:val="00442D41"/>
    <w:rsid w:val="00443DA4"/>
    <w:rsid w:val="004449A3"/>
    <w:rsid w:val="004452F5"/>
    <w:rsid w:val="004452F9"/>
    <w:rsid w:val="004464F1"/>
    <w:rsid w:val="00446D6C"/>
    <w:rsid w:val="0046101E"/>
    <w:rsid w:val="004616A0"/>
    <w:rsid w:val="00465772"/>
    <w:rsid w:val="00466BE2"/>
    <w:rsid w:val="004722B6"/>
    <w:rsid w:val="00482FB9"/>
    <w:rsid w:val="00483F46"/>
    <w:rsid w:val="004861E1"/>
    <w:rsid w:val="00494977"/>
    <w:rsid w:val="00495211"/>
    <w:rsid w:val="00496396"/>
    <w:rsid w:val="004A038E"/>
    <w:rsid w:val="004A08B5"/>
    <w:rsid w:val="004A0A9B"/>
    <w:rsid w:val="004A41CC"/>
    <w:rsid w:val="004B3CFE"/>
    <w:rsid w:val="004B611D"/>
    <w:rsid w:val="004B6771"/>
    <w:rsid w:val="004B7D00"/>
    <w:rsid w:val="004C7B75"/>
    <w:rsid w:val="004D18B3"/>
    <w:rsid w:val="004D35D3"/>
    <w:rsid w:val="004D5982"/>
    <w:rsid w:val="004E3181"/>
    <w:rsid w:val="004E416E"/>
    <w:rsid w:val="004F690B"/>
    <w:rsid w:val="00501183"/>
    <w:rsid w:val="00502CCB"/>
    <w:rsid w:val="00504A7E"/>
    <w:rsid w:val="00504E64"/>
    <w:rsid w:val="005066E5"/>
    <w:rsid w:val="00510381"/>
    <w:rsid w:val="00512279"/>
    <w:rsid w:val="005152E2"/>
    <w:rsid w:val="005153D2"/>
    <w:rsid w:val="005159FC"/>
    <w:rsid w:val="00517181"/>
    <w:rsid w:val="0051778C"/>
    <w:rsid w:val="00517DE1"/>
    <w:rsid w:val="0052235A"/>
    <w:rsid w:val="00523013"/>
    <w:rsid w:val="00524512"/>
    <w:rsid w:val="0053129D"/>
    <w:rsid w:val="0053276C"/>
    <w:rsid w:val="005413F2"/>
    <w:rsid w:val="00542234"/>
    <w:rsid w:val="00542807"/>
    <w:rsid w:val="00547885"/>
    <w:rsid w:val="00550597"/>
    <w:rsid w:val="00552E54"/>
    <w:rsid w:val="00555C4C"/>
    <w:rsid w:val="005568EB"/>
    <w:rsid w:val="005571B3"/>
    <w:rsid w:val="005614DF"/>
    <w:rsid w:val="00562B09"/>
    <w:rsid w:val="00570ADF"/>
    <w:rsid w:val="0057313E"/>
    <w:rsid w:val="005733D4"/>
    <w:rsid w:val="00574E11"/>
    <w:rsid w:val="005759F1"/>
    <w:rsid w:val="00580711"/>
    <w:rsid w:val="00580E28"/>
    <w:rsid w:val="00581695"/>
    <w:rsid w:val="00583C65"/>
    <w:rsid w:val="00584C3F"/>
    <w:rsid w:val="00587B68"/>
    <w:rsid w:val="00587D86"/>
    <w:rsid w:val="005952CB"/>
    <w:rsid w:val="00595CDE"/>
    <w:rsid w:val="00596AA7"/>
    <w:rsid w:val="00596AD1"/>
    <w:rsid w:val="005A0593"/>
    <w:rsid w:val="005A20D4"/>
    <w:rsid w:val="005B057D"/>
    <w:rsid w:val="005B1925"/>
    <w:rsid w:val="005B2215"/>
    <w:rsid w:val="005B257B"/>
    <w:rsid w:val="005B406E"/>
    <w:rsid w:val="005C0B73"/>
    <w:rsid w:val="005C268F"/>
    <w:rsid w:val="005C6BFC"/>
    <w:rsid w:val="005C7F89"/>
    <w:rsid w:val="005D3886"/>
    <w:rsid w:val="005D39CD"/>
    <w:rsid w:val="005D4F53"/>
    <w:rsid w:val="005D6F25"/>
    <w:rsid w:val="005E3FD7"/>
    <w:rsid w:val="005E4025"/>
    <w:rsid w:val="005E74C0"/>
    <w:rsid w:val="005E7BEB"/>
    <w:rsid w:val="005F0966"/>
    <w:rsid w:val="005F0C82"/>
    <w:rsid w:val="005F1235"/>
    <w:rsid w:val="005F36D0"/>
    <w:rsid w:val="005F48E1"/>
    <w:rsid w:val="00601F3B"/>
    <w:rsid w:val="006025BF"/>
    <w:rsid w:val="006025E0"/>
    <w:rsid w:val="00605B94"/>
    <w:rsid w:val="0060765C"/>
    <w:rsid w:val="00613C0F"/>
    <w:rsid w:val="00616FDF"/>
    <w:rsid w:val="0062514A"/>
    <w:rsid w:val="00625AAA"/>
    <w:rsid w:val="00627A45"/>
    <w:rsid w:val="00631176"/>
    <w:rsid w:val="00632545"/>
    <w:rsid w:val="00640230"/>
    <w:rsid w:val="0064128E"/>
    <w:rsid w:val="00644758"/>
    <w:rsid w:val="006471A2"/>
    <w:rsid w:val="0065076B"/>
    <w:rsid w:val="00650BB6"/>
    <w:rsid w:val="0065137D"/>
    <w:rsid w:val="00655991"/>
    <w:rsid w:val="00663A50"/>
    <w:rsid w:val="006718EA"/>
    <w:rsid w:val="0067460E"/>
    <w:rsid w:val="0067639E"/>
    <w:rsid w:val="00677E81"/>
    <w:rsid w:val="00681B17"/>
    <w:rsid w:val="006827FB"/>
    <w:rsid w:val="006833AB"/>
    <w:rsid w:val="00683C78"/>
    <w:rsid w:val="00683DD8"/>
    <w:rsid w:val="00685BDB"/>
    <w:rsid w:val="00687630"/>
    <w:rsid w:val="00693627"/>
    <w:rsid w:val="006956E9"/>
    <w:rsid w:val="006B0672"/>
    <w:rsid w:val="006B0F8A"/>
    <w:rsid w:val="006B1466"/>
    <w:rsid w:val="006B15F2"/>
    <w:rsid w:val="006B4BA3"/>
    <w:rsid w:val="006B6470"/>
    <w:rsid w:val="006B73F4"/>
    <w:rsid w:val="006B7A35"/>
    <w:rsid w:val="006C1AAD"/>
    <w:rsid w:val="006C3964"/>
    <w:rsid w:val="006C4739"/>
    <w:rsid w:val="006C4750"/>
    <w:rsid w:val="006C64FC"/>
    <w:rsid w:val="006D0904"/>
    <w:rsid w:val="006D0DBD"/>
    <w:rsid w:val="006D2D7B"/>
    <w:rsid w:val="006D6F58"/>
    <w:rsid w:val="006E3961"/>
    <w:rsid w:val="006E79E2"/>
    <w:rsid w:val="006F10C6"/>
    <w:rsid w:val="006F2DAE"/>
    <w:rsid w:val="006F6305"/>
    <w:rsid w:val="006F6745"/>
    <w:rsid w:val="00701A7C"/>
    <w:rsid w:val="00701D27"/>
    <w:rsid w:val="00702610"/>
    <w:rsid w:val="00702EEA"/>
    <w:rsid w:val="00703E84"/>
    <w:rsid w:val="0070655B"/>
    <w:rsid w:val="00707D15"/>
    <w:rsid w:val="00723456"/>
    <w:rsid w:val="00727847"/>
    <w:rsid w:val="00730F6C"/>
    <w:rsid w:val="00731211"/>
    <w:rsid w:val="0073328E"/>
    <w:rsid w:val="00733698"/>
    <w:rsid w:val="0073633A"/>
    <w:rsid w:val="0073641C"/>
    <w:rsid w:val="007543CB"/>
    <w:rsid w:val="007633B4"/>
    <w:rsid w:val="007666B2"/>
    <w:rsid w:val="00771062"/>
    <w:rsid w:val="0077257E"/>
    <w:rsid w:val="00773D03"/>
    <w:rsid w:val="007753F1"/>
    <w:rsid w:val="00775B5C"/>
    <w:rsid w:val="007766D7"/>
    <w:rsid w:val="00782183"/>
    <w:rsid w:val="00784751"/>
    <w:rsid w:val="00784CFD"/>
    <w:rsid w:val="00784E88"/>
    <w:rsid w:val="0078614F"/>
    <w:rsid w:val="0078711A"/>
    <w:rsid w:val="00791262"/>
    <w:rsid w:val="00793B1C"/>
    <w:rsid w:val="00797522"/>
    <w:rsid w:val="007A220A"/>
    <w:rsid w:val="007B4E33"/>
    <w:rsid w:val="007C01DA"/>
    <w:rsid w:val="007C06B1"/>
    <w:rsid w:val="007C25A5"/>
    <w:rsid w:val="007D0233"/>
    <w:rsid w:val="007D06B9"/>
    <w:rsid w:val="007D1E00"/>
    <w:rsid w:val="007D2338"/>
    <w:rsid w:val="007D4914"/>
    <w:rsid w:val="007D4B77"/>
    <w:rsid w:val="007E5675"/>
    <w:rsid w:val="007E57A7"/>
    <w:rsid w:val="007E61A2"/>
    <w:rsid w:val="007F05C9"/>
    <w:rsid w:val="007F5416"/>
    <w:rsid w:val="00802876"/>
    <w:rsid w:val="00812F6E"/>
    <w:rsid w:val="00814462"/>
    <w:rsid w:val="00821C22"/>
    <w:rsid w:val="00825101"/>
    <w:rsid w:val="008278C4"/>
    <w:rsid w:val="00835DEA"/>
    <w:rsid w:val="00836E81"/>
    <w:rsid w:val="008428A5"/>
    <w:rsid w:val="00843725"/>
    <w:rsid w:val="00843C80"/>
    <w:rsid w:val="00851994"/>
    <w:rsid w:val="0085298A"/>
    <w:rsid w:val="00861469"/>
    <w:rsid w:val="00863AB0"/>
    <w:rsid w:val="008645E2"/>
    <w:rsid w:val="00866B1A"/>
    <w:rsid w:val="00872252"/>
    <w:rsid w:val="00880986"/>
    <w:rsid w:val="00884013"/>
    <w:rsid w:val="00886F00"/>
    <w:rsid w:val="00890129"/>
    <w:rsid w:val="008939D9"/>
    <w:rsid w:val="00894A01"/>
    <w:rsid w:val="008A007E"/>
    <w:rsid w:val="008A129C"/>
    <w:rsid w:val="008A6101"/>
    <w:rsid w:val="008B059A"/>
    <w:rsid w:val="008B3955"/>
    <w:rsid w:val="008B432A"/>
    <w:rsid w:val="008B4613"/>
    <w:rsid w:val="008C1DDF"/>
    <w:rsid w:val="008C21B9"/>
    <w:rsid w:val="008C3294"/>
    <w:rsid w:val="008C472E"/>
    <w:rsid w:val="008C69CE"/>
    <w:rsid w:val="008D2CA8"/>
    <w:rsid w:val="008D5B84"/>
    <w:rsid w:val="008D75FE"/>
    <w:rsid w:val="008E26D3"/>
    <w:rsid w:val="008E2BFB"/>
    <w:rsid w:val="008E3A99"/>
    <w:rsid w:val="008F130E"/>
    <w:rsid w:val="008F53D8"/>
    <w:rsid w:val="00900BED"/>
    <w:rsid w:val="00900C75"/>
    <w:rsid w:val="00904156"/>
    <w:rsid w:val="00907055"/>
    <w:rsid w:val="00912D70"/>
    <w:rsid w:val="00914F19"/>
    <w:rsid w:val="00915789"/>
    <w:rsid w:val="00917F8B"/>
    <w:rsid w:val="00921059"/>
    <w:rsid w:val="009227DB"/>
    <w:rsid w:val="00923F39"/>
    <w:rsid w:val="00924EBE"/>
    <w:rsid w:val="00926F89"/>
    <w:rsid w:val="00930F91"/>
    <w:rsid w:val="00931D11"/>
    <w:rsid w:val="00940989"/>
    <w:rsid w:val="00944297"/>
    <w:rsid w:val="00944C86"/>
    <w:rsid w:val="009457FB"/>
    <w:rsid w:val="00947EAD"/>
    <w:rsid w:val="00956153"/>
    <w:rsid w:val="00956D9F"/>
    <w:rsid w:val="00957778"/>
    <w:rsid w:val="00957D82"/>
    <w:rsid w:val="0097367C"/>
    <w:rsid w:val="00982DA0"/>
    <w:rsid w:val="00997305"/>
    <w:rsid w:val="00997672"/>
    <w:rsid w:val="009A3FA9"/>
    <w:rsid w:val="009A4450"/>
    <w:rsid w:val="009A74B3"/>
    <w:rsid w:val="009B314C"/>
    <w:rsid w:val="009B3E02"/>
    <w:rsid w:val="009B474A"/>
    <w:rsid w:val="009B6EF0"/>
    <w:rsid w:val="009C143B"/>
    <w:rsid w:val="009C635A"/>
    <w:rsid w:val="009C75BF"/>
    <w:rsid w:val="009D124A"/>
    <w:rsid w:val="009D25BA"/>
    <w:rsid w:val="009D29D2"/>
    <w:rsid w:val="009D4866"/>
    <w:rsid w:val="009D4DE8"/>
    <w:rsid w:val="009D6C8E"/>
    <w:rsid w:val="009E4169"/>
    <w:rsid w:val="009F089D"/>
    <w:rsid w:val="009F09CF"/>
    <w:rsid w:val="009F2293"/>
    <w:rsid w:val="009F39E0"/>
    <w:rsid w:val="009F59BA"/>
    <w:rsid w:val="009F7F06"/>
    <w:rsid w:val="00A009FC"/>
    <w:rsid w:val="00A02946"/>
    <w:rsid w:val="00A0353B"/>
    <w:rsid w:val="00A04002"/>
    <w:rsid w:val="00A060FC"/>
    <w:rsid w:val="00A0749B"/>
    <w:rsid w:val="00A10E6E"/>
    <w:rsid w:val="00A13C97"/>
    <w:rsid w:val="00A16090"/>
    <w:rsid w:val="00A16B8C"/>
    <w:rsid w:val="00A20900"/>
    <w:rsid w:val="00A21F05"/>
    <w:rsid w:val="00A249D3"/>
    <w:rsid w:val="00A26183"/>
    <w:rsid w:val="00A26FBC"/>
    <w:rsid w:val="00A27159"/>
    <w:rsid w:val="00A308FB"/>
    <w:rsid w:val="00A30CF1"/>
    <w:rsid w:val="00A37E57"/>
    <w:rsid w:val="00A42C78"/>
    <w:rsid w:val="00A43007"/>
    <w:rsid w:val="00A46749"/>
    <w:rsid w:val="00A46827"/>
    <w:rsid w:val="00A50BF8"/>
    <w:rsid w:val="00A51C63"/>
    <w:rsid w:val="00A65DC5"/>
    <w:rsid w:val="00A702F4"/>
    <w:rsid w:val="00A71558"/>
    <w:rsid w:val="00A8294D"/>
    <w:rsid w:val="00A873FD"/>
    <w:rsid w:val="00A87B22"/>
    <w:rsid w:val="00A92861"/>
    <w:rsid w:val="00A941B6"/>
    <w:rsid w:val="00A9459E"/>
    <w:rsid w:val="00A961AE"/>
    <w:rsid w:val="00AA2E00"/>
    <w:rsid w:val="00AA504E"/>
    <w:rsid w:val="00AA5CF9"/>
    <w:rsid w:val="00AA7BFF"/>
    <w:rsid w:val="00AC25BB"/>
    <w:rsid w:val="00AC56D5"/>
    <w:rsid w:val="00AD18BD"/>
    <w:rsid w:val="00AD3AA6"/>
    <w:rsid w:val="00AE0237"/>
    <w:rsid w:val="00AE4893"/>
    <w:rsid w:val="00AE626C"/>
    <w:rsid w:val="00AF0144"/>
    <w:rsid w:val="00AF0268"/>
    <w:rsid w:val="00AF09F9"/>
    <w:rsid w:val="00AF3CC4"/>
    <w:rsid w:val="00AF3FFB"/>
    <w:rsid w:val="00AF5AA0"/>
    <w:rsid w:val="00AF6D8A"/>
    <w:rsid w:val="00B032C4"/>
    <w:rsid w:val="00B03CC3"/>
    <w:rsid w:val="00B043EA"/>
    <w:rsid w:val="00B117CC"/>
    <w:rsid w:val="00B119ED"/>
    <w:rsid w:val="00B11AF4"/>
    <w:rsid w:val="00B11E9E"/>
    <w:rsid w:val="00B12DEC"/>
    <w:rsid w:val="00B160CA"/>
    <w:rsid w:val="00B1765D"/>
    <w:rsid w:val="00B20290"/>
    <w:rsid w:val="00B216DD"/>
    <w:rsid w:val="00B23721"/>
    <w:rsid w:val="00B23CBA"/>
    <w:rsid w:val="00B26208"/>
    <w:rsid w:val="00B2667E"/>
    <w:rsid w:val="00B30A4D"/>
    <w:rsid w:val="00B30DC8"/>
    <w:rsid w:val="00B31FF4"/>
    <w:rsid w:val="00B358EA"/>
    <w:rsid w:val="00B41C91"/>
    <w:rsid w:val="00B456A1"/>
    <w:rsid w:val="00B45C2F"/>
    <w:rsid w:val="00B47F04"/>
    <w:rsid w:val="00B5542D"/>
    <w:rsid w:val="00B5552B"/>
    <w:rsid w:val="00B64EDE"/>
    <w:rsid w:val="00B660A6"/>
    <w:rsid w:val="00B70A34"/>
    <w:rsid w:val="00B71812"/>
    <w:rsid w:val="00B72671"/>
    <w:rsid w:val="00B7590C"/>
    <w:rsid w:val="00B768EC"/>
    <w:rsid w:val="00B770F7"/>
    <w:rsid w:val="00B81825"/>
    <w:rsid w:val="00B82795"/>
    <w:rsid w:val="00B83480"/>
    <w:rsid w:val="00B87469"/>
    <w:rsid w:val="00B9221C"/>
    <w:rsid w:val="00B92A35"/>
    <w:rsid w:val="00B930B2"/>
    <w:rsid w:val="00B94096"/>
    <w:rsid w:val="00B9628F"/>
    <w:rsid w:val="00BA08AD"/>
    <w:rsid w:val="00BA2011"/>
    <w:rsid w:val="00BA3547"/>
    <w:rsid w:val="00BA3B6F"/>
    <w:rsid w:val="00BA4C70"/>
    <w:rsid w:val="00BA7E97"/>
    <w:rsid w:val="00BB0D2C"/>
    <w:rsid w:val="00BB6719"/>
    <w:rsid w:val="00BB6758"/>
    <w:rsid w:val="00BB709F"/>
    <w:rsid w:val="00BB720F"/>
    <w:rsid w:val="00BB7834"/>
    <w:rsid w:val="00BC60B3"/>
    <w:rsid w:val="00BC6BEF"/>
    <w:rsid w:val="00BC75BC"/>
    <w:rsid w:val="00BD2209"/>
    <w:rsid w:val="00BD2D5F"/>
    <w:rsid w:val="00BD43BE"/>
    <w:rsid w:val="00BD5D7C"/>
    <w:rsid w:val="00BE4550"/>
    <w:rsid w:val="00BF1B51"/>
    <w:rsid w:val="00BF29CB"/>
    <w:rsid w:val="00BF38C1"/>
    <w:rsid w:val="00BF5E8F"/>
    <w:rsid w:val="00C01EBB"/>
    <w:rsid w:val="00C02425"/>
    <w:rsid w:val="00C0294C"/>
    <w:rsid w:val="00C0348A"/>
    <w:rsid w:val="00C03628"/>
    <w:rsid w:val="00C054E4"/>
    <w:rsid w:val="00C071D8"/>
    <w:rsid w:val="00C11DED"/>
    <w:rsid w:val="00C14E2D"/>
    <w:rsid w:val="00C25168"/>
    <w:rsid w:val="00C3025A"/>
    <w:rsid w:val="00C30777"/>
    <w:rsid w:val="00C31523"/>
    <w:rsid w:val="00C35630"/>
    <w:rsid w:val="00C370FF"/>
    <w:rsid w:val="00C40869"/>
    <w:rsid w:val="00C40983"/>
    <w:rsid w:val="00C43798"/>
    <w:rsid w:val="00C47F69"/>
    <w:rsid w:val="00C52A8F"/>
    <w:rsid w:val="00C544B1"/>
    <w:rsid w:val="00C54830"/>
    <w:rsid w:val="00C55927"/>
    <w:rsid w:val="00C561DA"/>
    <w:rsid w:val="00C60934"/>
    <w:rsid w:val="00C62D28"/>
    <w:rsid w:val="00C63AE7"/>
    <w:rsid w:val="00C6440F"/>
    <w:rsid w:val="00C646AF"/>
    <w:rsid w:val="00C7467D"/>
    <w:rsid w:val="00C74B33"/>
    <w:rsid w:val="00C76FB9"/>
    <w:rsid w:val="00C83C8E"/>
    <w:rsid w:val="00C84F6A"/>
    <w:rsid w:val="00C90D5F"/>
    <w:rsid w:val="00C91D29"/>
    <w:rsid w:val="00C934F0"/>
    <w:rsid w:val="00C938ED"/>
    <w:rsid w:val="00C97818"/>
    <w:rsid w:val="00CA4FF6"/>
    <w:rsid w:val="00CA5271"/>
    <w:rsid w:val="00CA61C0"/>
    <w:rsid w:val="00CA7196"/>
    <w:rsid w:val="00CB1466"/>
    <w:rsid w:val="00CB22B9"/>
    <w:rsid w:val="00CB4D19"/>
    <w:rsid w:val="00CB580D"/>
    <w:rsid w:val="00CB5AFC"/>
    <w:rsid w:val="00CB624E"/>
    <w:rsid w:val="00CC1466"/>
    <w:rsid w:val="00CC1627"/>
    <w:rsid w:val="00CD01E4"/>
    <w:rsid w:val="00CD027F"/>
    <w:rsid w:val="00CD656C"/>
    <w:rsid w:val="00CD65DE"/>
    <w:rsid w:val="00CE5F57"/>
    <w:rsid w:val="00CF31B6"/>
    <w:rsid w:val="00CF649A"/>
    <w:rsid w:val="00CF6605"/>
    <w:rsid w:val="00D014B0"/>
    <w:rsid w:val="00D01EAC"/>
    <w:rsid w:val="00D0311F"/>
    <w:rsid w:val="00D06CB8"/>
    <w:rsid w:val="00D07148"/>
    <w:rsid w:val="00D116D8"/>
    <w:rsid w:val="00D11AFB"/>
    <w:rsid w:val="00D2008B"/>
    <w:rsid w:val="00D208EE"/>
    <w:rsid w:val="00D24EBD"/>
    <w:rsid w:val="00D26678"/>
    <w:rsid w:val="00D31BB5"/>
    <w:rsid w:val="00D3410C"/>
    <w:rsid w:val="00D34D5B"/>
    <w:rsid w:val="00D36C55"/>
    <w:rsid w:val="00D41265"/>
    <w:rsid w:val="00D4508F"/>
    <w:rsid w:val="00D45414"/>
    <w:rsid w:val="00D47142"/>
    <w:rsid w:val="00D5287C"/>
    <w:rsid w:val="00D532CB"/>
    <w:rsid w:val="00D53E75"/>
    <w:rsid w:val="00D544A8"/>
    <w:rsid w:val="00D562D7"/>
    <w:rsid w:val="00D56B1F"/>
    <w:rsid w:val="00D63D17"/>
    <w:rsid w:val="00D6726E"/>
    <w:rsid w:val="00D71E02"/>
    <w:rsid w:val="00D74296"/>
    <w:rsid w:val="00D74E93"/>
    <w:rsid w:val="00D7706B"/>
    <w:rsid w:val="00D83646"/>
    <w:rsid w:val="00D8456C"/>
    <w:rsid w:val="00D84992"/>
    <w:rsid w:val="00D865BC"/>
    <w:rsid w:val="00D9019B"/>
    <w:rsid w:val="00D9233B"/>
    <w:rsid w:val="00D926BA"/>
    <w:rsid w:val="00D94192"/>
    <w:rsid w:val="00D945AD"/>
    <w:rsid w:val="00D946C2"/>
    <w:rsid w:val="00D94C01"/>
    <w:rsid w:val="00D95FCD"/>
    <w:rsid w:val="00DA3FA8"/>
    <w:rsid w:val="00DA4B4A"/>
    <w:rsid w:val="00DA7A49"/>
    <w:rsid w:val="00DB35E4"/>
    <w:rsid w:val="00DB390E"/>
    <w:rsid w:val="00DB4619"/>
    <w:rsid w:val="00DB65FB"/>
    <w:rsid w:val="00DB77B8"/>
    <w:rsid w:val="00DC28E5"/>
    <w:rsid w:val="00DC3C96"/>
    <w:rsid w:val="00DC66AC"/>
    <w:rsid w:val="00DD1DA5"/>
    <w:rsid w:val="00DD3292"/>
    <w:rsid w:val="00DD34E4"/>
    <w:rsid w:val="00DD51D3"/>
    <w:rsid w:val="00DD5E9A"/>
    <w:rsid w:val="00DE1938"/>
    <w:rsid w:val="00DE5B8C"/>
    <w:rsid w:val="00DE7052"/>
    <w:rsid w:val="00DE7E34"/>
    <w:rsid w:val="00DF092A"/>
    <w:rsid w:val="00DF1703"/>
    <w:rsid w:val="00DF7875"/>
    <w:rsid w:val="00E005BD"/>
    <w:rsid w:val="00E04E5F"/>
    <w:rsid w:val="00E05BF9"/>
    <w:rsid w:val="00E063B4"/>
    <w:rsid w:val="00E0641C"/>
    <w:rsid w:val="00E150DB"/>
    <w:rsid w:val="00E213EB"/>
    <w:rsid w:val="00E21DBD"/>
    <w:rsid w:val="00E22D4C"/>
    <w:rsid w:val="00E23E89"/>
    <w:rsid w:val="00E443EA"/>
    <w:rsid w:val="00E45F22"/>
    <w:rsid w:val="00E535AF"/>
    <w:rsid w:val="00E53F1A"/>
    <w:rsid w:val="00E609D1"/>
    <w:rsid w:val="00E609D6"/>
    <w:rsid w:val="00E6140F"/>
    <w:rsid w:val="00E6467A"/>
    <w:rsid w:val="00E64824"/>
    <w:rsid w:val="00E73D2B"/>
    <w:rsid w:val="00E80673"/>
    <w:rsid w:val="00E8191A"/>
    <w:rsid w:val="00E81AC7"/>
    <w:rsid w:val="00E83F50"/>
    <w:rsid w:val="00E8508D"/>
    <w:rsid w:val="00E85634"/>
    <w:rsid w:val="00E87482"/>
    <w:rsid w:val="00E9085C"/>
    <w:rsid w:val="00E92ACC"/>
    <w:rsid w:val="00E95D73"/>
    <w:rsid w:val="00EA12BE"/>
    <w:rsid w:val="00EA18A9"/>
    <w:rsid w:val="00EA29C4"/>
    <w:rsid w:val="00EA744B"/>
    <w:rsid w:val="00EB1888"/>
    <w:rsid w:val="00EB2468"/>
    <w:rsid w:val="00EC003F"/>
    <w:rsid w:val="00EC2660"/>
    <w:rsid w:val="00EC5F4A"/>
    <w:rsid w:val="00ED0F59"/>
    <w:rsid w:val="00ED591E"/>
    <w:rsid w:val="00ED6420"/>
    <w:rsid w:val="00ED6520"/>
    <w:rsid w:val="00EE0365"/>
    <w:rsid w:val="00EE330F"/>
    <w:rsid w:val="00EE46A9"/>
    <w:rsid w:val="00EE7C48"/>
    <w:rsid w:val="00EE7CC1"/>
    <w:rsid w:val="00EE7F0B"/>
    <w:rsid w:val="00EF3582"/>
    <w:rsid w:val="00EF5927"/>
    <w:rsid w:val="00EF7428"/>
    <w:rsid w:val="00F016CA"/>
    <w:rsid w:val="00F04C18"/>
    <w:rsid w:val="00F16AF2"/>
    <w:rsid w:val="00F173BE"/>
    <w:rsid w:val="00F23209"/>
    <w:rsid w:val="00F27972"/>
    <w:rsid w:val="00F40218"/>
    <w:rsid w:val="00F41F9E"/>
    <w:rsid w:val="00F42A21"/>
    <w:rsid w:val="00F46E7A"/>
    <w:rsid w:val="00F53A58"/>
    <w:rsid w:val="00F56A7D"/>
    <w:rsid w:val="00F56B80"/>
    <w:rsid w:val="00F57FDC"/>
    <w:rsid w:val="00F60972"/>
    <w:rsid w:val="00F61707"/>
    <w:rsid w:val="00F63D10"/>
    <w:rsid w:val="00F6532E"/>
    <w:rsid w:val="00F66EF5"/>
    <w:rsid w:val="00F705C3"/>
    <w:rsid w:val="00F7389A"/>
    <w:rsid w:val="00F76247"/>
    <w:rsid w:val="00F8257E"/>
    <w:rsid w:val="00F82ABC"/>
    <w:rsid w:val="00F8354B"/>
    <w:rsid w:val="00F90578"/>
    <w:rsid w:val="00F930B9"/>
    <w:rsid w:val="00F935B2"/>
    <w:rsid w:val="00FA333E"/>
    <w:rsid w:val="00FA3D10"/>
    <w:rsid w:val="00FA468E"/>
    <w:rsid w:val="00FA74A0"/>
    <w:rsid w:val="00FB095B"/>
    <w:rsid w:val="00FB3A0B"/>
    <w:rsid w:val="00FB4A0A"/>
    <w:rsid w:val="00FB4FBA"/>
    <w:rsid w:val="00FB5155"/>
    <w:rsid w:val="00FC0AE7"/>
    <w:rsid w:val="00FC2526"/>
    <w:rsid w:val="00FC30D2"/>
    <w:rsid w:val="00FC3317"/>
    <w:rsid w:val="00FC5A1B"/>
    <w:rsid w:val="00FC5EBE"/>
    <w:rsid w:val="00FC7420"/>
    <w:rsid w:val="00FD51C6"/>
    <w:rsid w:val="00FD6EB3"/>
    <w:rsid w:val="00FD6F91"/>
    <w:rsid w:val="00FE0ACA"/>
    <w:rsid w:val="00FE1DDF"/>
    <w:rsid w:val="00FF0FB0"/>
    <w:rsid w:val="00FF5150"/>
    <w:rsid w:val="00FF77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96E1"/>
  <w15:chartTrackingRefBased/>
  <w15:docId w15:val="{74B382D6-24CD-4B58-9F54-01ADAE4C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1DBD"/>
    <w:pPr>
      <w:spacing w:after="120" w:line="240" w:lineRule="auto"/>
    </w:pPr>
    <w:rPr>
      <w:rFonts w:ascii="Times New Roman" w:eastAsia="Times New Roman" w:hAnsi="Times New Roman" w:cs="Times New Roman"/>
      <w:sz w:val="24"/>
      <w:szCs w:val="24"/>
      <w:lang w:val="el-GR" w:eastAsia="el-GR"/>
    </w:rPr>
  </w:style>
  <w:style w:type="paragraph" w:styleId="Heading1">
    <w:name w:val="heading 1"/>
    <w:basedOn w:val="Normal"/>
    <w:next w:val="Normal"/>
    <w:link w:val="Heading1Char"/>
    <w:uiPriority w:val="9"/>
    <w:qFormat/>
    <w:rsid w:val="00B30A4D"/>
    <w:pPr>
      <w:shd w:val="clear" w:color="auto" w:fill="DBE5F1" w:themeFill="accent1" w:themeFillTint="33"/>
      <w:jc w:val="both"/>
      <w:outlineLvl w:val="0"/>
    </w:pPr>
    <w:rPr>
      <w:rFonts w:ascii="Century Gothic" w:hAnsi="Century Gothic"/>
      <w:b/>
      <w:sz w:val="28"/>
    </w:rPr>
  </w:style>
  <w:style w:type="paragraph" w:styleId="Heading2">
    <w:name w:val="heading 2"/>
    <w:basedOn w:val="Normal"/>
    <w:link w:val="Heading2Char"/>
    <w:uiPriority w:val="9"/>
    <w:qFormat/>
    <w:rsid w:val="00BD43BE"/>
    <w:pPr>
      <w:spacing w:after="240"/>
      <w:jc w:val="both"/>
      <w:outlineLvl w:val="1"/>
    </w:pPr>
    <w:rPr>
      <w:rFonts w:asciiTheme="minorHAnsi" w:hAnsiTheme="minorHAnsi"/>
      <w:b/>
      <w:color w:val="1F497D" w:themeColor="text2"/>
      <w:sz w:val="22"/>
    </w:rPr>
  </w:style>
  <w:style w:type="paragraph" w:styleId="Heading3">
    <w:name w:val="heading 3"/>
    <w:basedOn w:val="Normal"/>
    <w:next w:val="Normal"/>
    <w:link w:val="Heading3Char"/>
    <w:uiPriority w:val="9"/>
    <w:unhideWhenUsed/>
    <w:qFormat/>
    <w:rsid w:val="00BD43BE"/>
    <w:pPr>
      <w:keepNext/>
      <w:keepLines/>
      <w:spacing w:before="200" w:after="240"/>
      <w:outlineLvl w:val="2"/>
    </w:pPr>
    <w:rPr>
      <w:rFonts w:asciiTheme="minorHAnsi" w:eastAsiaTheme="majorEastAsia" w:hAnsiTheme="minorHAnsi" w:cstheme="majorBidi"/>
      <w:b/>
      <w:bCs/>
      <w:color w:val="4F81BD" w:themeColor="accent1"/>
      <w:sz w:val="22"/>
    </w:rPr>
  </w:style>
  <w:style w:type="paragraph" w:styleId="Heading4">
    <w:name w:val="heading 4"/>
    <w:basedOn w:val="Normal"/>
    <w:next w:val="Normal"/>
    <w:link w:val="Heading4Char"/>
    <w:uiPriority w:val="9"/>
    <w:unhideWhenUsed/>
    <w:qFormat/>
    <w:rsid w:val="00E21D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A4D"/>
    <w:rPr>
      <w:rFonts w:ascii="Century Gothic" w:hAnsi="Century Gothic"/>
      <w:b/>
      <w:sz w:val="28"/>
      <w:shd w:val="clear" w:color="auto" w:fill="DBE5F1" w:themeFill="accent1" w:themeFillTint="33"/>
    </w:rPr>
  </w:style>
  <w:style w:type="character" w:customStyle="1" w:styleId="Heading2Char">
    <w:name w:val="Heading 2 Char"/>
    <w:basedOn w:val="DefaultParagraphFont"/>
    <w:link w:val="Heading2"/>
    <w:uiPriority w:val="9"/>
    <w:rsid w:val="00BD43BE"/>
    <w:rPr>
      <w:rFonts w:eastAsia="Times New Roman" w:cs="Times New Roman"/>
      <w:b/>
      <w:color w:val="1F497D" w:themeColor="text2"/>
      <w:szCs w:val="24"/>
      <w:lang w:val="el-GR" w:eastAsia="el-GR"/>
    </w:rPr>
  </w:style>
  <w:style w:type="character" w:customStyle="1" w:styleId="Heading3Char">
    <w:name w:val="Heading 3 Char"/>
    <w:basedOn w:val="DefaultParagraphFont"/>
    <w:link w:val="Heading3"/>
    <w:uiPriority w:val="9"/>
    <w:rsid w:val="00BD43BE"/>
    <w:rPr>
      <w:rFonts w:eastAsiaTheme="majorEastAsia" w:cstheme="majorBidi"/>
      <w:b/>
      <w:bCs/>
      <w:color w:val="4F81BD" w:themeColor="accent1"/>
      <w:szCs w:val="24"/>
      <w:lang w:val="el-GR" w:eastAsia="el-GR"/>
    </w:rPr>
  </w:style>
  <w:style w:type="character" w:styleId="FootnoteReference">
    <w:name w:val="footnote reference"/>
    <w:basedOn w:val="DefaultParagraphFont"/>
    <w:uiPriority w:val="99"/>
    <w:semiHidden/>
    <w:unhideWhenUsed/>
    <w:qFormat/>
    <w:rsid w:val="00B30A4D"/>
    <w:rPr>
      <w:vertAlign w:val="superscript"/>
    </w:rPr>
  </w:style>
  <w:style w:type="character" w:styleId="Strong">
    <w:name w:val="Strong"/>
    <w:basedOn w:val="DefaultParagraphFont"/>
    <w:uiPriority w:val="22"/>
    <w:qFormat/>
    <w:rsid w:val="00B30A4D"/>
    <w:rPr>
      <w:b/>
      <w:bCs/>
    </w:rPr>
  </w:style>
  <w:style w:type="paragraph" w:styleId="ListParagraph">
    <w:name w:val="List Paragraph"/>
    <w:basedOn w:val="Normal"/>
    <w:uiPriority w:val="34"/>
    <w:qFormat/>
    <w:rsid w:val="00B30A4D"/>
    <w:pPr>
      <w:ind w:left="720"/>
      <w:contextualSpacing/>
    </w:pPr>
  </w:style>
  <w:style w:type="paragraph" w:styleId="TOCHeading">
    <w:name w:val="TOC Heading"/>
    <w:basedOn w:val="Heading1"/>
    <w:next w:val="Normal"/>
    <w:uiPriority w:val="39"/>
    <w:unhideWhenUsed/>
    <w:qFormat/>
    <w:rsid w:val="00B30A4D"/>
    <w:pPr>
      <w:outlineLvl w:val="9"/>
    </w:pPr>
  </w:style>
  <w:style w:type="character" w:styleId="Hyperlink">
    <w:name w:val="Hyperlink"/>
    <w:uiPriority w:val="99"/>
    <w:unhideWhenUsed/>
    <w:qFormat/>
    <w:rsid w:val="00C30777"/>
    <w:rPr>
      <w:color w:val="0000FF"/>
      <w:u w:val="single"/>
    </w:rPr>
  </w:style>
  <w:style w:type="character" w:styleId="UnresolvedMention">
    <w:name w:val="Unresolved Mention"/>
    <w:basedOn w:val="DefaultParagraphFont"/>
    <w:uiPriority w:val="99"/>
    <w:semiHidden/>
    <w:unhideWhenUsed/>
    <w:rsid w:val="00C30777"/>
    <w:rPr>
      <w:color w:val="605E5C"/>
      <w:shd w:val="clear" w:color="auto" w:fill="E1DFDD"/>
    </w:rPr>
  </w:style>
  <w:style w:type="paragraph" w:styleId="EndnoteText">
    <w:name w:val="endnote text"/>
    <w:basedOn w:val="Normal"/>
    <w:link w:val="EndnoteTextChar"/>
    <w:uiPriority w:val="99"/>
    <w:semiHidden/>
    <w:unhideWhenUsed/>
    <w:rsid w:val="00ED0F59"/>
    <w:rPr>
      <w:sz w:val="20"/>
      <w:szCs w:val="20"/>
    </w:rPr>
  </w:style>
  <w:style w:type="character" w:customStyle="1" w:styleId="EndnoteTextChar">
    <w:name w:val="Endnote Text Char"/>
    <w:basedOn w:val="DefaultParagraphFont"/>
    <w:link w:val="EndnoteText"/>
    <w:uiPriority w:val="99"/>
    <w:semiHidden/>
    <w:rsid w:val="00ED0F59"/>
    <w:rPr>
      <w:rFonts w:ascii="Times New Roman" w:eastAsia="Times New Roman" w:hAnsi="Times New Roman" w:cs="Times New Roman"/>
      <w:sz w:val="20"/>
      <w:szCs w:val="20"/>
      <w:lang w:val="el-GR" w:eastAsia="el-GR"/>
    </w:rPr>
  </w:style>
  <w:style w:type="character" w:styleId="EndnoteReference">
    <w:name w:val="endnote reference"/>
    <w:basedOn w:val="DefaultParagraphFont"/>
    <w:uiPriority w:val="99"/>
    <w:semiHidden/>
    <w:unhideWhenUsed/>
    <w:rsid w:val="00ED0F59"/>
    <w:rPr>
      <w:vertAlign w:val="superscript"/>
    </w:rPr>
  </w:style>
  <w:style w:type="character" w:styleId="FollowedHyperlink">
    <w:name w:val="FollowedHyperlink"/>
    <w:basedOn w:val="DefaultParagraphFont"/>
    <w:uiPriority w:val="99"/>
    <w:semiHidden/>
    <w:unhideWhenUsed/>
    <w:rsid w:val="00B23721"/>
    <w:rPr>
      <w:color w:val="800080" w:themeColor="followedHyperlink"/>
      <w:u w:val="single"/>
    </w:rPr>
  </w:style>
  <w:style w:type="paragraph" w:styleId="Header">
    <w:name w:val="header"/>
    <w:basedOn w:val="Normal"/>
    <w:link w:val="HeaderChar"/>
    <w:uiPriority w:val="99"/>
    <w:unhideWhenUsed/>
    <w:rsid w:val="0022399D"/>
    <w:pPr>
      <w:tabs>
        <w:tab w:val="center" w:pos="4680"/>
        <w:tab w:val="right" w:pos="9360"/>
      </w:tabs>
    </w:pPr>
  </w:style>
  <w:style w:type="character" w:customStyle="1" w:styleId="HeaderChar">
    <w:name w:val="Header Char"/>
    <w:basedOn w:val="DefaultParagraphFont"/>
    <w:link w:val="Header"/>
    <w:uiPriority w:val="99"/>
    <w:rsid w:val="0022399D"/>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qFormat/>
    <w:rsid w:val="0022399D"/>
    <w:pPr>
      <w:tabs>
        <w:tab w:val="center" w:pos="4680"/>
        <w:tab w:val="right" w:pos="9360"/>
      </w:tabs>
    </w:pPr>
  </w:style>
  <w:style w:type="character" w:customStyle="1" w:styleId="FooterChar">
    <w:name w:val="Footer Char"/>
    <w:basedOn w:val="DefaultParagraphFont"/>
    <w:link w:val="Footer"/>
    <w:uiPriority w:val="99"/>
    <w:rsid w:val="0022399D"/>
    <w:rPr>
      <w:rFonts w:ascii="Times New Roman" w:eastAsia="Times New Roman" w:hAnsi="Times New Roman" w:cs="Times New Roman"/>
      <w:sz w:val="24"/>
      <w:szCs w:val="24"/>
      <w:lang w:val="el-GR" w:eastAsia="el-GR"/>
    </w:rPr>
  </w:style>
  <w:style w:type="character" w:customStyle="1" w:styleId="hwtze">
    <w:name w:val="hwtze"/>
    <w:basedOn w:val="DefaultParagraphFont"/>
    <w:rsid w:val="00B30DC8"/>
  </w:style>
  <w:style w:type="character" w:customStyle="1" w:styleId="rynqvb">
    <w:name w:val="rynqvb"/>
    <w:basedOn w:val="DefaultParagraphFont"/>
    <w:rsid w:val="00B30DC8"/>
  </w:style>
  <w:style w:type="paragraph" w:styleId="NormalWeb">
    <w:name w:val="Normal (Web)"/>
    <w:basedOn w:val="Normal"/>
    <w:uiPriority w:val="99"/>
    <w:unhideWhenUsed/>
    <w:rsid w:val="005E74C0"/>
    <w:pPr>
      <w:spacing w:before="100" w:beforeAutospacing="1" w:after="100" w:afterAutospacing="1"/>
    </w:pPr>
    <w:rPr>
      <w:lang w:val="en-US" w:eastAsia="en-US"/>
    </w:rPr>
  </w:style>
  <w:style w:type="paragraph" w:styleId="FootnoteText">
    <w:name w:val="footnote text"/>
    <w:basedOn w:val="Normal"/>
    <w:link w:val="FootnoteTextChar"/>
    <w:uiPriority w:val="99"/>
    <w:semiHidden/>
    <w:unhideWhenUsed/>
    <w:rsid w:val="008F53D8"/>
    <w:rPr>
      <w:sz w:val="20"/>
      <w:szCs w:val="20"/>
    </w:rPr>
  </w:style>
  <w:style w:type="character" w:customStyle="1" w:styleId="FootnoteTextChar">
    <w:name w:val="Footnote Text Char"/>
    <w:basedOn w:val="DefaultParagraphFont"/>
    <w:link w:val="FootnoteText"/>
    <w:uiPriority w:val="99"/>
    <w:semiHidden/>
    <w:rsid w:val="008F53D8"/>
    <w:rPr>
      <w:rFonts w:ascii="Times New Roman" w:eastAsia="Times New Roman" w:hAnsi="Times New Roman" w:cs="Times New Roman"/>
      <w:sz w:val="20"/>
      <w:szCs w:val="20"/>
      <w:lang w:val="el-GR" w:eastAsia="el-GR"/>
    </w:rPr>
  </w:style>
  <w:style w:type="paragraph" w:styleId="BalloonText">
    <w:name w:val="Balloon Text"/>
    <w:basedOn w:val="Normal"/>
    <w:link w:val="BalloonTextChar"/>
    <w:uiPriority w:val="99"/>
    <w:semiHidden/>
    <w:unhideWhenUsed/>
    <w:rsid w:val="00B12D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DEC"/>
    <w:rPr>
      <w:rFonts w:ascii="Segoe UI" w:eastAsia="Times New Roman" w:hAnsi="Segoe UI" w:cs="Segoe UI"/>
      <w:sz w:val="18"/>
      <w:szCs w:val="18"/>
      <w:lang w:val="el-GR" w:eastAsia="el-GR"/>
    </w:rPr>
  </w:style>
  <w:style w:type="character" w:customStyle="1" w:styleId="object">
    <w:name w:val="object"/>
    <w:basedOn w:val="DefaultParagraphFont"/>
    <w:qFormat/>
    <w:rsid w:val="00D8456C"/>
  </w:style>
  <w:style w:type="character" w:customStyle="1" w:styleId="news-designed-for-consumer-media">
    <w:name w:val="news-designed-for-consumer-media"/>
    <w:basedOn w:val="DefaultParagraphFont"/>
    <w:rsid w:val="00D8456C"/>
  </w:style>
  <w:style w:type="character" w:styleId="Emphasis">
    <w:name w:val="Emphasis"/>
    <w:basedOn w:val="DefaultParagraphFont"/>
    <w:uiPriority w:val="20"/>
    <w:qFormat/>
    <w:rsid w:val="00D8456C"/>
    <w:rPr>
      <w:i/>
      <w:iCs/>
    </w:rPr>
  </w:style>
  <w:style w:type="paragraph" w:customStyle="1" w:styleId="body-graf">
    <w:name w:val="body-graf"/>
    <w:basedOn w:val="Normal"/>
    <w:rsid w:val="00B160CA"/>
    <w:pPr>
      <w:spacing w:before="100" w:beforeAutospacing="1" w:after="100" w:afterAutospacing="1"/>
    </w:pPr>
    <w:rPr>
      <w:lang w:val="en-US" w:eastAsia="en-US"/>
    </w:rPr>
  </w:style>
  <w:style w:type="paragraph" w:customStyle="1" w:styleId="endmark">
    <w:name w:val="endmark"/>
    <w:basedOn w:val="Normal"/>
    <w:rsid w:val="00B160CA"/>
    <w:pPr>
      <w:spacing w:before="100" w:beforeAutospacing="1" w:after="100" w:afterAutospacing="1"/>
    </w:pPr>
    <w:rPr>
      <w:lang w:val="en-US" w:eastAsia="en-US"/>
    </w:rPr>
  </w:style>
  <w:style w:type="paragraph" w:customStyle="1" w:styleId="story-textparagraph">
    <w:name w:val="story-text__paragraph"/>
    <w:basedOn w:val="Normal"/>
    <w:rsid w:val="00B160CA"/>
    <w:pPr>
      <w:spacing w:before="100" w:beforeAutospacing="1" w:after="100" w:afterAutospacing="1"/>
    </w:pPr>
    <w:rPr>
      <w:lang w:val="en-US" w:eastAsia="en-US"/>
    </w:rPr>
  </w:style>
  <w:style w:type="character" w:customStyle="1" w:styleId="quoteinbody-quotenamecontainer">
    <w:name w:val="quoteinbody-quotenamecontainer"/>
    <w:basedOn w:val="DefaultParagraphFont"/>
    <w:rsid w:val="00B160CA"/>
  </w:style>
  <w:style w:type="paragraph" w:customStyle="1" w:styleId="wpds-c-hefnvf">
    <w:name w:val="wpds-c-hefnvf"/>
    <w:basedOn w:val="Normal"/>
    <w:rsid w:val="000A6FB7"/>
    <w:pPr>
      <w:spacing w:before="100" w:beforeAutospacing="1" w:after="100" w:afterAutospacing="1"/>
    </w:pPr>
    <w:rPr>
      <w:lang w:val="en-US" w:eastAsia="en-US"/>
    </w:rPr>
  </w:style>
  <w:style w:type="paragraph" w:styleId="HTMLPreformatted">
    <w:name w:val="HTML Preformatted"/>
    <w:basedOn w:val="Normal"/>
    <w:link w:val="HTMLPreformattedChar"/>
    <w:uiPriority w:val="99"/>
    <w:semiHidden/>
    <w:unhideWhenUsed/>
    <w:rsid w:val="00DD5E9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D5E9A"/>
    <w:rPr>
      <w:rFonts w:ascii="Consolas" w:eastAsia="Times New Roman" w:hAnsi="Consolas" w:cs="Times New Roman"/>
      <w:sz w:val="20"/>
      <w:szCs w:val="20"/>
      <w:lang w:val="el-GR" w:eastAsia="el-GR"/>
    </w:rPr>
  </w:style>
  <w:style w:type="character" w:customStyle="1" w:styleId="t286pc">
    <w:name w:val="t286pc"/>
    <w:basedOn w:val="DefaultParagraphFont"/>
    <w:rsid w:val="00D2008B"/>
  </w:style>
  <w:style w:type="character" w:customStyle="1" w:styleId="vkekvd">
    <w:name w:val="vkekvd"/>
    <w:basedOn w:val="DefaultParagraphFont"/>
    <w:rsid w:val="00D2008B"/>
  </w:style>
  <w:style w:type="table" w:styleId="TableGrid">
    <w:name w:val="Table Grid"/>
    <w:basedOn w:val="TableNormal"/>
    <w:uiPriority w:val="39"/>
    <w:rsid w:val="00C74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6025BF"/>
    <w:rPr>
      <w:sz w:val="26"/>
      <w:szCs w:val="20"/>
      <w:lang w:val="en-US" w:eastAsia="en-US"/>
    </w:rPr>
  </w:style>
  <w:style w:type="character" w:customStyle="1" w:styleId="BodyTextChar">
    <w:name w:val="Body Text Char"/>
    <w:basedOn w:val="DefaultParagraphFont"/>
    <w:link w:val="BodyText"/>
    <w:semiHidden/>
    <w:rsid w:val="006025BF"/>
    <w:rPr>
      <w:rFonts w:ascii="Times New Roman" w:eastAsia="Times New Roman" w:hAnsi="Times New Roman" w:cs="Times New Roman"/>
      <w:sz w:val="26"/>
      <w:szCs w:val="20"/>
    </w:rPr>
  </w:style>
  <w:style w:type="character" w:customStyle="1" w:styleId="Heading4Char">
    <w:name w:val="Heading 4 Char"/>
    <w:basedOn w:val="DefaultParagraphFont"/>
    <w:link w:val="Heading4"/>
    <w:uiPriority w:val="9"/>
    <w:rsid w:val="00E21DBD"/>
    <w:rPr>
      <w:rFonts w:asciiTheme="majorHAnsi" w:eastAsiaTheme="majorEastAsia" w:hAnsiTheme="majorHAnsi" w:cstheme="majorBidi"/>
      <w:i/>
      <w:iCs/>
      <w:color w:val="365F91" w:themeColor="accent1" w:themeShade="BF"/>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0320">
      <w:bodyDiv w:val="1"/>
      <w:marLeft w:val="0"/>
      <w:marRight w:val="0"/>
      <w:marTop w:val="0"/>
      <w:marBottom w:val="0"/>
      <w:divBdr>
        <w:top w:val="none" w:sz="0" w:space="0" w:color="auto"/>
        <w:left w:val="none" w:sz="0" w:space="0" w:color="auto"/>
        <w:bottom w:val="none" w:sz="0" w:space="0" w:color="auto"/>
        <w:right w:val="none" w:sz="0" w:space="0" w:color="auto"/>
      </w:divBdr>
    </w:div>
    <w:div w:id="79834043">
      <w:bodyDiv w:val="1"/>
      <w:marLeft w:val="0"/>
      <w:marRight w:val="0"/>
      <w:marTop w:val="0"/>
      <w:marBottom w:val="0"/>
      <w:divBdr>
        <w:top w:val="none" w:sz="0" w:space="0" w:color="auto"/>
        <w:left w:val="none" w:sz="0" w:space="0" w:color="auto"/>
        <w:bottom w:val="none" w:sz="0" w:space="0" w:color="auto"/>
        <w:right w:val="none" w:sz="0" w:space="0" w:color="auto"/>
      </w:divBdr>
    </w:div>
    <w:div w:id="83190174">
      <w:bodyDiv w:val="1"/>
      <w:marLeft w:val="0"/>
      <w:marRight w:val="0"/>
      <w:marTop w:val="0"/>
      <w:marBottom w:val="0"/>
      <w:divBdr>
        <w:top w:val="none" w:sz="0" w:space="0" w:color="auto"/>
        <w:left w:val="none" w:sz="0" w:space="0" w:color="auto"/>
        <w:bottom w:val="none" w:sz="0" w:space="0" w:color="auto"/>
        <w:right w:val="none" w:sz="0" w:space="0" w:color="auto"/>
      </w:divBdr>
      <w:divsChild>
        <w:div w:id="1055817407">
          <w:marLeft w:val="0"/>
          <w:marRight w:val="0"/>
          <w:marTop w:val="0"/>
          <w:marBottom w:val="0"/>
          <w:divBdr>
            <w:top w:val="none" w:sz="0" w:space="0" w:color="auto"/>
            <w:left w:val="none" w:sz="0" w:space="0" w:color="auto"/>
            <w:bottom w:val="none" w:sz="0" w:space="0" w:color="auto"/>
            <w:right w:val="none" w:sz="0" w:space="0" w:color="auto"/>
          </w:divBdr>
        </w:div>
        <w:div w:id="1209146804">
          <w:marLeft w:val="0"/>
          <w:marRight w:val="0"/>
          <w:marTop w:val="0"/>
          <w:marBottom w:val="0"/>
          <w:divBdr>
            <w:top w:val="none" w:sz="0" w:space="0" w:color="auto"/>
            <w:left w:val="none" w:sz="0" w:space="0" w:color="auto"/>
            <w:bottom w:val="none" w:sz="0" w:space="0" w:color="auto"/>
            <w:right w:val="none" w:sz="0" w:space="0" w:color="auto"/>
          </w:divBdr>
          <w:divsChild>
            <w:div w:id="18992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0184">
      <w:bodyDiv w:val="1"/>
      <w:marLeft w:val="0"/>
      <w:marRight w:val="0"/>
      <w:marTop w:val="0"/>
      <w:marBottom w:val="0"/>
      <w:divBdr>
        <w:top w:val="none" w:sz="0" w:space="0" w:color="auto"/>
        <w:left w:val="none" w:sz="0" w:space="0" w:color="auto"/>
        <w:bottom w:val="none" w:sz="0" w:space="0" w:color="auto"/>
        <w:right w:val="none" w:sz="0" w:space="0" w:color="auto"/>
      </w:divBdr>
    </w:div>
    <w:div w:id="102581830">
      <w:bodyDiv w:val="1"/>
      <w:marLeft w:val="0"/>
      <w:marRight w:val="0"/>
      <w:marTop w:val="0"/>
      <w:marBottom w:val="0"/>
      <w:divBdr>
        <w:top w:val="none" w:sz="0" w:space="0" w:color="auto"/>
        <w:left w:val="none" w:sz="0" w:space="0" w:color="auto"/>
        <w:bottom w:val="none" w:sz="0" w:space="0" w:color="auto"/>
        <w:right w:val="none" w:sz="0" w:space="0" w:color="auto"/>
      </w:divBdr>
    </w:div>
    <w:div w:id="106971699">
      <w:bodyDiv w:val="1"/>
      <w:marLeft w:val="0"/>
      <w:marRight w:val="0"/>
      <w:marTop w:val="0"/>
      <w:marBottom w:val="0"/>
      <w:divBdr>
        <w:top w:val="none" w:sz="0" w:space="0" w:color="auto"/>
        <w:left w:val="none" w:sz="0" w:space="0" w:color="auto"/>
        <w:bottom w:val="none" w:sz="0" w:space="0" w:color="auto"/>
        <w:right w:val="none" w:sz="0" w:space="0" w:color="auto"/>
      </w:divBdr>
    </w:div>
    <w:div w:id="115293627">
      <w:bodyDiv w:val="1"/>
      <w:marLeft w:val="0"/>
      <w:marRight w:val="0"/>
      <w:marTop w:val="0"/>
      <w:marBottom w:val="0"/>
      <w:divBdr>
        <w:top w:val="none" w:sz="0" w:space="0" w:color="auto"/>
        <w:left w:val="none" w:sz="0" w:space="0" w:color="auto"/>
        <w:bottom w:val="none" w:sz="0" w:space="0" w:color="auto"/>
        <w:right w:val="none" w:sz="0" w:space="0" w:color="auto"/>
      </w:divBdr>
      <w:divsChild>
        <w:div w:id="962156915">
          <w:marLeft w:val="0"/>
          <w:marRight w:val="0"/>
          <w:marTop w:val="240"/>
          <w:marBottom w:val="240"/>
          <w:divBdr>
            <w:top w:val="none" w:sz="0" w:space="0" w:color="auto"/>
            <w:left w:val="none" w:sz="0" w:space="0" w:color="auto"/>
            <w:bottom w:val="none" w:sz="0" w:space="0" w:color="auto"/>
            <w:right w:val="none" w:sz="0" w:space="0" w:color="auto"/>
          </w:divBdr>
        </w:div>
        <w:div w:id="891309653">
          <w:marLeft w:val="0"/>
          <w:marRight w:val="0"/>
          <w:marTop w:val="450"/>
          <w:marBottom w:val="240"/>
          <w:divBdr>
            <w:top w:val="none" w:sz="0" w:space="0" w:color="auto"/>
            <w:left w:val="none" w:sz="0" w:space="0" w:color="auto"/>
            <w:bottom w:val="none" w:sz="0" w:space="0" w:color="auto"/>
            <w:right w:val="none" w:sz="0" w:space="0" w:color="auto"/>
          </w:divBdr>
        </w:div>
        <w:div w:id="1014961625">
          <w:marLeft w:val="0"/>
          <w:marRight w:val="0"/>
          <w:marTop w:val="240"/>
          <w:marBottom w:val="240"/>
          <w:divBdr>
            <w:top w:val="none" w:sz="0" w:space="0" w:color="auto"/>
            <w:left w:val="none" w:sz="0" w:space="0" w:color="auto"/>
            <w:bottom w:val="none" w:sz="0" w:space="0" w:color="auto"/>
            <w:right w:val="none" w:sz="0" w:space="0" w:color="auto"/>
          </w:divBdr>
        </w:div>
        <w:div w:id="177815825">
          <w:marLeft w:val="0"/>
          <w:marRight w:val="0"/>
          <w:marTop w:val="450"/>
          <w:marBottom w:val="240"/>
          <w:divBdr>
            <w:top w:val="none" w:sz="0" w:space="0" w:color="auto"/>
            <w:left w:val="none" w:sz="0" w:space="0" w:color="auto"/>
            <w:bottom w:val="none" w:sz="0" w:space="0" w:color="auto"/>
            <w:right w:val="none" w:sz="0" w:space="0" w:color="auto"/>
          </w:divBdr>
        </w:div>
        <w:div w:id="1129319521">
          <w:marLeft w:val="0"/>
          <w:marRight w:val="0"/>
          <w:marTop w:val="240"/>
          <w:marBottom w:val="240"/>
          <w:divBdr>
            <w:top w:val="none" w:sz="0" w:space="0" w:color="auto"/>
            <w:left w:val="none" w:sz="0" w:space="0" w:color="auto"/>
            <w:bottom w:val="none" w:sz="0" w:space="0" w:color="auto"/>
            <w:right w:val="none" w:sz="0" w:space="0" w:color="auto"/>
          </w:divBdr>
        </w:div>
        <w:div w:id="1704474127">
          <w:marLeft w:val="0"/>
          <w:marRight w:val="0"/>
          <w:marTop w:val="240"/>
          <w:marBottom w:val="240"/>
          <w:divBdr>
            <w:top w:val="none" w:sz="0" w:space="0" w:color="auto"/>
            <w:left w:val="none" w:sz="0" w:space="0" w:color="auto"/>
            <w:bottom w:val="none" w:sz="0" w:space="0" w:color="auto"/>
            <w:right w:val="none" w:sz="0" w:space="0" w:color="auto"/>
          </w:divBdr>
        </w:div>
      </w:divsChild>
    </w:div>
    <w:div w:id="116066769">
      <w:bodyDiv w:val="1"/>
      <w:marLeft w:val="0"/>
      <w:marRight w:val="0"/>
      <w:marTop w:val="0"/>
      <w:marBottom w:val="0"/>
      <w:divBdr>
        <w:top w:val="none" w:sz="0" w:space="0" w:color="auto"/>
        <w:left w:val="none" w:sz="0" w:space="0" w:color="auto"/>
        <w:bottom w:val="none" w:sz="0" w:space="0" w:color="auto"/>
        <w:right w:val="none" w:sz="0" w:space="0" w:color="auto"/>
      </w:divBdr>
    </w:div>
    <w:div w:id="117190960">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sChild>
        <w:div w:id="404301126">
          <w:marLeft w:val="0"/>
          <w:marRight w:val="0"/>
          <w:marTop w:val="180"/>
          <w:marBottom w:val="240"/>
          <w:divBdr>
            <w:top w:val="none" w:sz="0" w:space="0" w:color="auto"/>
            <w:left w:val="none" w:sz="0" w:space="0" w:color="auto"/>
            <w:bottom w:val="none" w:sz="0" w:space="0" w:color="auto"/>
            <w:right w:val="none" w:sz="0" w:space="0" w:color="auto"/>
          </w:divBdr>
        </w:div>
      </w:divsChild>
    </w:div>
    <w:div w:id="197739361">
      <w:bodyDiv w:val="1"/>
      <w:marLeft w:val="0"/>
      <w:marRight w:val="0"/>
      <w:marTop w:val="0"/>
      <w:marBottom w:val="0"/>
      <w:divBdr>
        <w:top w:val="none" w:sz="0" w:space="0" w:color="auto"/>
        <w:left w:val="none" w:sz="0" w:space="0" w:color="auto"/>
        <w:bottom w:val="none" w:sz="0" w:space="0" w:color="auto"/>
        <w:right w:val="none" w:sz="0" w:space="0" w:color="auto"/>
      </w:divBdr>
    </w:div>
    <w:div w:id="232933953">
      <w:bodyDiv w:val="1"/>
      <w:marLeft w:val="0"/>
      <w:marRight w:val="0"/>
      <w:marTop w:val="0"/>
      <w:marBottom w:val="0"/>
      <w:divBdr>
        <w:top w:val="none" w:sz="0" w:space="0" w:color="auto"/>
        <w:left w:val="none" w:sz="0" w:space="0" w:color="auto"/>
        <w:bottom w:val="none" w:sz="0" w:space="0" w:color="auto"/>
        <w:right w:val="none" w:sz="0" w:space="0" w:color="auto"/>
      </w:divBdr>
    </w:div>
    <w:div w:id="243347141">
      <w:bodyDiv w:val="1"/>
      <w:marLeft w:val="0"/>
      <w:marRight w:val="0"/>
      <w:marTop w:val="0"/>
      <w:marBottom w:val="0"/>
      <w:divBdr>
        <w:top w:val="none" w:sz="0" w:space="0" w:color="auto"/>
        <w:left w:val="none" w:sz="0" w:space="0" w:color="auto"/>
        <w:bottom w:val="none" w:sz="0" w:space="0" w:color="auto"/>
        <w:right w:val="none" w:sz="0" w:space="0" w:color="auto"/>
      </w:divBdr>
    </w:div>
    <w:div w:id="243688913">
      <w:bodyDiv w:val="1"/>
      <w:marLeft w:val="0"/>
      <w:marRight w:val="0"/>
      <w:marTop w:val="0"/>
      <w:marBottom w:val="0"/>
      <w:divBdr>
        <w:top w:val="none" w:sz="0" w:space="0" w:color="auto"/>
        <w:left w:val="none" w:sz="0" w:space="0" w:color="auto"/>
        <w:bottom w:val="none" w:sz="0" w:space="0" w:color="auto"/>
        <w:right w:val="none" w:sz="0" w:space="0" w:color="auto"/>
      </w:divBdr>
    </w:div>
    <w:div w:id="250285694">
      <w:bodyDiv w:val="1"/>
      <w:marLeft w:val="0"/>
      <w:marRight w:val="0"/>
      <w:marTop w:val="0"/>
      <w:marBottom w:val="0"/>
      <w:divBdr>
        <w:top w:val="none" w:sz="0" w:space="0" w:color="auto"/>
        <w:left w:val="none" w:sz="0" w:space="0" w:color="auto"/>
        <w:bottom w:val="none" w:sz="0" w:space="0" w:color="auto"/>
        <w:right w:val="none" w:sz="0" w:space="0" w:color="auto"/>
      </w:divBdr>
    </w:div>
    <w:div w:id="325674852">
      <w:bodyDiv w:val="1"/>
      <w:marLeft w:val="0"/>
      <w:marRight w:val="0"/>
      <w:marTop w:val="0"/>
      <w:marBottom w:val="0"/>
      <w:divBdr>
        <w:top w:val="none" w:sz="0" w:space="0" w:color="auto"/>
        <w:left w:val="none" w:sz="0" w:space="0" w:color="auto"/>
        <w:bottom w:val="none" w:sz="0" w:space="0" w:color="auto"/>
        <w:right w:val="none" w:sz="0" w:space="0" w:color="auto"/>
      </w:divBdr>
    </w:div>
    <w:div w:id="330649041">
      <w:bodyDiv w:val="1"/>
      <w:marLeft w:val="0"/>
      <w:marRight w:val="0"/>
      <w:marTop w:val="0"/>
      <w:marBottom w:val="0"/>
      <w:divBdr>
        <w:top w:val="none" w:sz="0" w:space="0" w:color="auto"/>
        <w:left w:val="none" w:sz="0" w:space="0" w:color="auto"/>
        <w:bottom w:val="none" w:sz="0" w:space="0" w:color="auto"/>
        <w:right w:val="none" w:sz="0" w:space="0" w:color="auto"/>
      </w:divBdr>
    </w:div>
    <w:div w:id="348993121">
      <w:bodyDiv w:val="1"/>
      <w:marLeft w:val="0"/>
      <w:marRight w:val="0"/>
      <w:marTop w:val="0"/>
      <w:marBottom w:val="0"/>
      <w:divBdr>
        <w:top w:val="none" w:sz="0" w:space="0" w:color="auto"/>
        <w:left w:val="none" w:sz="0" w:space="0" w:color="auto"/>
        <w:bottom w:val="none" w:sz="0" w:space="0" w:color="auto"/>
        <w:right w:val="none" w:sz="0" w:space="0" w:color="auto"/>
      </w:divBdr>
    </w:div>
    <w:div w:id="497884106">
      <w:bodyDiv w:val="1"/>
      <w:marLeft w:val="0"/>
      <w:marRight w:val="0"/>
      <w:marTop w:val="0"/>
      <w:marBottom w:val="0"/>
      <w:divBdr>
        <w:top w:val="none" w:sz="0" w:space="0" w:color="auto"/>
        <w:left w:val="none" w:sz="0" w:space="0" w:color="auto"/>
        <w:bottom w:val="none" w:sz="0" w:space="0" w:color="auto"/>
        <w:right w:val="none" w:sz="0" w:space="0" w:color="auto"/>
      </w:divBdr>
    </w:div>
    <w:div w:id="546769250">
      <w:bodyDiv w:val="1"/>
      <w:marLeft w:val="0"/>
      <w:marRight w:val="0"/>
      <w:marTop w:val="0"/>
      <w:marBottom w:val="0"/>
      <w:divBdr>
        <w:top w:val="none" w:sz="0" w:space="0" w:color="auto"/>
        <w:left w:val="none" w:sz="0" w:space="0" w:color="auto"/>
        <w:bottom w:val="none" w:sz="0" w:space="0" w:color="auto"/>
        <w:right w:val="none" w:sz="0" w:space="0" w:color="auto"/>
      </w:divBdr>
      <w:divsChild>
        <w:div w:id="480272906">
          <w:marLeft w:val="0"/>
          <w:marRight w:val="0"/>
          <w:marTop w:val="240"/>
          <w:marBottom w:val="240"/>
          <w:divBdr>
            <w:top w:val="none" w:sz="0" w:space="0" w:color="auto"/>
            <w:left w:val="none" w:sz="0" w:space="0" w:color="auto"/>
            <w:bottom w:val="none" w:sz="0" w:space="0" w:color="auto"/>
            <w:right w:val="none" w:sz="0" w:space="0" w:color="auto"/>
          </w:divBdr>
        </w:div>
        <w:div w:id="1291284081">
          <w:marLeft w:val="0"/>
          <w:marRight w:val="0"/>
          <w:marTop w:val="240"/>
          <w:marBottom w:val="240"/>
          <w:divBdr>
            <w:top w:val="none" w:sz="0" w:space="0" w:color="auto"/>
            <w:left w:val="none" w:sz="0" w:space="0" w:color="auto"/>
            <w:bottom w:val="none" w:sz="0" w:space="0" w:color="auto"/>
            <w:right w:val="none" w:sz="0" w:space="0" w:color="auto"/>
          </w:divBdr>
        </w:div>
        <w:div w:id="163740853">
          <w:marLeft w:val="0"/>
          <w:marRight w:val="0"/>
          <w:marTop w:val="240"/>
          <w:marBottom w:val="240"/>
          <w:divBdr>
            <w:top w:val="none" w:sz="0" w:space="0" w:color="auto"/>
            <w:left w:val="none" w:sz="0" w:space="0" w:color="auto"/>
            <w:bottom w:val="none" w:sz="0" w:space="0" w:color="auto"/>
            <w:right w:val="none" w:sz="0" w:space="0" w:color="auto"/>
          </w:divBdr>
        </w:div>
        <w:div w:id="1079054896">
          <w:marLeft w:val="0"/>
          <w:marRight w:val="0"/>
          <w:marTop w:val="240"/>
          <w:marBottom w:val="240"/>
          <w:divBdr>
            <w:top w:val="none" w:sz="0" w:space="0" w:color="auto"/>
            <w:left w:val="none" w:sz="0" w:space="0" w:color="auto"/>
            <w:bottom w:val="none" w:sz="0" w:space="0" w:color="auto"/>
            <w:right w:val="none" w:sz="0" w:space="0" w:color="auto"/>
          </w:divBdr>
        </w:div>
        <w:div w:id="1494754681">
          <w:marLeft w:val="0"/>
          <w:marRight w:val="0"/>
          <w:marTop w:val="240"/>
          <w:marBottom w:val="240"/>
          <w:divBdr>
            <w:top w:val="none" w:sz="0" w:space="0" w:color="auto"/>
            <w:left w:val="none" w:sz="0" w:space="0" w:color="auto"/>
            <w:bottom w:val="none" w:sz="0" w:space="0" w:color="auto"/>
            <w:right w:val="none" w:sz="0" w:space="0" w:color="auto"/>
          </w:divBdr>
        </w:div>
        <w:div w:id="664164859">
          <w:marLeft w:val="0"/>
          <w:marRight w:val="0"/>
          <w:marTop w:val="240"/>
          <w:marBottom w:val="240"/>
          <w:divBdr>
            <w:top w:val="none" w:sz="0" w:space="0" w:color="auto"/>
            <w:left w:val="none" w:sz="0" w:space="0" w:color="auto"/>
            <w:bottom w:val="none" w:sz="0" w:space="0" w:color="auto"/>
            <w:right w:val="none" w:sz="0" w:space="0" w:color="auto"/>
          </w:divBdr>
        </w:div>
      </w:divsChild>
    </w:div>
    <w:div w:id="555506471">
      <w:bodyDiv w:val="1"/>
      <w:marLeft w:val="0"/>
      <w:marRight w:val="0"/>
      <w:marTop w:val="0"/>
      <w:marBottom w:val="0"/>
      <w:divBdr>
        <w:top w:val="none" w:sz="0" w:space="0" w:color="auto"/>
        <w:left w:val="none" w:sz="0" w:space="0" w:color="auto"/>
        <w:bottom w:val="none" w:sz="0" w:space="0" w:color="auto"/>
        <w:right w:val="none" w:sz="0" w:space="0" w:color="auto"/>
      </w:divBdr>
    </w:div>
    <w:div w:id="590234255">
      <w:bodyDiv w:val="1"/>
      <w:marLeft w:val="0"/>
      <w:marRight w:val="0"/>
      <w:marTop w:val="0"/>
      <w:marBottom w:val="0"/>
      <w:divBdr>
        <w:top w:val="none" w:sz="0" w:space="0" w:color="auto"/>
        <w:left w:val="none" w:sz="0" w:space="0" w:color="auto"/>
        <w:bottom w:val="none" w:sz="0" w:space="0" w:color="auto"/>
        <w:right w:val="none" w:sz="0" w:space="0" w:color="auto"/>
      </w:divBdr>
    </w:div>
    <w:div w:id="594679148">
      <w:bodyDiv w:val="1"/>
      <w:marLeft w:val="0"/>
      <w:marRight w:val="0"/>
      <w:marTop w:val="0"/>
      <w:marBottom w:val="0"/>
      <w:divBdr>
        <w:top w:val="none" w:sz="0" w:space="0" w:color="auto"/>
        <w:left w:val="none" w:sz="0" w:space="0" w:color="auto"/>
        <w:bottom w:val="none" w:sz="0" w:space="0" w:color="auto"/>
        <w:right w:val="none" w:sz="0" w:space="0" w:color="auto"/>
      </w:divBdr>
    </w:div>
    <w:div w:id="654913057">
      <w:bodyDiv w:val="1"/>
      <w:marLeft w:val="0"/>
      <w:marRight w:val="0"/>
      <w:marTop w:val="0"/>
      <w:marBottom w:val="0"/>
      <w:divBdr>
        <w:top w:val="none" w:sz="0" w:space="0" w:color="auto"/>
        <w:left w:val="none" w:sz="0" w:space="0" w:color="auto"/>
        <w:bottom w:val="none" w:sz="0" w:space="0" w:color="auto"/>
        <w:right w:val="none" w:sz="0" w:space="0" w:color="auto"/>
      </w:divBdr>
    </w:div>
    <w:div w:id="683048691">
      <w:bodyDiv w:val="1"/>
      <w:marLeft w:val="0"/>
      <w:marRight w:val="0"/>
      <w:marTop w:val="0"/>
      <w:marBottom w:val="0"/>
      <w:divBdr>
        <w:top w:val="none" w:sz="0" w:space="0" w:color="auto"/>
        <w:left w:val="none" w:sz="0" w:space="0" w:color="auto"/>
        <w:bottom w:val="none" w:sz="0" w:space="0" w:color="auto"/>
        <w:right w:val="none" w:sz="0" w:space="0" w:color="auto"/>
      </w:divBdr>
    </w:div>
    <w:div w:id="703798522">
      <w:bodyDiv w:val="1"/>
      <w:marLeft w:val="0"/>
      <w:marRight w:val="0"/>
      <w:marTop w:val="0"/>
      <w:marBottom w:val="0"/>
      <w:divBdr>
        <w:top w:val="none" w:sz="0" w:space="0" w:color="auto"/>
        <w:left w:val="none" w:sz="0" w:space="0" w:color="auto"/>
        <w:bottom w:val="none" w:sz="0" w:space="0" w:color="auto"/>
        <w:right w:val="none" w:sz="0" w:space="0" w:color="auto"/>
      </w:divBdr>
      <w:divsChild>
        <w:div w:id="666832905">
          <w:marLeft w:val="0"/>
          <w:marRight w:val="0"/>
          <w:marTop w:val="0"/>
          <w:marBottom w:val="0"/>
          <w:divBdr>
            <w:top w:val="none" w:sz="0" w:space="0" w:color="auto"/>
            <w:left w:val="none" w:sz="0" w:space="0" w:color="auto"/>
            <w:bottom w:val="none" w:sz="0" w:space="0" w:color="auto"/>
            <w:right w:val="none" w:sz="0" w:space="0" w:color="auto"/>
          </w:divBdr>
          <w:divsChild>
            <w:div w:id="841433959">
              <w:marLeft w:val="0"/>
              <w:marRight w:val="0"/>
              <w:marTop w:val="0"/>
              <w:marBottom w:val="0"/>
              <w:divBdr>
                <w:top w:val="none" w:sz="0" w:space="0" w:color="auto"/>
                <w:left w:val="none" w:sz="0" w:space="0" w:color="auto"/>
                <w:bottom w:val="none" w:sz="0" w:space="0" w:color="auto"/>
                <w:right w:val="none" w:sz="0" w:space="0" w:color="auto"/>
              </w:divBdr>
            </w:div>
            <w:div w:id="169063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40193">
      <w:bodyDiv w:val="1"/>
      <w:marLeft w:val="0"/>
      <w:marRight w:val="0"/>
      <w:marTop w:val="0"/>
      <w:marBottom w:val="0"/>
      <w:divBdr>
        <w:top w:val="none" w:sz="0" w:space="0" w:color="auto"/>
        <w:left w:val="none" w:sz="0" w:space="0" w:color="auto"/>
        <w:bottom w:val="none" w:sz="0" w:space="0" w:color="auto"/>
        <w:right w:val="none" w:sz="0" w:space="0" w:color="auto"/>
      </w:divBdr>
    </w:div>
    <w:div w:id="778985274">
      <w:bodyDiv w:val="1"/>
      <w:marLeft w:val="0"/>
      <w:marRight w:val="0"/>
      <w:marTop w:val="0"/>
      <w:marBottom w:val="0"/>
      <w:divBdr>
        <w:top w:val="none" w:sz="0" w:space="0" w:color="auto"/>
        <w:left w:val="none" w:sz="0" w:space="0" w:color="auto"/>
        <w:bottom w:val="none" w:sz="0" w:space="0" w:color="auto"/>
        <w:right w:val="none" w:sz="0" w:space="0" w:color="auto"/>
      </w:divBdr>
    </w:div>
    <w:div w:id="827284916">
      <w:bodyDiv w:val="1"/>
      <w:marLeft w:val="0"/>
      <w:marRight w:val="0"/>
      <w:marTop w:val="0"/>
      <w:marBottom w:val="0"/>
      <w:divBdr>
        <w:top w:val="none" w:sz="0" w:space="0" w:color="auto"/>
        <w:left w:val="none" w:sz="0" w:space="0" w:color="auto"/>
        <w:bottom w:val="none" w:sz="0" w:space="0" w:color="auto"/>
        <w:right w:val="none" w:sz="0" w:space="0" w:color="auto"/>
      </w:divBdr>
    </w:div>
    <w:div w:id="858660381">
      <w:bodyDiv w:val="1"/>
      <w:marLeft w:val="0"/>
      <w:marRight w:val="0"/>
      <w:marTop w:val="0"/>
      <w:marBottom w:val="0"/>
      <w:divBdr>
        <w:top w:val="none" w:sz="0" w:space="0" w:color="auto"/>
        <w:left w:val="none" w:sz="0" w:space="0" w:color="auto"/>
        <w:bottom w:val="none" w:sz="0" w:space="0" w:color="auto"/>
        <w:right w:val="none" w:sz="0" w:space="0" w:color="auto"/>
      </w:divBdr>
    </w:div>
    <w:div w:id="890001055">
      <w:bodyDiv w:val="1"/>
      <w:marLeft w:val="0"/>
      <w:marRight w:val="0"/>
      <w:marTop w:val="0"/>
      <w:marBottom w:val="0"/>
      <w:divBdr>
        <w:top w:val="none" w:sz="0" w:space="0" w:color="auto"/>
        <w:left w:val="none" w:sz="0" w:space="0" w:color="auto"/>
        <w:bottom w:val="none" w:sz="0" w:space="0" w:color="auto"/>
        <w:right w:val="none" w:sz="0" w:space="0" w:color="auto"/>
      </w:divBdr>
    </w:div>
    <w:div w:id="957679534">
      <w:bodyDiv w:val="1"/>
      <w:marLeft w:val="0"/>
      <w:marRight w:val="0"/>
      <w:marTop w:val="0"/>
      <w:marBottom w:val="0"/>
      <w:divBdr>
        <w:top w:val="none" w:sz="0" w:space="0" w:color="auto"/>
        <w:left w:val="none" w:sz="0" w:space="0" w:color="auto"/>
        <w:bottom w:val="none" w:sz="0" w:space="0" w:color="auto"/>
        <w:right w:val="none" w:sz="0" w:space="0" w:color="auto"/>
      </w:divBdr>
    </w:div>
    <w:div w:id="972321502">
      <w:bodyDiv w:val="1"/>
      <w:marLeft w:val="0"/>
      <w:marRight w:val="0"/>
      <w:marTop w:val="0"/>
      <w:marBottom w:val="0"/>
      <w:divBdr>
        <w:top w:val="none" w:sz="0" w:space="0" w:color="auto"/>
        <w:left w:val="none" w:sz="0" w:space="0" w:color="auto"/>
        <w:bottom w:val="none" w:sz="0" w:space="0" w:color="auto"/>
        <w:right w:val="none" w:sz="0" w:space="0" w:color="auto"/>
      </w:divBdr>
      <w:divsChild>
        <w:div w:id="555244484">
          <w:marLeft w:val="0"/>
          <w:marRight w:val="0"/>
          <w:marTop w:val="0"/>
          <w:marBottom w:val="0"/>
          <w:divBdr>
            <w:top w:val="none" w:sz="0" w:space="0" w:color="auto"/>
            <w:left w:val="none" w:sz="0" w:space="0" w:color="auto"/>
            <w:bottom w:val="none" w:sz="0" w:space="0" w:color="auto"/>
            <w:right w:val="none" w:sz="0" w:space="0" w:color="auto"/>
          </w:divBdr>
        </w:div>
        <w:div w:id="231308492">
          <w:marLeft w:val="0"/>
          <w:marRight w:val="0"/>
          <w:marTop w:val="0"/>
          <w:marBottom w:val="0"/>
          <w:divBdr>
            <w:top w:val="none" w:sz="0" w:space="0" w:color="auto"/>
            <w:left w:val="none" w:sz="0" w:space="0" w:color="auto"/>
            <w:bottom w:val="none" w:sz="0" w:space="0" w:color="auto"/>
            <w:right w:val="none" w:sz="0" w:space="0" w:color="auto"/>
          </w:divBdr>
        </w:div>
      </w:divsChild>
    </w:div>
    <w:div w:id="992608616">
      <w:bodyDiv w:val="1"/>
      <w:marLeft w:val="0"/>
      <w:marRight w:val="0"/>
      <w:marTop w:val="0"/>
      <w:marBottom w:val="0"/>
      <w:divBdr>
        <w:top w:val="none" w:sz="0" w:space="0" w:color="auto"/>
        <w:left w:val="none" w:sz="0" w:space="0" w:color="auto"/>
        <w:bottom w:val="none" w:sz="0" w:space="0" w:color="auto"/>
        <w:right w:val="none" w:sz="0" w:space="0" w:color="auto"/>
      </w:divBdr>
    </w:div>
    <w:div w:id="1003165386">
      <w:bodyDiv w:val="1"/>
      <w:marLeft w:val="0"/>
      <w:marRight w:val="0"/>
      <w:marTop w:val="0"/>
      <w:marBottom w:val="0"/>
      <w:divBdr>
        <w:top w:val="none" w:sz="0" w:space="0" w:color="auto"/>
        <w:left w:val="none" w:sz="0" w:space="0" w:color="auto"/>
        <w:bottom w:val="none" w:sz="0" w:space="0" w:color="auto"/>
        <w:right w:val="none" w:sz="0" w:space="0" w:color="auto"/>
      </w:divBdr>
    </w:div>
    <w:div w:id="1011175763">
      <w:bodyDiv w:val="1"/>
      <w:marLeft w:val="0"/>
      <w:marRight w:val="0"/>
      <w:marTop w:val="0"/>
      <w:marBottom w:val="0"/>
      <w:divBdr>
        <w:top w:val="none" w:sz="0" w:space="0" w:color="auto"/>
        <w:left w:val="none" w:sz="0" w:space="0" w:color="auto"/>
        <w:bottom w:val="none" w:sz="0" w:space="0" w:color="auto"/>
        <w:right w:val="none" w:sz="0" w:space="0" w:color="auto"/>
      </w:divBdr>
    </w:div>
    <w:div w:id="1037631697">
      <w:bodyDiv w:val="1"/>
      <w:marLeft w:val="0"/>
      <w:marRight w:val="0"/>
      <w:marTop w:val="0"/>
      <w:marBottom w:val="0"/>
      <w:divBdr>
        <w:top w:val="none" w:sz="0" w:space="0" w:color="auto"/>
        <w:left w:val="none" w:sz="0" w:space="0" w:color="auto"/>
        <w:bottom w:val="none" w:sz="0" w:space="0" w:color="auto"/>
        <w:right w:val="none" w:sz="0" w:space="0" w:color="auto"/>
      </w:divBdr>
    </w:div>
    <w:div w:id="1051733866">
      <w:bodyDiv w:val="1"/>
      <w:marLeft w:val="0"/>
      <w:marRight w:val="0"/>
      <w:marTop w:val="0"/>
      <w:marBottom w:val="0"/>
      <w:divBdr>
        <w:top w:val="none" w:sz="0" w:space="0" w:color="auto"/>
        <w:left w:val="none" w:sz="0" w:space="0" w:color="auto"/>
        <w:bottom w:val="none" w:sz="0" w:space="0" w:color="auto"/>
        <w:right w:val="none" w:sz="0" w:space="0" w:color="auto"/>
      </w:divBdr>
    </w:div>
    <w:div w:id="1086927175">
      <w:bodyDiv w:val="1"/>
      <w:marLeft w:val="0"/>
      <w:marRight w:val="0"/>
      <w:marTop w:val="0"/>
      <w:marBottom w:val="0"/>
      <w:divBdr>
        <w:top w:val="none" w:sz="0" w:space="0" w:color="auto"/>
        <w:left w:val="none" w:sz="0" w:space="0" w:color="auto"/>
        <w:bottom w:val="none" w:sz="0" w:space="0" w:color="auto"/>
        <w:right w:val="none" w:sz="0" w:space="0" w:color="auto"/>
      </w:divBdr>
    </w:div>
    <w:div w:id="1101295661">
      <w:bodyDiv w:val="1"/>
      <w:marLeft w:val="0"/>
      <w:marRight w:val="0"/>
      <w:marTop w:val="0"/>
      <w:marBottom w:val="0"/>
      <w:divBdr>
        <w:top w:val="none" w:sz="0" w:space="0" w:color="auto"/>
        <w:left w:val="none" w:sz="0" w:space="0" w:color="auto"/>
        <w:bottom w:val="none" w:sz="0" w:space="0" w:color="auto"/>
        <w:right w:val="none" w:sz="0" w:space="0" w:color="auto"/>
      </w:divBdr>
    </w:div>
    <w:div w:id="1208759688">
      <w:bodyDiv w:val="1"/>
      <w:marLeft w:val="0"/>
      <w:marRight w:val="0"/>
      <w:marTop w:val="0"/>
      <w:marBottom w:val="0"/>
      <w:divBdr>
        <w:top w:val="none" w:sz="0" w:space="0" w:color="auto"/>
        <w:left w:val="none" w:sz="0" w:space="0" w:color="auto"/>
        <w:bottom w:val="none" w:sz="0" w:space="0" w:color="auto"/>
        <w:right w:val="none" w:sz="0" w:space="0" w:color="auto"/>
      </w:divBdr>
    </w:div>
    <w:div w:id="1273516825">
      <w:bodyDiv w:val="1"/>
      <w:marLeft w:val="0"/>
      <w:marRight w:val="0"/>
      <w:marTop w:val="0"/>
      <w:marBottom w:val="0"/>
      <w:divBdr>
        <w:top w:val="none" w:sz="0" w:space="0" w:color="auto"/>
        <w:left w:val="none" w:sz="0" w:space="0" w:color="auto"/>
        <w:bottom w:val="none" w:sz="0" w:space="0" w:color="auto"/>
        <w:right w:val="none" w:sz="0" w:space="0" w:color="auto"/>
      </w:divBdr>
    </w:div>
    <w:div w:id="1278685241">
      <w:bodyDiv w:val="1"/>
      <w:marLeft w:val="0"/>
      <w:marRight w:val="0"/>
      <w:marTop w:val="0"/>
      <w:marBottom w:val="0"/>
      <w:divBdr>
        <w:top w:val="none" w:sz="0" w:space="0" w:color="auto"/>
        <w:left w:val="none" w:sz="0" w:space="0" w:color="auto"/>
        <w:bottom w:val="none" w:sz="0" w:space="0" w:color="auto"/>
        <w:right w:val="none" w:sz="0" w:space="0" w:color="auto"/>
      </w:divBdr>
    </w:div>
    <w:div w:id="1301693632">
      <w:bodyDiv w:val="1"/>
      <w:marLeft w:val="0"/>
      <w:marRight w:val="0"/>
      <w:marTop w:val="0"/>
      <w:marBottom w:val="0"/>
      <w:divBdr>
        <w:top w:val="none" w:sz="0" w:space="0" w:color="auto"/>
        <w:left w:val="none" w:sz="0" w:space="0" w:color="auto"/>
        <w:bottom w:val="none" w:sz="0" w:space="0" w:color="auto"/>
        <w:right w:val="none" w:sz="0" w:space="0" w:color="auto"/>
      </w:divBdr>
    </w:div>
    <w:div w:id="1335451723">
      <w:bodyDiv w:val="1"/>
      <w:marLeft w:val="0"/>
      <w:marRight w:val="0"/>
      <w:marTop w:val="0"/>
      <w:marBottom w:val="0"/>
      <w:divBdr>
        <w:top w:val="none" w:sz="0" w:space="0" w:color="auto"/>
        <w:left w:val="none" w:sz="0" w:space="0" w:color="auto"/>
        <w:bottom w:val="none" w:sz="0" w:space="0" w:color="auto"/>
        <w:right w:val="none" w:sz="0" w:space="0" w:color="auto"/>
      </w:divBdr>
    </w:div>
    <w:div w:id="1393308363">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503084672">
      <w:bodyDiv w:val="1"/>
      <w:marLeft w:val="0"/>
      <w:marRight w:val="0"/>
      <w:marTop w:val="0"/>
      <w:marBottom w:val="0"/>
      <w:divBdr>
        <w:top w:val="none" w:sz="0" w:space="0" w:color="auto"/>
        <w:left w:val="none" w:sz="0" w:space="0" w:color="auto"/>
        <w:bottom w:val="none" w:sz="0" w:space="0" w:color="auto"/>
        <w:right w:val="none" w:sz="0" w:space="0" w:color="auto"/>
      </w:divBdr>
    </w:div>
    <w:div w:id="1570652287">
      <w:bodyDiv w:val="1"/>
      <w:marLeft w:val="0"/>
      <w:marRight w:val="0"/>
      <w:marTop w:val="0"/>
      <w:marBottom w:val="0"/>
      <w:divBdr>
        <w:top w:val="none" w:sz="0" w:space="0" w:color="auto"/>
        <w:left w:val="none" w:sz="0" w:space="0" w:color="auto"/>
        <w:bottom w:val="none" w:sz="0" w:space="0" w:color="auto"/>
        <w:right w:val="none" w:sz="0" w:space="0" w:color="auto"/>
      </w:divBdr>
    </w:div>
    <w:div w:id="1585996875">
      <w:bodyDiv w:val="1"/>
      <w:marLeft w:val="0"/>
      <w:marRight w:val="0"/>
      <w:marTop w:val="0"/>
      <w:marBottom w:val="0"/>
      <w:divBdr>
        <w:top w:val="none" w:sz="0" w:space="0" w:color="auto"/>
        <w:left w:val="none" w:sz="0" w:space="0" w:color="auto"/>
        <w:bottom w:val="none" w:sz="0" w:space="0" w:color="auto"/>
        <w:right w:val="none" w:sz="0" w:space="0" w:color="auto"/>
      </w:divBdr>
    </w:div>
    <w:div w:id="1618099954">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72485356">
      <w:bodyDiv w:val="1"/>
      <w:marLeft w:val="0"/>
      <w:marRight w:val="0"/>
      <w:marTop w:val="0"/>
      <w:marBottom w:val="0"/>
      <w:divBdr>
        <w:top w:val="none" w:sz="0" w:space="0" w:color="auto"/>
        <w:left w:val="none" w:sz="0" w:space="0" w:color="auto"/>
        <w:bottom w:val="none" w:sz="0" w:space="0" w:color="auto"/>
        <w:right w:val="none" w:sz="0" w:space="0" w:color="auto"/>
      </w:divBdr>
    </w:div>
    <w:div w:id="1720858826">
      <w:bodyDiv w:val="1"/>
      <w:marLeft w:val="0"/>
      <w:marRight w:val="0"/>
      <w:marTop w:val="0"/>
      <w:marBottom w:val="0"/>
      <w:divBdr>
        <w:top w:val="none" w:sz="0" w:space="0" w:color="auto"/>
        <w:left w:val="none" w:sz="0" w:space="0" w:color="auto"/>
        <w:bottom w:val="none" w:sz="0" w:space="0" w:color="auto"/>
        <w:right w:val="none" w:sz="0" w:space="0" w:color="auto"/>
      </w:divBdr>
    </w:div>
    <w:div w:id="1741556686">
      <w:bodyDiv w:val="1"/>
      <w:marLeft w:val="0"/>
      <w:marRight w:val="0"/>
      <w:marTop w:val="0"/>
      <w:marBottom w:val="0"/>
      <w:divBdr>
        <w:top w:val="none" w:sz="0" w:space="0" w:color="auto"/>
        <w:left w:val="none" w:sz="0" w:space="0" w:color="auto"/>
        <w:bottom w:val="none" w:sz="0" w:space="0" w:color="auto"/>
        <w:right w:val="none" w:sz="0" w:space="0" w:color="auto"/>
      </w:divBdr>
    </w:div>
    <w:div w:id="1772507862">
      <w:bodyDiv w:val="1"/>
      <w:marLeft w:val="0"/>
      <w:marRight w:val="0"/>
      <w:marTop w:val="0"/>
      <w:marBottom w:val="0"/>
      <w:divBdr>
        <w:top w:val="none" w:sz="0" w:space="0" w:color="auto"/>
        <w:left w:val="none" w:sz="0" w:space="0" w:color="auto"/>
        <w:bottom w:val="none" w:sz="0" w:space="0" w:color="auto"/>
        <w:right w:val="none" w:sz="0" w:space="0" w:color="auto"/>
      </w:divBdr>
    </w:div>
    <w:div w:id="1799951067">
      <w:bodyDiv w:val="1"/>
      <w:marLeft w:val="0"/>
      <w:marRight w:val="0"/>
      <w:marTop w:val="0"/>
      <w:marBottom w:val="0"/>
      <w:divBdr>
        <w:top w:val="none" w:sz="0" w:space="0" w:color="auto"/>
        <w:left w:val="none" w:sz="0" w:space="0" w:color="auto"/>
        <w:bottom w:val="none" w:sz="0" w:space="0" w:color="auto"/>
        <w:right w:val="none" w:sz="0" w:space="0" w:color="auto"/>
      </w:divBdr>
    </w:div>
    <w:div w:id="1809862474">
      <w:bodyDiv w:val="1"/>
      <w:marLeft w:val="0"/>
      <w:marRight w:val="0"/>
      <w:marTop w:val="0"/>
      <w:marBottom w:val="0"/>
      <w:divBdr>
        <w:top w:val="none" w:sz="0" w:space="0" w:color="auto"/>
        <w:left w:val="none" w:sz="0" w:space="0" w:color="auto"/>
        <w:bottom w:val="none" w:sz="0" w:space="0" w:color="auto"/>
        <w:right w:val="none" w:sz="0" w:space="0" w:color="auto"/>
      </w:divBdr>
    </w:div>
    <w:div w:id="1817992201">
      <w:bodyDiv w:val="1"/>
      <w:marLeft w:val="0"/>
      <w:marRight w:val="0"/>
      <w:marTop w:val="0"/>
      <w:marBottom w:val="0"/>
      <w:divBdr>
        <w:top w:val="none" w:sz="0" w:space="0" w:color="auto"/>
        <w:left w:val="none" w:sz="0" w:space="0" w:color="auto"/>
        <w:bottom w:val="none" w:sz="0" w:space="0" w:color="auto"/>
        <w:right w:val="none" w:sz="0" w:space="0" w:color="auto"/>
      </w:divBdr>
    </w:div>
    <w:div w:id="1849447972">
      <w:bodyDiv w:val="1"/>
      <w:marLeft w:val="0"/>
      <w:marRight w:val="0"/>
      <w:marTop w:val="0"/>
      <w:marBottom w:val="0"/>
      <w:divBdr>
        <w:top w:val="none" w:sz="0" w:space="0" w:color="auto"/>
        <w:left w:val="none" w:sz="0" w:space="0" w:color="auto"/>
        <w:bottom w:val="none" w:sz="0" w:space="0" w:color="auto"/>
        <w:right w:val="none" w:sz="0" w:space="0" w:color="auto"/>
      </w:divBdr>
    </w:div>
    <w:div w:id="1906136681">
      <w:bodyDiv w:val="1"/>
      <w:marLeft w:val="0"/>
      <w:marRight w:val="0"/>
      <w:marTop w:val="0"/>
      <w:marBottom w:val="0"/>
      <w:divBdr>
        <w:top w:val="none" w:sz="0" w:space="0" w:color="auto"/>
        <w:left w:val="none" w:sz="0" w:space="0" w:color="auto"/>
        <w:bottom w:val="none" w:sz="0" w:space="0" w:color="auto"/>
        <w:right w:val="none" w:sz="0" w:space="0" w:color="auto"/>
      </w:divBdr>
      <w:divsChild>
        <w:div w:id="1895507557">
          <w:marLeft w:val="0"/>
          <w:marRight w:val="0"/>
          <w:marTop w:val="180"/>
          <w:marBottom w:val="240"/>
          <w:divBdr>
            <w:top w:val="none" w:sz="0" w:space="0" w:color="auto"/>
            <w:left w:val="none" w:sz="0" w:space="0" w:color="auto"/>
            <w:bottom w:val="none" w:sz="0" w:space="0" w:color="auto"/>
            <w:right w:val="none" w:sz="0" w:space="0" w:color="auto"/>
          </w:divBdr>
        </w:div>
      </w:divsChild>
    </w:div>
    <w:div w:id="1930889635">
      <w:bodyDiv w:val="1"/>
      <w:marLeft w:val="0"/>
      <w:marRight w:val="0"/>
      <w:marTop w:val="0"/>
      <w:marBottom w:val="0"/>
      <w:divBdr>
        <w:top w:val="none" w:sz="0" w:space="0" w:color="auto"/>
        <w:left w:val="none" w:sz="0" w:space="0" w:color="auto"/>
        <w:bottom w:val="none" w:sz="0" w:space="0" w:color="auto"/>
        <w:right w:val="none" w:sz="0" w:space="0" w:color="auto"/>
      </w:divBdr>
    </w:div>
    <w:div w:id="1969237749">
      <w:bodyDiv w:val="1"/>
      <w:marLeft w:val="0"/>
      <w:marRight w:val="0"/>
      <w:marTop w:val="0"/>
      <w:marBottom w:val="0"/>
      <w:divBdr>
        <w:top w:val="none" w:sz="0" w:space="0" w:color="auto"/>
        <w:left w:val="none" w:sz="0" w:space="0" w:color="auto"/>
        <w:bottom w:val="none" w:sz="0" w:space="0" w:color="auto"/>
        <w:right w:val="none" w:sz="0" w:space="0" w:color="auto"/>
      </w:divBdr>
    </w:div>
    <w:div w:id="1981575135">
      <w:bodyDiv w:val="1"/>
      <w:marLeft w:val="0"/>
      <w:marRight w:val="0"/>
      <w:marTop w:val="0"/>
      <w:marBottom w:val="0"/>
      <w:divBdr>
        <w:top w:val="none" w:sz="0" w:space="0" w:color="auto"/>
        <w:left w:val="none" w:sz="0" w:space="0" w:color="auto"/>
        <w:bottom w:val="none" w:sz="0" w:space="0" w:color="auto"/>
        <w:right w:val="none" w:sz="0" w:space="0" w:color="auto"/>
      </w:divBdr>
    </w:div>
    <w:div w:id="2077625548">
      <w:bodyDiv w:val="1"/>
      <w:marLeft w:val="0"/>
      <w:marRight w:val="0"/>
      <w:marTop w:val="0"/>
      <w:marBottom w:val="0"/>
      <w:divBdr>
        <w:top w:val="none" w:sz="0" w:space="0" w:color="auto"/>
        <w:left w:val="none" w:sz="0" w:space="0" w:color="auto"/>
        <w:bottom w:val="none" w:sz="0" w:space="0" w:color="auto"/>
        <w:right w:val="none" w:sz="0" w:space="0" w:color="auto"/>
      </w:divBdr>
    </w:div>
    <w:div w:id="2088456494">
      <w:bodyDiv w:val="1"/>
      <w:marLeft w:val="0"/>
      <w:marRight w:val="0"/>
      <w:marTop w:val="0"/>
      <w:marBottom w:val="0"/>
      <w:divBdr>
        <w:top w:val="none" w:sz="0" w:space="0" w:color="auto"/>
        <w:left w:val="none" w:sz="0" w:space="0" w:color="auto"/>
        <w:bottom w:val="none" w:sz="0" w:space="0" w:color="auto"/>
        <w:right w:val="none" w:sz="0" w:space="0" w:color="auto"/>
      </w:divBdr>
    </w:div>
    <w:div w:id="213694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398A9-2C6A-4AA0-AF85-3620510C7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Intern3</dc:creator>
  <cp:keywords/>
  <dc:description/>
  <cp:lastModifiedBy>Dionysios Protopapas</cp:lastModifiedBy>
  <cp:revision>6</cp:revision>
  <cp:lastPrinted>2026-08-19T18:47:00Z</cp:lastPrinted>
  <dcterms:created xsi:type="dcterms:W3CDTF">2026-11-02T22:23:00Z</dcterms:created>
  <dcterms:modified xsi:type="dcterms:W3CDTF">2026-11-02T22:30:00Z</dcterms:modified>
</cp:coreProperties>
</file>